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0" w:line="223" w:lineRule="auto"/>
        <w:ind w:left="103"/>
        <w:jc w:val="center"/>
        <w:rPr>
          <w:rFonts w:hint="eastAsia" w:ascii="仿宋_GB2312" w:hAnsi="仿宋_GB2312" w:eastAsia="仿宋_GB2312" w:cs="仿宋_GB2312"/>
          <w:b/>
          <w:bCs/>
          <w:spacing w:val="15"/>
          <w:sz w:val="32"/>
          <w:szCs w:val="32"/>
          <w:lang w:eastAsia="zh-CN"/>
        </w:rPr>
      </w:pPr>
      <w:r>
        <w:rPr>
          <w:rFonts w:hint="eastAsia" w:ascii="方正小标宋简体" w:hAnsi="方正小标宋简体" w:eastAsia="方正小标宋简体" w:cs="方正小标宋简体"/>
          <w:spacing w:val="3"/>
          <w:sz w:val="44"/>
          <w:szCs w:val="44"/>
          <w:lang w:eastAsia="zh-CN"/>
        </w:rPr>
        <w:t>柘荣县农村信用合作联社股份有限公司202</w:t>
      </w:r>
      <w:r>
        <w:rPr>
          <w:rFonts w:hint="eastAsia" w:ascii="方正小标宋简体" w:hAnsi="方正小标宋简体" w:eastAsia="方正小标宋简体" w:cs="方正小标宋简体"/>
          <w:spacing w:val="3"/>
          <w:sz w:val="44"/>
          <w:szCs w:val="44"/>
          <w:lang w:val="en-US" w:eastAsia="zh-CN"/>
        </w:rPr>
        <w:t>5</w:t>
      </w:r>
      <w:r>
        <w:rPr>
          <w:rFonts w:hint="eastAsia" w:ascii="方正小标宋简体" w:hAnsi="方正小标宋简体" w:eastAsia="方正小标宋简体" w:cs="方正小标宋简体"/>
          <w:spacing w:val="3"/>
          <w:sz w:val="44"/>
          <w:szCs w:val="44"/>
          <w:lang w:eastAsia="zh-CN"/>
        </w:rPr>
        <w:t>年度可持续信息披露报告</w:t>
      </w:r>
    </w:p>
    <w:p>
      <w:pPr>
        <w:keepNext w:val="0"/>
        <w:keepLines w:val="0"/>
        <w:pageBreakBefore w:val="0"/>
        <w:widowControl w:val="0"/>
        <w:kinsoku/>
        <w:wordWrap/>
        <w:overflowPunct w:val="0"/>
        <w:topLinePunct w:val="0"/>
        <w:autoSpaceDE/>
        <w:autoSpaceDN/>
        <w:bidi w:val="0"/>
        <w:adjustRightInd/>
        <w:snapToGrid/>
        <w:spacing w:line="500" w:lineRule="exact"/>
        <w:ind w:firstLine="703" w:firstLineChars="200"/>
        <w:jc w:val="both"/>
        <w:textAlignment w:val="auto"/>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eastAsia="zh-CN"/>
        </w:rPr>
        <w:t>关于本报告</w:t>
      </w:r>
    </w:p>
    <w:p>
      <w:pPr>
        <w:keepNext w:val="0"/>
        <w:keepLines w:val="0"/>
        <w:pageBreakBefore w:val="0"/>
        <w:widowControl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《柘荣县农村信用合作联社股份有限公司202</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年度可持续信息披露报告》（以下简称“本报告”），旨在披露柘荣县农村信用合作联社股份有限公司在环境保护、绿色金融、绿色运营等可持续发展相关方面的信息。除特别说明外，本报告中“本社”指代柘荣县农村信用合作联社股份有限公司。</w:t>
      </w:r>
    </w:p>
    <w:p>
      <w:pPr>
        <w:keepNext w:val="0"/>
        <w:keepLines w:val="0"/>
        <w:pageBreakBefore w:val="0"/>
        <w:widowControl w:val="0"/>
        <w:kinsoku/>
        <w:wordWrap/>
        <w:overflowPunct w:val="0"/>
        <w:topLinePunct w:val="0"/>
        <w:autoSpaceDE/>
        <w:autoSpaceDN/>
        <w:bidi w:val="0"/>
        <w:adjustRightInd/>
        <w:snapToGrid/>
        <w:spacing w:line="500" w:lineRule="exact"/>
        <w:ind w:firstLine="703" w:firstLineChars="200"/>
        <w:jc w:val="both"/>
        <w:textAlignment w:val="auto"/>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eastAsia="zh-CN"/>
        </w:rPr>
        <w:t>报告期间</w:t>
      </w:r>
    </w:p>
    <w:p>
      <w:pPr>
        <w:keepNext w:val="0"/>
        <w:keepLines w:val="0"/>
        <w:pageBreakBefore w:val="0"/>
        <w:widowControl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202</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年1月1日至202</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年12月31日</w:t>
      </w:r>
    </w:p>
    <w:p>
      <w:pPr>
        <w:keepNext w:val="0"/>
        <w:keepLines w:val="0"/>
        <w:pageBreakBefore w:val="0"/>
        <w:widowControl w:val="0"/>
        <w:kinsoku/>
        <w:wordWrap/>
        <w:overflowPunct w:val="0"/>
        <w:topLinePunct w:val="0"/>
        <w:autoSpaceDE/>
        <w:autoSpaceDN/>
        <w:bidi w:val="0"/>
        <w:adjustRightInd/>
        <w:snapToGrid/>
        <w:spacing w:line="500" w:lineRule="exact"/>
        <w:ind w:firstLine="703" w:firstLineChars="200"/>
        <w:jc w:val="both"/>
        <w:textAlignment w:val="auto"/>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eastAsia="zh-CN"/>
        </w:rPr>
        <w:t>报告范围</w:t>
      </w:r>
    </w:p>
    <w:p>
      <w:pPr>
        <w:keepNext w:val="0"/>
        <w:keepLines w:val="0"/>
        <w:pageBreakBefore w:val="0"/>
        <w:widowControl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本报告披露范围包括柘荣县农村信用合作联社股份有限公司及所辖分支机构。</w:t>
      </w:r>
    </w:p>
    <w:p>
      <w:pPr>
        <w:keepNext w:val="0"/>
        <w:keepLines w:val="0"/>
        <w:pageBreakBefore w:val="0"/>
        <w:widowControl w:val="0"/>
        <w:kinsoku/>
        <w:wordWrap/>
        <w:overflowPunct w:val="0"/>
        <w:topLinePunct w:val="0"/>
        <w:autoSpaceDE/>
        <w:autoSpaceDN/>
        <w:bidi w:val="0"/>
        <w:adjustRightInd/>
        <w:snapToGrid/>
        <w:spacing w:line="500" w:lineRule="exact"/>
        <w:ind w:firstLine="703" w:firstLineChars="200"/>
        <w:jc w:val="both"/>
        <w:textAlignment w:val="auto"/>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eastAsia="zh-CN"/>
        </w:rPr>
        <w:t>报告数据说明</w:t>
      </w:r>
    </w:p>
    <w:p>
      <w:pPr>
        <w:keepNext w:val="0"/>
        <w:keepLines w:val="0"/>
        <w:pageBreakBefore w:val="0"/>
        <w:widowControl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本报告中的数据以202</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年1月1日至202</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年12月31日期间内的数据为主，主要来源本社内部统计数据及基于报告框架的定性与定量数据信息采集。本报告所涉及货币金额以人民币为计量单位。</w:t>
      </w:r>
    </w:p>
    <w:p>
      <w:pPr>
        <w:keepNext w:val="0"/>
        <w:keepLines w:val="0"/>
        <w:pageBreakBefore w:val="0"/>
        <w:widowControl w:val="0"/>
        <w:kinsoku/>
        <w:wordWrap/>
        <w:overflowPunct w:val="0"/>
        <w:topLinePunct w:val="0"/>
        <w:autoSpaceDE/>
        <w:autoSpaceDN/>
        <w:bidi w:val="0"/>
        <w:adjustRightInd/>
        <w:snapToGrid/>
        <w:spacing w:line="500" w:lineRule="exact"/>
        <w:ind w:firstLine="703" w:firstLineChars="200"/>
        <w:jc w:val="both"/>
        <w:textAlignment w:val="auto"/>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eastAsia="zh-CN"/>
        </w:rPr>
        <w:t>报告编制依据</w:t>
      </w:r>
    </w:p>
    <w:p>
      <w:pPr>
        <w:keepNext w:val="0"/>
        <w:keepLines w:val="0"/>
        <w:pageBreakBefore w:val="0"/>
        <w:widowControl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报告内容遵循《中国人民银行福建省分行关于福建省金融机构可持续信息披露金融标准试用的通知》（闽银[2026]7号）、《中国人民银行宁德市分行关于开展金融机构可持续信息披露金融标准试用的通知》、《金融机构可持续信息披露指南（试用稿）》等相关要求。</w:t>
      </w:r>
    </w:p>
    <w:p>
      <w:pPr>
        <w:keepNext w:val="0"/>
        <w:keepLines w:val="0"/>
        <w:pageBreakBefore w:val="0"/>
        <w:widowControl w:val="0"/>
        <w:kinsoku/>
        <w:wordWrap/>
        <w:overflowPunct w:val="0"/>
        <w:topLinePunct w:val="0"/>
        <w:autoSpaceDE/>
        <w:autoSpaceDN/>
        <w:bidi w:val="0"/>
        <w:adjustRightInd/>
        <w:snapToGrid/>
        <w:spacing w:line="500" w:lineRule="exact"/>
        <w:ind w:firstLine="703" w:firstLineChars="200"/>
        <w:jc w:val="both"/>
        <w:textAlignment w:val="auto"/>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eastAsia="zh-CN"/>
        </w:rPr>
        <w:t>报告发布形式</w:t>
      </w:r>
    </w:p>
    <w:p>
      <w:pPr>
        <w:keepNext w:val="0"/>
        <w:keepLines w:val="0"/>
        <w:pageBreakBefore w:val="0"/>
        <w:widowControl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sectPr>
          <w:footerReference r:id="rId3" w:type="default"/>
          <w:pgSz w:w="11906" w:h="16839"/>
          <w:pgMar w:top="400" w:right="1756" w:bottom="1156" w:left="1759" w:header="0" w:footer="991" w:gutter="0"/>
          <w:cols w:space="720" w:num="1"/>
        </w:sectPr>
      </w:pPr>
      <w:r>
        <w:rPr>
          <w:rFonts w:hint="eastAsia" w:ascii="仿宋_GB2312" w:hAnsi="仿宋_GB2312" w:eastAsia="仿宋_GB2312" w:cs="仿宋_GB2312"/>
          <w:spacing w:val="15"/>
          <w:sz w:val="32"/>
          <w:szCs w:val="32"/>
          <w:lang w:eastAsia="zh-CN"/>
        </w:rPr>
        <w:t>本报告以中文电子版形式发布，您可在本社官方网站查阅。</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黑体" w:hAnsi="黑体" w:eastAsia="黑体" w:cs="黑体"/>
          <w:b w:val="0"/>
          <w:bCs w:val="0"/>
          <w:spacing w:val="15"/>
          <w:sz w:val="32"/>
          <w:szCs w:val="32"/>
          <w:lang w:eastAsia="zh-CN"/>
        </w:rPr>
      </w:pPr>
      <w:r>
        <w:rPr>
          <w:rFonts w:hint="eastAsia" w:ascii="黑体" w:hAnsi="黑体" w:eastAsia="黑体" w:cs="黑体"/>
          <w:b w:val="0"/>
          <w:bCs w:val="0"/>
          <w:spacing w:val="15"/>
          <w:sz w:val="32"/>
          <w:szCs w:val="32"/>
          <w:lang w:eastAsia="zh-CN"/>
        </w:rPr>
        <w:t>一、战略规划</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20" w:firstLineChars="200"/>
        <w:jc w:val="both"/>
        <w:textAlignment w:val="baseline"/>
        <w:outlineLvl w:val="1"/>
        <w:rPr>
          <w:rFonts w:ascii="楷体" w:hAnsi="楷体" w:eastAsia="楷体" w:cs="楷体"/>
          <w:sz w:val="32"/>
          <w:szCs w:val="32"/>
          <w:lang w:eastAsia="zh-CN"/>
        </w:rPr>
      </w:pPr>
      <w:r>
        <w:rPr>
          <w:rFonts w:hint="eastAsia" w:ascii="楷体" w:hAnsi="楷体" w:eastAsia="楷体" w:cs="楷体"/>
          <w:spacing w:val="-5"/>
          <w:sz w:val="32"/>
          <w:szCs w:val="32"/>
          <w:lang w:eastAsia="zh-CN"/>
        </w:rPr>
        <w:t>（一）年度概况</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4" w:firstLineChars="200"/>
        <w:jc w:val="both"/>
        <w:textAlignment w:val="baseline"/>
        <w:rPr>
          <w:rFonts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柘荣县农村信用合作联社股份有限公司于二〇〇〇年九月五日，注册资本7563.66万元。自成立以来，本社始终坚持“服务三农、造福民生、奉献社会”的宗旨，秉承“有为农信、实干兴社”企业精神，持续围绕地方特色产业，围绕涉农、小微、绿色、普惠等重点领域，加大信贷投放力度，切实推动柘荣县绿色金融发展。</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4" w:firstLineChars="200"/>
        <w:jc w:val="both"/>
        <w:textAlignment w:val="baseline"/>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
          <w:sz w:val="32"/>
          <w:szCs w:val="32"/>
          <w:lang w:eastAsia="zh-CN"/>
        </w:rPr>
        <w:t>截至202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年12月末，本社内设7个职能部门、1个营业部、6个信用社，是柘荣县域网点最多、分布最广、业务量最大的金融机构。202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年末资产总额</w:t>
      </w:r>
      <w:r>
        <w:rPr>
          <w:rFonts w:hint="eastAsia" w:ascii="仿宋_GB2312" w:hAnsi="仿宋_GB2312" w:eastAsia="仿宋_GB2312" w:cs="仿宋_GB2312"/>
          <w:spacing w:val="1"/>
          <w:sz w:val="32"/>
          <w:szCs w:val="32"/>
          <w:lang w:val="en-US" w:eastAsia="zh-CN"/>
        </w:rPr>
        <w:t>26.87亿</w:t>
      </w:r>
      <w:r>
        <w:rPr>
          <w:rFonts w:hint="eastAsia" w:ascii="仿宋_GB2312" w:hAnsi="仿宋_GB2312" w:eastAsia="仿宋_GB2312" w:cs="仿宋_GB2312"/>
          <w:spacing w:val="1"/>
          <w:sz w:val="32"/>
          <w:szCs w:val="32"/>
          <w:lang w:eastAsia="zh-CN"/>
        </w:rPr>
        <w:t>元，比上年末增加</w:t>
      </w:r>
      <w:r>
        <w:rPr>
          <w:rFonts w:hint="eastAsia" w:ascii="仿宋_GB2312" w:hAnsi="仿宋_GB2312" w:eastAsia="仿宋_GB2312" w:cs="仿宋_GB2312"/>
          <w:spacing w:val="1"/>
          <w:sz w:val="32"/>
          <w:szCs w:val="32"/>
          <w:lang w:val="en-US" w:eastAsia="zh-CN"/>
        </w:rPr>
        <w:t>2.57亿</w:t>
      </w:r>
      <w:r>
        <w:rPr>
          <w:rFonts w:hint="eastAsia" w:ascii="仿宋_GB2312" w:hAnsi="仿宋_GB2312" w:eastAsia="仿宋_GB2312" w:cs="仿宋_GB2312"/>
          <w:spacing w:val="1"/>
          <w:sz w:val="32"/>
          <w:szCs w:val="32"/>
          <w:lang w:eastAsia="zh-CN"/>
        </w:rPr>
        <w:t>元，较上年末增幅</w:t>
      </w:r>
      <w:r>
        <w:rPr>
          <w:rFonts w:hint="eastAsia" w:ascii="仿宋_GB2312" w:hAnsi="仿宋_GB2312" w:eastAsia="仿宋_GB2312" w:cs="仿宋_GB2312"/>
          <w:spacing w:val="1"/>
          <w:sz w:val="32"/>
          <w:szCs w:val="32"/>
          <w:lang w:val="en-US" w:eastAsia="zh-CN"/>
        </w:rPr>
        <w:t>10.57</w:t>
      </w:r>
      <w:r>
        <w:rPr>
          <w:rFonts w:hint="eastAsia" w:ascii="仿宋_GB2312" w:hAnsi="仿宋_GB2312" w:eastAsia="仿宋_GB2312" w:cs="仿宋_GB2312"/>
          <w:spacing w:val="1"/>
          <w:sz w:val="32"/>
          <w:szCs w:val="32"/>
          <w:lang w:eastAsia="zh-CN"/>
        </w:rPr>
        <w:t>%；各项贷款余额达到</w:t>
      </w:r>
      <w:r>
        <w:rPr>
          <w:rFonts w:hint="eastAsia" w:ascii="仿宋_GB2312" w:hAnsi="仿宋_GB2312" w:eastAsia="仿宋_GB2312" w:cs="仿宋_GB2312"/>
          <w:spacing w:val="1"/>
          <w:sz w:val="32"/>
          <w:szCs w:val="32"/>
          <w:lang w:val="en-US" w:eastAsia="zh-CN"/>
        </w:rPr>
        <w:t>16.54</w:t>
      </w:r>
      <w:r>
        <w:rPr>
          <w:rFonts w:hint="eastAsia" w:ascii="仿宋_GB2312" w:hAnsi="仿宋_GB2312" w:eastAsia="仿宋_GB2312" w:cs="仿宋_GB2312"/>
          <w:spacing w:val="1"/>
          <w:sz w:val="32"/>
          <w:szCs w:val="32"/>
          <w:lang w:eastAsia="zh-CN"/>
        </w:rPr>
        <w:t>亿元，比年初增加</w:t>
      </w:r>
      <w:r>
        <w:rPr>
          <w:rFonts w:hint="eastAsia" w:ascii="仿宋_GB2312" w:hAnsi="仿宋_GB2312" w:eastAsia="仿宋_GB2312" w:cs="仿宋_GB2312"/>
          <w:spacing w:val="1"/>
          <w:sz w:val="32"/>
          <w:szCs w:val="32"/>
          <w:lang w:val="en-US" w:eastAsia="zh-CN"/>
        </w:rPr>
        <w:t>0.39亿</w:t>
      </w:r>
      <w:r>
        <w:rPr>
          <w:rFonts w:hint="eastAsia" w:ascii="仿宋_GB2312" w:hAnsi="仿宋_GB2312" w:eastAsia="仿宋_GB2312" w:cs="仿宋_GB2312"/>
          <w:spacing w:val="1"/>
          <w:sz w:val="32"/>
          <w:szCs w:val="32"/>
          <w:lang w:eastAsia="zh-CN"/>
        </w:rPr>
        <w:t>元，增长幅度为</w:t>
      </w:r>
      <w:r>
        <w:rPr>
          <w:rFonts w:hint="eastAsia" w:ascii="仿宋_GB2312" w:hAnsi="仿宋_GB2312" w:eastAsia="仿宋_GB2312" w:cs="仿宋_GB2312"/>
          <w:spacing w:val="1"/>
          <w:sz w:val="32"/>
          <w:szCs w:val="32"/>
          <w:lang w:val="en-US" w:eastAsia="zh-CN"/>
        </w:rPr>
        <w:t>2.43</w:t>
      </w:r>
      <w:r>
        <w:rPr>
          <w:rFonts w:hint="eastAsia" w:ascii="仿宋_GB2312" w:hAnsi="仿宋_GB2312" w:eastAsia="仿宋_GB2312" w:cs="仿宋_GB2312"/>
          <w:spacing w:val="1"/>
          <w:sz w:val="32"/>
          <w:szCs w:val="32"/>
          <w:lang w:eastAsia="zh-CN"/>
        </w:rPr>
        <w:t>%。负债总额</w:t>
      </w:r>
      <w:r>
        <w:rPr>
          <w:rFonts w:hint="eastAsia" w:ascii="仿宋_GB2312" w:hAnsi="仿宋_GB2312" w:eastAsia="仿宋_GB2312" w:cs="仿宋_GB2312"/>
          <w:spacing w:val="1"/>
          <w:sz w:val="32"/>
          <w:szCs w:val="32"/>
          <w:lang w:val="en-US" w:eastAsia="zh-CN"/>
        </w:rPr>
        <w:t>23.25</w:t>
      </w:r>
      <w:r>
        <w:rPr>
          <w:rFonts w:hint="eastAsia" w:ascii="仿宋_GB2312" w:hAnsi="仿宋_GB2312" w:eastAsia="仿宋_GB2312" w:cs="仿宋_GB2312"/>
          <w:spacing w:val="1"/>
          <w:sz w:val="32"/>
          <w:szCs w:val="32"/>
          <w:lang w:eastAsia="zh-CN"/>
        </w:rPr>
        <w:t>元，比上年末增加</w:t>
      </w:r>
      <w:r>
        <w:rPr>
          <w:rFonts w:hint="eastAsia" w:ascii="仿宋_GB2312" w:hAnsi="仿宋_GB2312" w:eastAsia="仿宋_GB2312" w:cs="仿宋_GB2312"/>
          <w:spacing w:val="1"/>
          <w:sz w:val="32"/>
          <w:szCs w:val="32"/>
          <w:lang w:val="en-US" w:eastAsia="zh-CN"/>
        </w:rPr>
        <w:t>2.44亿</w:t>
      </w:r>
      <w:r>
        <w:rPr>
          <w:rFonts w:hint="eastAsia" w:ascii="仿宋_GB2312" w:hAnsi="仿宋_GB2312" w:eastAsia="仿宋_GB2312" w:cs="仿宋_GB2312"/>
          <w:spacing w:val="1"/>
          <w:sz w:val="32"/>
          <w:szCs w:val="32"/>
          <w:lang w:eastAsia="zh-CN"/>
        </w:rPr>
        <w:t>元，较上年末增幅为</w:t>
      </w:r>
      <w:r>
        <w:rPr>
          <w:rFonts w:hint="eastAsia" w:ascii="仿宋_GB2312" w:hAnsi="仿宋_GB2312" w:eastAsia="仿宋_GB2312" w:cs="仿宋_GB2312"/>
          <w:spacing w:val="1"/>
          <w:sz w:val="32"/>
          <w:szCs w:val="32"/>
          <w:lang w:val="en-US" w:eastAsia="zh-CN"/>
        </w:rPr>
        <w:t>11.71</w:t>
      </w:r>
      <w:r>
        <w:rPr>
          <w:rFonts w:hint="eastAsia" w:ascii="仿宋_GB2312" w:hAnsi="仿宋_GB2312" w:eastAsia="仿宋_GB2312" w:cs="仿宋_GB2312"/>
          <w:spacing w:val="1"/>
          <w:sz w:val="32"/>
          <w:szCs w:val="32"/>
          <w:lang w:eastAsia="zh-CN"/>
        </w:rPr>
        <w:t>%；各项存款达</w:t>
      </w:r>
      <w:r>
        <w:rPr>
          <w:rFonts w:hint="eastAsia" w:ascii="仿宋_GB2312" w:hAnsi="仿宋_GB2312" w:eastAsia="仿宋_GB2312" w:cs="仿宋_GB2312"/>
          <w:spacing w:val="1"/>
          <w:sz w:val="32"/>
          <w:szCs w:val="32"/>
          <w:lang w:val="zh-CN" w:eastAsia="zh-CN"/>
        </w:rPr>
        <w:t>19</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lang w:val="zh-CN" w:eastAsia="zh-CN"/>
        </w:rPr>
        <w:t>28亿</w:t>
      </w:r>
      <w:r>
        <w:rPr>
          <w:rFonts w:hint="eastAsia" w:ascii="仿宋_GB2312" w:hAnsi="仿宋_GB2312" w:eastAsia="仿宋_GB2312" w:cs="仿宋_GB2312"/>
          <w:spacing w:val="1"/>
          <w:sz w:val="32"/>
          <w:szCs w:val="32"/>
          <w:lang w:eastAsia="zh-CN"/>
        </w:rPr>
        <w:t>元，比年初增加</w:t>
      </w:r>
      <w:r>
        <w:rPr>
          <w:rFonts w:hint="eastAsia" w:ascii="仿宋_GB2312" w:hAnsi="仿宋_GB2312" w:eastAsia="仿宋_GB2312" w:cs="仿宋_GB2312"/>
          <w:spacing w:val="1"/>
          <w:sz w:val="32"/>
          <w:szCs w:val="32"/>
          <w:lang w:val="en-US" w:eastAsia="zh-CN"/>
        </w:rPr>
        <w:t>1.37亿</w:t>
      </w:r>
      <w:r>
        <w:rPr>
          <w:rFonts w:hint="eastAsia" w:ascii="仿宋_GB2312" w:hAnsi="仿宋_GB2312" w:eastAsia="仿宋_GB2312" w:cs="仿宋_GB2312"/>
          <w:spacing w:val="1"/>
          <w:sz w:val="32"/>
          <w:szCs w:val="32"/>
          <w:lang w:eastAsia="zh-CN"/>
        </w:rPr>
        <w:t>元，增幅</w:t>
      </w:r>
      <w:r>
        <w:rPr>
          <w:rFonts w:hint="eastAsia" w:ascii="仿宋_GB2312" w:hAnsi="仿宋_GB2312" w:eastAsia="仿宋_GB2312" w:cs="仿宋_GB2312"/>
          <w:spacing w:val="1"/>
          <w:sz w:val="32"/>
          <w:szCs w:val="32"/>
          <w:lang w:val="en-US" w:eastAsia="zh-CN"/>
        </w:rPr>
        <w:t>7.65</w:t>
      </w:r>
      <w:r>
        <w:rPr>
          <w:rFonts w:hint="eastAsia" w:ascii="仿宋_GB2312" w:hAnsi="仿宋_GB2312" w:eastAsia="仿宋_GB2312" w:cs="仿宋_GB2312"/>
          <w:spacing w:val="1"/>
          <w:sz w:val="32"/>
          <w:szCs w:val="32"/>
          <w:lang w:eastAsia="zh-CN"/>
        </w:rPr>
        <w:t>%。存、贷规模居辖区银行业前列，主要监管指标持续向好，转型发展持续推进。</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（二）战略愿景、目标及总体思路。</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本社深入践行绿色发展理念，将绿色金融全面纳入《柘荣联社“十四五”总体发展规划》，印发《柘荣联社绿色信贷管理实施细则（试行）》，统筹推进机构绿色转型，着力打造县域乡村振兴绿色标杆银行。</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战略愿景：立足县域生态资源禀赋，聚焦普惠金融、绿色发展、乡村振兴三大核心领域，依托党建+金融助理+多社融合服务模式，持续加大绿色信贷有效投放，健全绿色金融服务体系、风控体系和产品体系。</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实施情况：2025年末绿色贷款余额2304.56万元，较年初增幅22.89%，增速高于各项贷款平均增速；绿色信贷覆盖生态农林牧渔业、资源循环利用、基础设施绿色升级等重点领域，绿色贷款不良率0%，资产质量保持优良。</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（三）投融资及自身运营碳减排目标。</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定量目标：绿色信贷余额持续稳步增长，力争绿色信贷增速高于各项贷款平均增速。</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完成情况：2025年末绿色贷款增速22.89%，高于各项贷款平均增速</w:t>
      </w:r>
      <w:r>
        <w:rPr>
          <w:rFonts w:hint="eastAsia" w:ascii="仿宋_GB2312" w:hAnsi="仿宋_GB2312" w:eastAsia="仿宋_GB2312" w:cs="仿宋_GB2312"/>
          <w:spacing w:val="15"/>
          <w:sz w:val="32"/>
          <w:szCs w:val="32"/>
          <w:lang w:val="en-US" w:eastAsia="zh-CN"/>
        </w:rPr>
        <w:t>2.43</w:t>
      </w:r>
      <w:r>
        <w:rPr>
          <w:rFonts w:hint="eastAsia" w:ascii="仿宋_GB2312" w:hAnsi="仿宋_GB2312" w:eastAsia="仿宋_GB2312" w:cs="仿宋_GB2312"/>
          <w:spacing w:val="15"/>
          <w:sz w:val="32"/>
          <w:szCs w:val="32"/>
          <w:lang w:eastAsia="zh-CN"/>
        </w:rPr>
        <w:t>个百分点，既定目标圆满达成。自身运营碳排放已连续三年常态化测算、归集与内部披露，通过常态化节能降耗举措，实现办公资源消耗总量稳步下降。</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（四）支持绿色低碳循环经济发展、生态环境改善的思路与进展。</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坚守“绿水青山就是金山银山”发展理念，信贷资源重点倾斜生态农业、林下经济、中药材种植、资源循环利用等绿色业态。重点推广“林e贷”等特色涉林信贷产品，有效盘活县域森林资源资产。依托网格化金融服务，推广绿色普惠信贷产品，支持城乡人居环境整治、垃圾分类治理及美丽乡村建设。</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（五）推进自身运营碳达峰碳中和的思路与进展。</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树立全员绿色办公理念，常态化推行集约节约运营管理，全面落实节电、节水、节纸、节油及低碳出行举措。持续深化无纸化办公，有序更新老旧高耗能办公设备，落实办公设备智能断电、错峰用电管理，从运营源头压降自身碳排放。</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黑体" w:hAnsi="黑体" w:eastAsia="黑体" w:cs="黑体"/>
          <w:b w:val="0"/>
          <w:bCs w:val="0"/>
          <w:spacing w:val="15"/>
          <w:sz w:val="32"/>
          <w:szCs w:val="32"/>
          <w:lang w:eastAsia="zh-CN"/>
        </w:rPr>
      </w:pPr>
      <w:r>
        <w:rPr>
          <w:rFonts w:hint="eastAsia" w:ascii="黑体" w:hAnsi="黑体" w:eastAsia="黑体" w:cs="黑体"/>
          <w:b w:val="0"/>
          <w:bCs w:val="0"/>
          <w:spacing w:val="15"/>
          <w:sz w:val="32"/>
          <w:szCs w:val="32"/>
          <w:lang w:eastAsia="zh-CN"/>
        </w:rPr>
        <w:t>二、治理结构和治理活动</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（一）治理结构</w:t>
      </w:r>
    </w:p>
    <w:p>
      <w:pPr>
        <w:keepNext w:val="0"/>
        <w:keepLines w:val="0"/>
        <w:pageBreakBefore w:val="0"/>
        <w:kinsoku/>
        <w:wordWrap/>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董事会职责：树立并推行节约、环保、可持续发展等绿色信贷理念，重视发挥银行业金融机构在促进经济社会全面、协调、可持续发展中的作用，建立与社会共赢的可持续发展模式。负责确定绿色信贷发展战略，审批高级管理层制定的绿色信贷目标和提交的绿色信贷报告，监督、评估本机构绿色信贷发展战略执行情况。</w:t>
      </w:r>
    </w:p>
    <w:p>
      <w:pPr>
        <w:keepNext w:val="0"/>
        <w:keepLines w:val="0"/>
        <w:pageBreakBefore w:val="0"/>
        <w:kinsoku/>
        <w:wordWrap/>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高级管理层工作职责：根据董事会的决定，制定绿色信贷目标，建立机制和流程，明确职责和权限，开展内控检查和考核评价，向董事会报告绿色信贷发展情况，并及时向监管机构报送相关情况。</w:t>
      </w:r>
    </w:p>
    <w:p>
      <w:pPr>
        <w:pStyle w:val="5"/>
        <w:keepNext w:val="0"/>
        <w:keepLines w:val="0"/>
        <w:pageBreakBefore w:val="0"/>
        <w:widowControl/>
        <w:suppressLineNumbers w:val="0"/>
        <w:kinsoku/>
        <w:wordWrap/>
        <w:topLinePunct w:val="0"/>
        <w:bidi w:val="0"/>
        <w:spacing w:before="0" w:beforeAutospacing="0" w:after="0" w:afterAutospacing="0" w:line="560" w:lineRule="exact"/>
        <w:ind w:left="0" w:right="0" w:firstLine="640" w:firstLineChars="200"/>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kern w:val="2"/>
          <w:sz w:val="32"/>
          <w:szCs w:val="32"/>
          <w:lang w:val="en-US" w:eastAsia="zh-CN" w:bidi="ar-SA"/>
        </w:rPr>
        <w:t>机关职能部门：绿色金融领导小组下设办公室挂靠普惠金融部，统筹全社绿色金融业务推进、政策落地、跟踪监测、督导通报；负责制度建设、产品创新、流程优化及考核奖惩体系。风险部门开展绿色信贷制度、合同合规审查，实行高风险客户名单管理，落实风险缓释、责任追究及不良处置工作。审计部门监督绿色信贷政策执行，依规开展业务责任认定工作。</w:t>
      </w:r>
    </w:p>
    <w:p>
      <w:pPr>
        <w:pStyle w:val="5"/>
        <w:keepNext w:val="0"/>
        <w:keepLines w:val="0"/>
        <w:pageBreakBefore w:val="0"/>
        <w:widowControl/>
        <w:suppressLineNumbers w:val="0"/>
        <w:kinsoku/>
        <w:wordWrap/>
        <w:topLinePunct w:val="0"/>
        <w:bidi w:val="0"/>
        <w:spacing w:before="0" w:beforeAutospacing="0" w:after="0" w:afterAutospacing="0" w:line="560" w:lineRule="exact"/>
        <w:ind w:left="0" w:right="0" w:firstLine="700" w:firstLineChars="200"/>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各营业网点：落实绿色信贷政策、承接绿色客户营销对接，落实优先审批、优惠利率、高效办贷专项服务；同时倡导厉行节约，落实日常环保各项要求。</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（二）治理活动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1.完善治理架构，健全绿色制度体系。本社董事会将绿色金融纳入联社经营战略，督导战略落地与目标达成。高管层出台绿色信贷管理、绿色金融发展行动方案等制度，严控气候环境风险、行业准入及风控底线。普惠金融部落实绿色信贷政策，优化业务流程，推广“林e贷”、“气候贷”等绿色产品，定期监测通报网点投放进度。基层网点严守绿色信贷准入和环境风控要求，做好客户拓展、授信投放及贷后管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2.健全考核机制，压实绿色发展责任。本社把绿色信贷增量、绿色产品推广、气候领域信贷投放、普惠绿色服务等纳入综合绩效考核，配套差异化激励政策。以考核为导向，倒逼各条线、各网点主动发展绿色金融，常态化推进生态环境治理，筑牢全社可持续绿色发展根基。</w:t>
      </w:r>
    </w:p>
    <w:p>
      <w:pPr>
        <w:keepNext w:val="0"/>
        <w:keepLines w:val="0"/>
        <w:pageBreakBefore w:val="0"/>
        <w:numPr>
          <w:ilvl w:val="0"/>
          <w:numId w:val="0"/>
        </w:numPr>
        <w:kinsoku/>
        <w:wordWrap/>
        <w:overflowPunct w:val="0"/>
        <w:topLinePunct w:val="0"/>
        <w:bidi w:val="0"/>
        <w:spacing w:line="560" w:lineRule="exact"/>
        <w:ind w:firstLine="700" w:firstLineChars="200"/>
        <w:jc w:val="both"/>
        <w:rPr>
          <w:rFonts w:hint="eastAsia" w:ascii="黑体" w:hAnsi="黑体" w:eastAsia="黑体" w:cs="黑体"/>
          <w:spacing w:val="15"/>
          <w:sz w:val="32"/>
          <w:szCs w:val="32"/>
          <w:lang w:eastAsia="zh-CN"/>
        </w:rPr>
      </w:pPr>
      <w:r>
        <w:rPr>
          <w:rFonts w:hint="eastAsia" w:ascii="黑体" w:hAnsi="黑体" w:eastAsia="黑体" w:cs="黑体"/>
          <w:spacing w:val="15"/>
          <w:sz w:val="32"/>
          <w:szCs w:val="32"/>
          <w:lang w:eastAsia="zh-CN"/>
        </w:rPr>
        <w:t>三、政策制度</w:t>
      </w:r>
    </w:p>
    <w:p>
      <w:pPr>
        <w:pStyle w:val="2"/>
        <w:keepNext w:val="0"/>
        <w:keepLines w:val="0"/>
        <w:pageBreakBefore w:val="0"/>
        <w:numPr>
          <w:ilvl w:val="0"/>
          <w:numId w:val="0"/>
        </w:numPr>
        <w:kinsoku/>
        <w:wordWrap/>
        <w:topLinePunct w:val="0"/>
        <w:bidi w:val="0"/>
        <w:spacing w:line="560" w:lineRule="exact"/>
        <w:ind w:firstLine="700" w:firstLineChars="200"/>
        <w:rPr>
          <w:rFonts w:hint="eastAsia" w:ascii="楷体_GB2312" w:hAnsi="楷体_GB2312" w:eastAsia="楷体_GB2312" w:cs="楷体_GB2312"/>
          <w:b w:val="0"/>
          <w:bCs w:val="0"/>
          <w:spacing w:val="15"/>
          <w:kern w:val="2"/>
          <w:sz w:val="32"/>
          <w:szCs w:val="32"/>
          <w:lang w:val="en-US" w:eastAsia="zh-CN" w:bidi="ar-SA"/>
        </w:rPr>
      </w:pPr>
      <w:r>
        <w:rPr>
          <w:rFonts w:hint="eastAsia" w:ascii="楷体_GB2312" w:hAnsi="楷体_GB2312" w:eastAsia="楷体_GB2312" w:cs="楷体_GB2312"/>
          <w:b w:val="0"/>
          <w:bCs w:val="0"/>
          <w:spacing w:val="15"/>
          <w:kern w:val="2"/>
          <w:sz w:val="32"/>
          <w:szCs w:val="32"/>
          <w:lang w:val="en-US" w:eastAsia="zh-CN" w:bidi="ar-SA"/>
        </w:rPr>
        <w:t>（一）绿色金融、环境风险管理、自身运营碳排放管理的政策制度情况。</w:t>
      </w:r>
    </w:p>
    <w:p>
      <w:pPr>
        <w:rPr>
          <w:rFonts w:hint="eastAsia"/>
          <w:lang w:val="en-US" w:eastAsia="zh-CN"/>
        </w:rPr>
      </w:pPr>
    </w:p>
    <w:tbl>
      <w:tblPr>
        <w:tblStyle w:val="7"/>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3180"/>
        <w:gridCol w:w="3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2755" w:type="dxa"/>
            <w:vAlign w:val="top"/>
          </w:tcPr>
          <w:p>
            <w:pPr>
              <w:keepNext w:val="0"/>
              <w:keepLines w:val="0"/>
              <w:widowControl/>
              <w:suppressLineNumbers w:val="0"/>
              <w:jc w:val="center"/>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文件名称</w:t>
            </w:r>
          </w:p>
        </w:tc>
        <w:tc>
          <w:tcPr>
            <w:tcW w:w="3180" w:type="dxa"/>
            <w:vAlign w:val="top"/>
          </w:tcPr>
          <w:p>
            <w:pPr>
              <w:keepNext w:val="0"/>
              <w:keepLines w:val="0"/>
              <w:widowControl/>
              <w:suppressLineNumbers w:val="0"/>
              <w:jc w:val="center"/>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文件主要内容</w:t>
            </w:r>
          </w:p>
        </w:tc>
        <w:tc>
          <w:tcPr>
            <w:tcW w:w="3360" w:type="dxa"/>
            <w:vAlign w:val="top"/>
          </w:tcPr>
          <w:p>
            <w:pPr>
              <w:keepNext w:val="0"/>
              <w:keepLines w:val="0"/>
              <w:widowControl/>
              <w:suppressLineNumbers w:val="0"/>
              <w:jc w:val="center"/>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发文字号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755"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《柘荣农信联社推进绿色金融高质量发展行动方案（2025-2027年）》</w:t>
            </w:r>
          </w:p>
        </w:tc>
        <w:tc>
          <w:tcPr>
            <w:tcW w:w="3180"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立足柘荣生态、高山农业、林下经济、中药材及森林资源禀赋，紧扣农信社深耕本土、服务三农和小微的主业定位，以绿色金融赋能实体经济转型升级、助推美丽柘荣建设为核心，围绕指导思想、主要目标、五大重点任务及保障措施，制定2025—2027年绿色金融专项行动案。</w:t>
            </w:r>
          </w:p>
        </w:tc>
        <w:tc>
          <w:tcPr>
            <w:tcW w:w="3360"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柘信联〔2026〕27号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2755"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《柘荣联社绿色信贷管理实施细则(试行)》</w:t>
            </w:r>
          </w:p>
        </w:tc>
        <w:tc>
          <w:tcPr>
            <w:tcW w:w="3180"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一是健全组织架构，明确部门分工；二是绿色信贷授信政策，优先支持创新绿色产业；三是将客户的环境风险纳入授信全流程管理；四是强化监督检查，保障政策落地。</w:t>
            </w:r>
          </w:p>
        </w:tc>
        <w:tc>
          <w:tcPr>
            <w:tcW w:w="3360"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柘信联〔2026〕123号</w:t>
            </w:r>
          </w:p>
        </w:tc>
      </w:tr>
    </w:tbl>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（二）</w:t>
      </w:r>
      <w:r>
        <w:rPr>
          <w:rFonts w:hint="eastAsia" w:ascii="楷体_GB2312" w:hAnsi="楷体_GB2312" w:eastAsia="楷体_GB2312" w:cs="楷体_GB2312"/>
          <w:b w:val="0"/>
          <w:bCs w:val="0"/>
          <w:spacing w:val="15"/>
          <w:sz w:val="32"/>
          <w:szCs w:val="32"/>
          <w:lang w:eastAsia="zh-CN"/>
        </w:rPr>
        <w:t>绿色贷款差异化执行政策。</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实行优惠定价，明确利率权限区间。针对“林e贷”等本社绿色专属信贷产品，专项执行优惠年利率3.9%，主动给予利率让利优惠，降低绿色领域客户融资成本，精准落实绿色金融普惠让利政策，切实减轻林业经营主体融资负担。</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2.</w:t>
      </w:r>
      <w:r>
        <w:rPr>
          <w:rFonts w:hint="eastAsia" w:ascii="仿宋_GB2312" w:hAnsi="仿宋_GB2312" w:eastAsia="仿宋_GB2312" w:cs="仿宋_GB2312"/>
          <w:spacing w:val="15"/>
          <w:sz w:val="32"/>
          <w:szCs w:val="32"/>
          <w:lang w:eastAsia="zh-CN"/>
        </w:rPr>
        <w:t>开通专属通道，优化授信审批流程。专门设立绿色金融专属服务通道，全面实行优先受理、优惠利率、高效审批的专项服务机制，简化绿色信贷业务办理流程，压缩审批时限，提升绿色项目、绿色客户信贷服务效率，打通绿色融资便捷通道。</w:t>
      </w:r>
    </w:p>
    <w:p>
      <w:pPr>
        <w:pStyle w:val="5"/>
        <w:keepNext w:val="0"/>
        <w:keepLines w:val="0"/>
        <w:widowControl/>
        <w:suppressLineNumbers w:val="0"/>
        <w:spacing w:before="0" w:beforeAutospacing="0" w:after="0" w:afterAutospacing="0"/>
        <w:ind w:left="0" w:right="0" w:firstLine="700" w:firstLineChars="200"/>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sz w:val="32"/>
          <w:szCs w:val="32"/>
          <w:lang w:val="en-US" w:eastAsia="zh-CN"/>
        </w:rPr>
        <w:t>3.</w:t>
      </w:r>
      <w:r>
        <w:rPr>
          <w:rFonts w:hint="eastAsia" w:ascii="仿宋_GB2312" w:hAnsi="仿宋_GB2312" w:eastAsia="仿宋_GB2312" w:cs="仿宋_GB2312"/>
          <w:spacing w:val="15"/>
          <w:sz w:val="32"/>
          <w:szCs w:val="32"/>
          <w:lang w:eastAsia="zh-CN"/>
        </w:rPr>
        <w:t>落实尽职免责，激发业务开展活力</w:t>
      </w:r>
      <w:r>
        <w:rPr>
          <w:rFonts w:hint="eastAsia" w:ascii="仿宋_GB2312" w:hAnsi="仿宋_GB2312" w:eastAsia="仿宋_GB2312" w:cs="仿宋_GB2312"/>
          <w:spacing w:val="15"/>
          <w:kern w:val="2"/>
          <w:sz w:val="32"/>
          <w:szCs w:val="32"/>
          <w:lang w:val="en-US" w:eastAsia="zh-CN" w:bidi="ar-SA"/>
        </w:rPr>
        <w:t>。对符合绿色信贷准入条件，落实尽职调查的予以应免、尽免，积极消除从业人员业务顾虑，全力营造敢贷、愿贷、能贷、愿投的良好绿色金融业务氛围。</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4.</w:t>
      </w:r>
      <w:r>
        <w:rPr>
          <w:rFonts w:hint="eastAsia" w:ascii="仿宋_GB2312" w:hAnsi="仿宋_GB2312" w:eastAsia="仿宋_GB2312" w:cs="仿宋_GB2312"/>
          <w:spacing w:val="15"/>
          <w:sz w:val="32"/>
          <w:szCs w:val="32"/>
          <w:lang w:eastAsia="zh-CN"/>
        </w:rPr>
        <w:t>强化考核激励，加大资源倾斜力度。强化考核激励与资源倾斜，将绿色信贷规模增长、业务创新纳入经营考评，实行差异化定价。同时把绿色信贷投放纳入2025年绩效考核，该项最高扣2分，以刚性考核推动工作落地见效。</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严控风险隐患，强化环境全流程管理。严控风险隐患，强化环境全流程管理。严格执行环保一票否决制，筑牢绿色信贷风险防线，将客户环保合规情况、自然灾害风险纳入贷前调查，严把准入关口；贷中严格审查项目环保合规手续，将环境风险管控要求正式纳入授信协议，明确权责约束；贷后常态化开展环境风险现场、非现场排查检查，实现全流程闭环风控管理。</w:t>
      </w:r>
    </w:p>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（三）</w:t>
      </w:r>
      <w:r>
        <w:rPr>
          <w:rFonts w:hint="eastAsia" w:ascii="楷体_GB2312" w:hAnsi="楷体_GB2312" w:eastAsia="楷体_GB2312" w:cs="楷体_GB2312"/>
          <w:b w:val="0"/>
          <w:bCs w:val="0"/>
          <w:spacing w:val="15"/>
          <w:sz w:val="32"/>
          <w:szCs w:val="32"/>
          <w:lang w:eastAsia="zh-CN"/>
        </w:rPr>
        <w:t>可持续相关风险和机遇。</w:t>
      </w:r>
    </w:p>
    <w:p>
      <w:pPr>
        <w:kinsoku/>
        <w:overflowPunct w:val="0"/>
        <w:spacing w:line="520" w:lineRule="exact"/>
        <w:ind w:firstLine="703" w:firstLineChars="200"/>
        <w:jc w:val="both"/>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val="en-US" w:eastAsia="zh-CN"/>
        </w:rPr>
        <w:t>1.</w:t>
      </w:r>
      <w:r>
        <w:rPr>
          <w:rFonts w:hint="eastAsia" w:ascii="仿宋_GB2312" w:hAnsi="仿宋_GB2312" w:eastAsia="仿宋_GB2312" w:cs="仿宋_GB2312"/>
          <w:b/>
          <w:bCs/>
          <w:spacing w:val="15"/>
          <w:sz w:val="32"/>
          <w:szCs w:val="32"/>
          <w:lang w:eastAsia="zh-CN"/>
        </w:rPr>
        <w:t>风险机遇研判管控措施。</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）县域核心可持续行业概况。</w:t>
      </w:r>
    </w:p>
    <w:p>
      <w:pPr>
        <w:pStyle w:val="5"/>
        <w:keepNext w:val="0"/>
        <w:keepLines w:val="0"/>
        <w:widowControl/>
        <w:suppressLineNumbers w:val="0"/>
        <w:spacing w:before="0" w:beforeAutospacing="0" w:after="0" w:afterAutospacing="0"/>
        <w:ind w:left="0" w:right="0" w:firstLine="700" w:firstLineChars="200"/>
        <w:rPr>
          <w:rFonts w:hint="eastAsia"/>
          <w:lang w:eastAsia="zh-CN"/>
        </w:rPr>
      </w:pPr>
      <w:r>
        <w:rPr>
          <w:rFonts w:hint="eastAsia" w:ascii="仿宋_GB2312" w:hAnsi="仿宋_GB2312" w:eastAsia="仿宋_GB2312" w:cs="仿宋_GB2312"/>
          <w:spacing w:val="15"/>
          <w:kern w:val="2"/>
          <w:sz w:val="32"/>
          <w:szCs w:val="32"/>
          <w:lang w:val="en-US" w:eastAsia="zh-CN" w:bidi="ar-SA"/>
        </w:rPr>
        <w:t>柘荣立足高海拔生态功能区资源优势，可持续产业重点布局高山白茶、林下经济、生态康养文旅、生物医药四大板块。信贷重点倾斜太子参与白茶种植农户、林下经营主体、白茶及中药材加工企业、家庭农场，为联社绿色信贷核心投放领域；零散畜禽养殖散户、小型加工主体，列为环境风险重点管控对象。</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2</w:t>
      </w:r>
      <w:r>
        <w:rPr>
          <w:rFonts w:hint="eastAsia" w:ascii="仿宋_GB2312" w:hAnsi="仿宋_GB2312" w:eastAsia="仿宋_GB2312" w:cs="仿宋_GB2312"/>
          <w:spacing w:val="15"/>
          <w:sz w:val="32"/>
          <w:szCs w:val="32"/>
          <w:lang w:eastAsia="zh-CN"/>
        </w:rPr>
        <w:t>）产业机遇分析。</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一是高山生态种养。以太子参、高山白茶为支柱特色农业，依托地理标志、绿色认证政策，涉农补贴、乡村振兴扶持持续落地，农户资金多用于基地扩建、仓储烘干设备采购，对接支农再贷款拓展绿色普惠业务。二是林下经济。林地资源充裕，林下经济享受省级林业贴息，林票质押产品逐渐成熟，是信贷增量核心场景。三是生态文旅。依托鸳鸯草场、东狮山、红色研学资源，避暑民宿、乡村农庄持续扩容，经营周转、改扩建融资需求稳定，契合绿色文旅信贷投向。四是生物医药。县域特色优势产业，形成药材种植、中药饮片加工全产业链，专项扶持政策完善，优质绿色工业授信赛道。</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3</w:t>
      </w:r>
      <w:r>
        <w:rPr>
          <w:rFonts w:hint="eastAsia" w:ascii="仿宋_GB2312" w:hAnsi="仿宋_GB2312" w:eastAsia="仿宋_GB2312" w:cs="仿宋_GB2312"/>
          <w:spacing w:val="15"/>
          <w:sz w:val="32"/>
          <w:szCs w:val="32"/>
          <w:lang w:eastAsia="zh-CN"/>
        </w:rPr>
        <w:t>）可持续相关风险分析。</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一是气候物理风险（首要风险）。县域霜冻、暴雨、台风、山体滑坡多发，太子参、高山茶易受灾减产，林地抵押物贬值，文旅项目受灾停业，客户回款受阻，提升信贷不良风险。二是环保转型风险。散户粪污处置不达标将关停整改，存量小微贷款存在逾期隐患；落后加工作坊持续清退，受限行业存量授信逐年压降，严控新增投放。三是市场经营风险。太子参、茶叶价格周期性波动，农户抗风险能力弱；文旅淡旺季差异大，淡季营收不足加剧偿债压力。</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4</w:t>
      </w:r>
      <w:r>
        <w:rPr>
          <w:rFonts w:hint="eastAsia" w:ascii="仿宋_GB2312" w:hAnsi="仿宋_GB2312" w:eastAsia="仿宋_GB2312" w:cs="仿宋_GB2312"/>
          <w:spacing w:val="15"/>
          <w:sz w:val="32"/>
          <w:szCs w:val="32"/>
          <w:lang w:eastAsia="zh-CN"/>
        </w:rPr>
        <w:t>）我社授信管控方向。</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一是授信投向管控。对当地绿色产业单列信贷额度、开通审批绿色通道；高污染小作坊禁止准入。二是全流程风控落地。将客户环保合规情况、自然灾害风险纳入贷前调查、贷中审查、贷后排查，拟在后续建立涉农客户环保台账与灾害预警台账。三是产品配套优化。推出“福参贷”、“林e贷”、“气候贷”，对接碳减排、支农再贷款低成本资金，降低客户融资成本。</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截至目前，本社暂未开展系统化气候环境情景模拟分析，也未开展气候环境风险专项压力测试工作。</w:t>
      </w:r>
    </w:p>
    <w:p>
      <w:pPr>
        <w:kinsoku/>
        <w:overflowPunct w:val="0"/>
        <w:spacing w:line="520" w:lineRule="exact"/>
        <w:ind w:firstLine="703" w:firstLineChars="200"/>
        <w:jc w:val="both"/>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val="en-US" w:eastAsia="zh-CN"/>
        </w:rPr>
        <w:t>2.</w:t>
      </w:r>
      <w:r>
        <w:rPr>
          <w:rFonts w:hint="eastAsia" w:ascii="仿宋_GB2312" w:hAnsi="仿宋_GB2312" w:eastAsia="仿宋_GB2312" w:cs="仿宋_GB2312"/>
          <w:b/>
          <w:bCs/>
          <w:spacing w:val="15"/>
          <w:sz w:val="32"/>
          <w:szCs w:val="32"/>
          <w:lang w:eastAsia="zh-CN"/>
        </w:rPr>
        <w:t>可持续风险与机遇具体分析。</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一是短期层面。风险主要为绿色金融监管、信息披露及合规标准持续趋严，机构绿色内控与精细化管理压力增大。机遇为县域绿色小微、生态农业融资需求稳定，可快速扩大绿色信贷投放规模。二是中期层面。风险源于部分绿色特色产业仍处于培育期，经营稳定性偏弱，存在一定信贷不确定性。机遇为我县中药材、林下经济、生态旅游、气候友好型产业持续壮大，优质绿色客群不断扩容，利于推广“气候贷”等特色产品、优化信贷结构。三是长期层面风险为极端天气、气候变化常态化，对县域涉农、生态产业经营形成潜在冲击，带来持续性气候信贷风险。机遇为国家双碳战略、生态价值实现机制持续完善，气象+金融创新模式持续成熟，为本社绿色金融转型、产品创新、长效稳健经营提供坚实政策与产业支撑。</w:t>
      </w:r>
      <w:r>
        <w:rPr>
          <w:rFonts w:hint="eastAsia" w:ascii="仿宋_GB2312" w:hAnsi="仿宋_GB2312" w:eastAsia="仿宋_GB2312" w:cs="仿宋_GB2312"/>
          <w:spacing w:val="15"/>
          <w:sz w:val="32"/>
          <w:szCs w:val="32"/>
          <w:lang w:eastAsia="zh-CN"/>
        </w:rPr>
        <w:tab/>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当前及预期来看，可持续相关风险与机遇对本社投融资、信贷投放及服务价值链产生双向影响。风险方面，环保监管趋严、柘荣当地刀剪小型铸造等传统制造业转型困难，存量信贷承压风险显著；气候变化不确定性，对太子参、高山茶叶等信贷资产冲击较为直接，对信贷审查、资产质量管理提出更高标准。机遇方面，县域绿色产业、气候友好型主体持续扩容，有效带动本社绿色信贷、普惠小微信贷规模稳步增长，持续优化资产结构、提升绿色金融服务质效。</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从集中范围来看，相关风险与机遇主要集中于柘荣县全域各乡镇，业务集中资产类型以生态农业、中药材种植、林下经济、生态文旅、绿色小微企业、涉农经营主体信贷资产为主，为本社绿色投融资业务的核心场景与主要风险、机遇聚集领域。本社始终严格落实高碳行业贷款管控，持续优化信贷资产结构，信贷资金重点向绿色、涉农、普惠金融领域倾斜。从发展预期来看，绿色产业将逐步成为本社信贷业务核心增长点，带动普惠金融、中间业务、客户资金沉淀等全链条业务绿色转型，可持续发展风险与机遇主要集中在县域涉农小微主体、林业农业抵质押资产相关业务领域。</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目前，本社已搭建完善绿色信贷制度体系，创新气候贷等特色绿色信贷产品，</w:t>
      </w:r>
      <w:r>
        <w:rPr>
          <w:rFonts w:hint="eastAsia" w:ascii="仿宋_GB2312" w:hAnsi="仿宋_GB2312" w:eastAsia="仿宋_GB2312" w:cs="仿宋_GB2312"/>
          <w:spacing w:val="15"/>
          <w:sz w:val="32"/>
          <w:szCs w:val="32"/>
          <w:lang w:val="en-US" w:eastAsia="zh-CN"/>
        </w:rPr>
        <w:t>2025年度</w:t>
      </w:r>
      <w:r>
        <w:rPr>
          <w:rFonts w:hint="eastAsia" w:ascii="仿宋_GB2312" w:hAnsi="仿宋_GB2312" w:eastAsia="仿宋_GB2312" w:cs="仿宋_GB2312"/>
          <w:spacing w:val="15"/>
          <w:sz w:val="32"/>
          <w:szCs w:val="32"/>
          <w:lang w:eastAsia="zh-CN"/>
        </w:rPr>
        <w:t>绿色贷款增速大幅领先全社贷款平均增速，绿色贷款资产不良率保持为0，风险防控成效十分显著。下一步，本社将持续加强绿色金融专业人才队伍培训，配套专项信贷规模、差异化FTP、利率优惠等全方位资源，全力保障绿色金融业务高质量发展。</w:t>
      </w:r>
    </w:p>
    <w:p>
      <w:pPr>
        <w:kinsoku/>
        <w:overflowPunct w:val="0"/>
        <w:spacing w:line="520" w:lineRule="exact"/>
        <w:ind w:firstLine="703" w:firstLineChars="200"/>
        <w:jc w:val="both"/>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val="en-US" w:eastAsia="zh-CN"/>
        </w:rPr>
        <w:t>3.</w:t>
      </w:r>
      <w:r>
        <w:rPr>
          <w:rFonts w:hint="eastAsia" w:ascii="仿宋_GB2312" w:hAnsi="仿宋_GB2312" w:eastAsia="仿宋_GB2312" w:cs="仿宋_GB2312"/>
          <w:b/>
          <w:bCs/>
          <w:spacing w:val="15"/>
          <w:sz w:val="32"/>
          <w:szCs w:val="32"/>
          <w:lang w:eastAsia="zh-CN"/>
        </w:rPr>
        <w:t>可持续风险机遇对经营财务的影响。</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）对资产负债、财务业绩及现金流的影响。</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社绿色信贷资产规模稳步扩容，有效优化全社整体信贷资产结构；绿色信贷产品执行优惠贷款利率，短期内会小幅收窄银行利差，但依托绿色贷款规模持续扩大、资产质量优良、不良率极低的核心优势，全社整体经营收益实现平稳稳健增长。</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2</w:t>
      </w:r>
      <w:r>
        <w:rPr>
          <w:rFonts w:hint="eastAsia" w:ascii="仿宋_GB2312" w:hAnsi="仿宋_GB2312" w:eastAsia="仿宋_GB2312" w:cs="仿宋_GB2312"/>
          <w:spacing w:val="15"/>
          <w:sz w:val="32"/>
          <w:szCs w:val="32"/>
          <w:lang w:eastAsia="zh-CN"/>
        </w:rPr>
        <w:t>）长中短期财务业绩发展预期。</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短期预期（1-2年）：绿色信贷业务规模稳步增长，在优惠利率政策下，全社整体盈利水平保持平稳平稳，资本占用合理可控，经营发展稳中向好。</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中期预期（3-5年）：绿色信贷在全社贷款中的占比显著提升，优质绿色信贷资产有效拉动利息收入稳定增长，同时依托绿色金融品牌优势，吸引低成本对公、个人存款沉淀，全社现金流持续优化。</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长期预期（5年以上）：全力打造县域绿色金融标杆银行，形成差异化、特色化核心竞争优势，绿色金融业务成为全社稳定利润增长点，有效规避高碳行业转型发展风险，保障全社长期稳健、可持续经营。</w:t>
      </w:r>
    </w:p>
    <w:p>
      <w:pPr>
        <w:kinsoku/>
        <w:overflowPunct w:val="0"/>
        <w:spacing w:line="520" w:lineRule="exact"/>
        <w:ind w:firstLine="703" w:firstLineChars="200"/>
        <w:jc w:val="both"/>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val="en-US" w:eastAsia="zh-CN"/>
        </w:rPr>
        <w:t>4.</w:t>
      </w:r>
      <w:r>
        <w:rPr>
          <w:rFonts w:hint="eastAsia" w:ascii="仿宋_GB2312" w:hAnsi="仿宋_GB2312" w:eastAsia="仿宋_GB2312" w:cs="仿宋_GB2312"/>
          <w:b/>
          <w:bCs/>
          <w:spacing w:val="15"/>
          <w:sz w:val="32"/>
          <w:szCs w:val="32"/>
          <w:lang w:eastAsia="zh-CN"/>
        </w:rPr>
        <w:t>气候变化风险防控管理。</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）气候风险战略应对韧性。</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转型风险应对韧性</w:t>
      </w:r>
      <w:r>
        <w:rPr>
          <w:rFonts w:hint="eastAsia" w:ascii="仿宋_GB2312" w:hAnsi="仿宋_GB2312" w:eastAsia="仿宋_GB2312" w:cs="仿宋_GB2312"/>
          <w:spacing w:val="15"/>
          <w:sz w:val="32"/>
          <w:szCs w:val="32"/>
          <w:lang w:val="en-US" w:eastAsia="zh-CN"/>
        </w:rPr>
        <w:t>。</w:t>
      </w:r>
      <w:r>
        <w:rPr>
          <w:rFonts w:hint="eastAsia" w:ascii="仿宋_GB2312" w:hAnsi="仿宋_GB2312" w:eastAsia="仿宋_GB2312" w:cs="仿宋_GB2312"/>
          <w:spacing w:val="15"/>
          <w:sz w:val="32"/>
          <w:szCs w:val="32"/>
          <w:lang w:eastAsia="zh-CN"/>
        </w:rPr>
        <w:t>牢牢锚定绿色金融发展战略，主动优化信贷投放结构，严控高碳行业信贷准入，提前防范、有效化解产业绿色转型带来的金融风险，筑牢业务转型防线。</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物理风险应对韧性。本社服务县域地处山区，重点聚焦台风、暴雨等极端恶劣天气，防范其对区域农林产业、不动产抵押品价值带来的冲击影响；依托联社特色产品，全力赋能区域生态环境保护建设，提升辖区生态气候风险抵御能力；同时已制定完善业务连续性应急预案，保障极端天气下金融服务不间断。</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2</w:t>
      </w:r>
      <w:r>
        <w:rPr>
          <w:rFonts w:hint="eastAsia" w:ascii="仿宋_GB2312" w:hAnsi="仿宋_GB2312" w:eastAsia="仿宋_GB2312" w:cs="仿宋_GB2312"/>
          <w:spacing w:val="15"/>
          <w:sz w:val="32"/>
          <w:szCs w:val="32"/>
          <w:lang w:eastAsia="zh-CN"/>
        </w:rPr>
        <w:t>）气候风险突发事件应急与披露机制。</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社已建立全覆盖、全流程业务连续性管理体系，完善各类突发事件应急预案，清晰明确台风、强降雨等极端气候事件应急处置流程、专人值守机制、金融服务保障措施。若发生重大气候环境风险事件，将严格按照监管要求及内部管理制度，依规及时上报、规范信息披露。</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3</w:t>
      </w:r>
      <w:r>
        <w:rPr>
          <w:rFonts w:hint="eastAsia" w:ascii="仿宋_GB2312" w:hAnsi="仿宋_GB2312" w:eastAsia="仿宋_GB2312" w:cs="仿宋_GB2312"/>
          <w:spacing w:val="15"/>
          <w:sz w:val="32"/>
          <w:szCs w:val="32"/>
          <w:lang w:eastAsia="zh-CN"/>
        </w:rPr>
        <w:t>）气候风险敏感资产及业务情况。</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本社目前未对气候相关转型风险、物理风险敏感资产及业务金额，开展单独专项统计占比；受极端天气物理风险影响较大的资产，主要集中在农林牧渔业贷款。截止2025年末我社投向农林牧渔业贷款占各项贷款</w:t>
      </w:r>
      <w:r>
        <w:rPr>
          <w:rFonts w:hint="eastAsia" w:ascii="仿宋_GB2312" w:hAnsi="仿宋_GB2312" w:eastAsia="仿宋_GB2312" w:cs="仿宋_GB2312"/>
          <w:spacing w:val="15"/>
          <w:sz w:val="32"/>
          <w:szCs w:val="32"/>
          <w:lang w:val="en-US" w:eastAsia="zh-CN"/>
        </w:rPr>
        <w:t>16.96</w:t>
      </w:r>
      <w:r>
        <w:rPr>
          <w:rFonts w:hint="eastAsia" w:ascii="仿宋_GB2312" w:hAnsi="仿宋_GB2312" w:eastAsia="仿宋_GB2312" w:cs="仿宋_GB2312"/>
          <w:spacing w:val="15"/>
          <w:sz w:val="32"/>
          <w:szCs w:val="32"/>
          <w:lang w:eastAsia="zh-CN"/>
        </w:rPr>
        <w:t>%。</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4</w:t>
      </w:r>
      <w:r>
        <w:rPr>
          <w:rFonts w:hint="eastAsia" w:ascii="仿宋_GB2312" w:hAnsi="仿宋_GB2312" w:eastAsia="仿宋_GB2312" w:cs="仿宋_GB2312"/>
          <w:spacing w:val="15"/>
          <w:sz w:val="32"/>
          <w:szCs w:val="32"/>
          <w:lang w:eastAsia="zh-CN"/>
        </w:rPr>
        <w:t>）气候相关领域资本投入情况。</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2025年末，本社绿色贷款余额共计2304.56万元，全部用于生态农林产业、资源循环利用、绿色基础设施建设等气候友好型领域投融资投放，全力助力县域气候生态环境保护与绿色低碳发展。</w:t>
      </w:r>
    </w:p>
    <w:p>
      <w:pPr>
        <w:kinsoku/>
        <w:overflowPunct w:val="0"/>
        <w:spacing w:line="520" w:lineRule="exact"/>
        <w:ind w:firstLine="703" w:firstLineChars="200"/>
        <w:jc w:val="both"/>
        <w:rPr>
          <w:rFonts w:hint="eastAsia" w:ascii="仿宋_GB2312" w:hAnsi="仿宋_GB2312" w:eastAsia="仿宋_GB2312" w:cs="仿宋_GB2312"/>
          <w:b/>
          <w:bCs/>
          <w:spacing w:val="15"/>
          <w:sz w:val="32"/>
          <w:szCs w:val="32"/>
          <w:lang w:eastAsia="zh-CN"/>
        </w:rPr>
      </w:pPr>
      <w:r>
        <w:rPr>
          <w:rFonts w:hint="eastAsia" w:ascii="仿宋_GB2312" w:hAnsi="仿宋_GB2312" w:eastAsia="仿宋_GB2312" w:cs="仿宋_GB2312"/>
          <w:b/>
          <w:bCs/>
          <w:spacing w:val="15"/>
          <w:sz w:val="32"/>
          <w:szCs w:val="32"/>
          <w:lang w:val="en-US" w:eastAsia="zh-CN"/>
        </w:rPr>
        <w:t>5.</w:t>
      </w:r>
      <w:r>
        <w:rPr>
          <w:rFonts w:hint="eastAsia" w:ascii="仿宋_GB2312" w:hAnsi="仿宋_GB2312" w:eastAsia="仿宋_GB2312" w:cs="仿宋_GB2312"/>
          <w:b/>
          <w:bCs/>
          <w:spacing w:val="15"/>
          <w:sz w:val="32"/>
          <w:szCs w:val="32"/>
          <w:lang w:eastAsia="zh-CN"/>
        </w:rPr>
        <w:t>生物多样性保护工作举措。</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本社坚持将生物多样性保护理念融入信贷全流程管理，立足高山白茶、太子参中药材的核心产区生态特征，构建自然相关风险识别体系。直接风险方面，重点关注霜冻、暴雨干旱、台风地质灾害等极端天气及病虫害、生态退化对白茶、太子参等中药材的产能、资产安全的冲击；间接风险方面，重点关注生物多样性保护政策收紧、生态监管标准升级、绿色市场准入趋严带来的合规压力与市场约束，以及授信客户在生态转型过程中面临的经营成本上升、技术改造压力、供应链生态依赖变化等，这些因素均可能传导为信用、市场与声誉层面的间接影响。</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2025年末，本社生态农林牧渔业绿色贷款余额1917.56万元，占绿色贷款总额83.2</w:t>
      </w: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%，占全社各项贷款总额1.1</w:t>
      </w:r>
      <w:r>
        <w:rPr>
          <w:rFonts w:hint="eastAsia" w:ascii="仿宋_GB2312" w:hAnsi="仿宋_GB2312" w:eastAsia="仿宋_GB2312" w:cs="仿宋_GB2312"/>
          <w:spacing w:val="15"/>
          <w:sz w:val="32"/>
          <w:szCs w:val="32"/>
          <w:lang w:val="en-US" w:eastAsia="zh-CN"/>
        </w:rPr>
        <w:t>6</w:t>
      </w:r>
      <w:r>
        <w:rPr>
          <w:rFonts w:hint="eastAsia" w:ascii="仿宋_GB2312" w:hAnsi="仿宋_GB2312" w:eastAsia="仿宋_GB2312" w:cs="仿宋_GB2312"/>
          <w:spacing w:val="15"/>
          <w:sz w:val="32"/>
          <w:szCs w:val="32"/>
          <w:lang w:eastAsia="zh-CN"/>
        </w:rPr>
        <w:t>%。该类信贷资产高度依赖区域气候调节、水源涵养等生态系统服务，同时通过大力支持有机农业、林下生态种养等绿色产业，反向赋能区域生态环境保护、生物多样性维护，实现金融发展与生态保护良性互动。</w:t>
      </w:r>
    </w:p>
    <w:p>
      <w:pPr>
        <w:kinsoku/>
        <w:overflowPunct w:val="0"/>
        <w:spacing w:line="520" w:lineRule="exact"/>
        <w:ind w:firstLine="700" w:firstLineChars="200"/>
        <w:jc w:val="both"/>
        <w:rPr>
          <w:rFonts w:hint="eastAsia" w:ascii="黑体" w:hAnsi="黑体" w:eastAsia="黑体" w:cs="黑体"/>
          <w:b w:val="0"/>
          <w:bCs w:val="0"/>
          <w:spacing w:val="15"/>
          <w:sz w:val="32"/>
          <w:szCs w:val="32"/>
          <w:lang w:eastAsia="zh-CN"/>
        </w:rPr>
      </w:pPr>
      <w:r>
        <w:rPr>
          <w:rFonts w:hint="eastAsia" w:ascii="黑体" w:hAnsi="黑体" w:eastAsia="黑体" w:cs="黑体"/>
          <w:b w:val="0"/>
          <w:bCs w:val="0"/>
          <w:spacing w:val="15"/>
          <w:sz w:val="32"/>
          <w:szCs w:val="32"/>
          <w:lang w:eastAsia="zh-CN"/>
        </w:rPr>
        <w:t>四、投融资活动可持续信息</w:t>
      </w:r>
    </w:p>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（一）</w:t>
      </w:r>
      <w:r>
        <w:rPr>
          <w:rFonts w:hint="eastAsia" w:ascii="楷体_GB2312" w:hAnsi="楷体_GB2312" w:eastAsia="楷体_GB2312" w:cs="楷体_GB2312"/>
          <w:b w:val="0"/>
          <w:bCs w:val="0"/>
          <w:spacing w:val="15"/>
          <w:sz w:val="32"/>
          <w:szCs w:val="32"/>
          <w:lang w:eastAsia="zh-CN"/>
        </w:rPr>
        <w:t>概述整体投融资情况及其对可持续发展的影响。</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2025年末本社资产总额26.87亿元，各项贷款余额16.</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lang w:eastAsia="zh-CN"/>
        </w:rPr>
        <w:t>4亿元。始终坚守服务三农、支持小微、助力乡村振兴初心，持续优化信贷资源配置，重点向普惠金融、绿色产业、生态农业、乡村建设倾斜。年末绿色贷款余额2304.56万元，较年初增长22.89%，主要投向生态农林牧渔业、资源循环利用、基础设施绿色升级领域，有力支撑县域生态治理与绿色产业提质增效。本社无绿色债券承销及自营投资业务。</w:t>
      </w:r>
    </w:p>
    <w:p>
      <w:pPr>
        <w:numPr>
          <w:ilvl w:val="0"/>
          <w:numId w:val="1"/>
        </w:num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投融资业务碳排放核算。</w:t>
      </w:r>
    </w:p>
    <w:p>
      <w:pPr>
        <w:pStyle w:val="5"/>
        <w:keepNext w:val="0"/>
        <w:keepLines w:val="0"/>
        <w:widowControl/>
        <w:suppressLineNumbers w:val="0"/>
        <w:spacing w:before="0" w:beforeAutospacing="0" w:after="0" w:afterAutospacing="0"/>
        <w:ind w:left="0" w:right="0" w:firstLine="1050" w:firstLineChars="300"/>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本社暂未开展投融资业务碳排放核算。</w:t>
      </w:r>
    </w:p>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（三）</w:t>
      </w:r>
      <w:r>
        <w:rPr>
          <w:rFonts w:hint="eastAsia" w:ascii="楷体_GB2312" w:hAnsi="楷体_GB2312" w:eastAsia="楷体_GB2312" w:cs="楷体_GB2312"/>
          <w:b w:val="0"/>
          <w:bCs w:val="0"/>
          <w:spacing w:val="15"/>
          <w:sz w:val="32"/>
          <w:szCs w:val="32"/>
          <w:lang w:eastAsia="zh-CN"/>
        </w:rPr>
        <w:t>绿色贷款整体情况、分行业贷款情况及较之前年度的变化。</w:t>
      </w:r>
    </w:p>
    <w:p>
      <w:pPr>
        <w:kinsoku/>
        <w:overflowPunct w:val="0"/>
        <w:spacing w:line="520" w:lineRule="exact"/>
        <w:ind w:firstLine="700" w:firstLineChars="200"/>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2025年末绿色贷款余额2304.56万元，较年初增加429.26万元，增幅22.89%，增速大幅高于各项贷款平均增速，规模稳步扩容、结构持续优化。生态农林牧渔业贷款余额1917.56万元，其中绿色有机认证农业贷款904.16万元、林下种养殖及采集贷款963.40万元，覆盖面及投放规模较上年明显提升；资源循环利用产业贷款余额</w:t>
      </w: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97万元；基础设施绿色升级贷款余额190万元。</w:t>
      </w:r>
    </w:p>
    <w:p>
      <w:pPr>
        <w:kinsoku/>
        <w:overflowPunct w:val="0"/>
        <w:spacing w:line="520" w:lineRule="exact"/>
        <w:ind w:firstLine="700" w:firstLineChars="200"/>
        <w:jc w:val="both"/>
        <w:rPr>
          <w:rFonts w:hint="eastAsia"/>
          <w:lang w:eastAsia="zh-CN"/>
        </w:rPr>
      </w:pPr>
      <w:r>
        <w:rPr>
          <w:rFonts w:hint="eastAsia" w:ascii="楷体_GB2312" w:hAnsi="楷体_GB2312" w:eastAsia="楷体_GB2312" w:cs="楷体_GB2312"/>
          <w:b w:val="0"/>
          <w:bCs w:val="0"/>
          <w:spacing w:val="15"/>
          <w:sz w:val="32"/>
          <w:szCs w:val="32"/>
          <w:lang w:val="en-US" w:eastAsia="zh-CN"/>
        </w:rPr>
        <w:t>（四）绿色贷款余额折合减排情况。</w:t>
      </w:r>
    </w:p>
    <w:p>
      <w:pPr>
        <w:pStyle w:val="5"/>
        <w:keepNext w:val="0"/>
        <w:keepLines w:val="0"/>
        <w:widowControl/>
        <w:suppressLineNumbers w:val="0"/>
        <w:spacing w:before="0" w:beforeAutospacing="0" w:after="0" w:afterAutospacing="0"/>
        <w:ind w:left="0" w:right="0" w:firstLine="1050" w:firstLineChars="300"/>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本社暂未开展</w:t>
      </w:r>
      <w:bookmarkStart w:id="0" w:name="_GoBack"/>
      <w:bookmarkEnd w:id="0"/>
      <w:r>
        <w:rPr>
          <w:rFonts w:hint="eastAsia" w:ascii="仿宋_GB2312" w:hAnsi="仿宋_GB2312" w:eastAsia="仿宋_GB2312" w:cs="仿宋_GB2312"/>
          <w:spacing w:val="15"/>
          <w:kern w:val="2"/>
          <w:sz w:val="32"/>
          <w:szCs w:val="32"/>
          <w:lang w:val="en-US" w:eastAsia="zh-CN" w:bidi="ar-SA"/>
        </w:rPr>
        <w:t>核算。</w:t>
      </w:r>
    </w:p>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（五）</w:t>
      </w:r>
      <w:r>
        <w:rPr>
          <w:rFonts w:hint="eastAsia" w:ascii="楷体_GB2312" w:hAnsi="楷体_GB2312" w:eastAsia="楷体_GB2312" w:cs="楷体_GB2312"/>
          <w:b w:val="0"/>
          <w:bCs w:val="0"/>
          <w:spacing w:val="15"/>
          <w:sz w:val="32"/>
          <w:szCs w:val="32"/>
          <w:lang w:eastAsia="zh-CN"/>
        </w:rPr>
        <w:t>绿色债券承销情况。本社无绿色债券承销，与上一年持平。</w:t>
      </w:r>
    </w:p>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（六）报告期末绿色债券投资及发行情况。本社无绿色债券投资，与上一年持平。</w:t>
      </w:r>
    </w:p>
    <w:p>
      <w:pPr>
        <w:kinsoku/>
        <w:overflowPunct w:val="0"/>
        <w:spacing w:line="520" w:lineRule="exact"/>
        <w:ind w:firstLine="700" w:firstLineChars="200"/>
        <w:jc w:val="both"/>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eastAsia="zh-CN"/>
        </w:rPr>
        <w:t>（七）其他绿色投融资活动的情况及较之前年度的变化。本社无其他绿色投资活动，与上一年持平。</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lang w:eastAsia="zh-CN"/>
        </w:rPr>
      </w:pPr>
      <w:r>
        <w:rPr>
          <w:rFonts w:hint="eastAsia" w:ascii="黑体" w:hAnsi="黑体" w:eastAsia="黑体" w:cs="黑体"/>
          <w:b w:val="0"/>
          <w:bCs w:val="0"/>
          <w:spacing w:val="15"/>
          <w:sz w:val="32"/>
          <w:szCs w:val="32"/>
          <w:lang w:eastAsia="zh-CN"/>
        </w:rPr>
        <w:t>五、自身运营可持续信息</w:t>
      </w:r>
    </w:p>
    <w:p>
      <w:pPr>
        <w:pStyle w:val="2"/>
        <w:ind w:left="0" w:leftChars="0" w:firstLine="700" w:firstLineChars="200"/>
        <w:rPr>
          <w:rFonts w:hint="eastAsia"/>
          <w:lang w:eastAsia="zh-CN"/>
        </w:rPr>
      </w:pPr>
      <w:r>
        <w:rPr>
          <w:rFonts w:hint="eastAsia" w:ascii="仿宋_GB2312" w:hAnsi="仿宋_GB2312" w:eastAsia="仿宋_GB2312" w:cs="仿宋_GB2312"/>
          <w:spacing w:val="15"/>
          <w:sz w:val="32"/>
          <w:szCs w:val="32"/>
          <w:lang w:val="en-US" w:eastAsia="zh-CN"/>
        </w:rPr>
        <w:t>（一）自身运营活动产生的直接碳排（范围一）</w:t>
      </w:r>
    </w:p>
    <w:tbl>
      <w:tblPr>
        <w:tblStyle w:val="7"/>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sz w:val="32"/>
                <w:szCs w:val="32"/>
                <w:lang w:val="en-US" w:eastAsia="zh-CN"/>
              </w:rPr>
              <w:t>项目</w:t>
            </w:r>
          </w:p>
        </w:tc>
        <w:tc>
          <w:tcPr>
            <w:tcW w:w="2130" w:type="dxa"/>
            <w:vAlign w:val="center"/>
          </w:tcPr>
          <w:p>
            <w:pPr>
              <w:kinsoku/>
              <w:overflowPunct w:val="0"/>
              <w:spacing w:line="520" w:lineRule="exact"/>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sz w:val="32"/>
                <w:szCs w:val="32"/>
                <w:lang w:val="en-US" w:eastAsia="zh-CN"/>
              </w:rPr>
              <w:t>2025年度</w:t>
            </w:r>
          </w:p>
        </w:tc>
        <w:tc>
          <w:tcPr>
            <w:tcW w:w="2131" w:type="dxa"/>
            <w:vAlign w:val="center"/>
          </w:tcPr>
          <w:p>
            <w:pPr>
              <w:kinsoku/>
              <w:overflowPunct w:val="0"/>
              <w:spacing w:line="520" w:lineRule="exact"/>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sz w:val="32"/>
                <w:szCs w:val="32"/>
                <w:lang w:val="en-US" w:eastAsia="zh-CN"/>
              </w:rPr>
              <w:t>2024年度</w:t>
            </w:r>
          </w:p>
        </w:tc>
        <w:tc>
          <w:tcPr>
            <w:tcW w:w="2460" w:type="dxa"/>
            <w:vAlign w:val="center"/>
          </w:tcPr>
          <w:p>
            <w:pPr>
              <w:kinsoku/>
              <w:overflowPunct w:val="0"/>
              <w:spacing w:line="520" w:lineRule="exact"/>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sz w:val="32"/>
                <w:szCs w:val="32"/>
                <w:lang w:val="en-US" w:eastAsia="zh-CN"/>
              </w:rPr>
              <w:t>2023年度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kinsoku/>
              <w:overflowPunct w:val="0"/>
              <w:spacing w:line="520" w:lineRule="exact"/>
              <w:jc w:val="both"/>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color w:val="auto"/>
                <w:spacing w:val="15"/>
                <w:sz w:val="32"/>
                <w:szCs w:val="32"/>
                <w:lang w:val="en-US" w:eastAsia="zh-CN"/>
              </w:rPr>
              <w:t>食堂灶具</w:t>
            </w:r>
          </w:p>
        </w:tc>
        <w:tc>
          <w:tcPr>
            <w:tcW w:w="2130" w:type="dxa"/>
            <w:vAlign w:val="center"/>
          </w:tcPr>
          <w:p>
            <w:pPr>
              <w:kinsoku/>
              <w:overflowPunct w:val="0"/>
              <w:spacing w:line="520" w:lineRule="exact"/>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2.1726</w:t>
            </w:r>
          </w:p>
        </w:tc>
        <w:tc>
          <w:tcPr>
            <w:tcW w:w="2131" w:type="dxa"/>
            <w:vAlign w:val="center"/>
          </w:tcPr>
          <w:p>
            <w:pPr>
              <w:kinsoku/>
              <w:overflowPunct w:val="0"/>
              <w:spacing w:line="520" w:lineRule="exact"/>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2.2338</w:t>
            </w:r>
          </w:p>
        </w:tc>
        <w:tc>
          <w:tcPr>
            <w:tcW w:w="2460" w:type="dxa"/>
            <w:vAlign w:val="center"/>
          </w:tcPr>
          <w:p>
            <w:pPr>
              <w:kinsoku/>
              <w:overflowPunct w:val="0"/>
              <w:spacing w:line="520" w:lineRule="exact"/>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2.2644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1" w:type="dxa"/>
            <w:gridSpan w:val="4"/>
          </w:tcPr>
          <w:p>
            <w:pPr>
              <w:pStyle w:val="2"/>
              <w:ind w:left="0" w:leftChars="0" w:firstLine="0" w:firstLineChars="0"/>
              <w:rPr>
                <w:rFonts w:hint="eastAsia" w:ascii="楷体_GB2312" w:hAnsi="楷体_GB2312" w:eastAsia="楷体_GB2312" w:cs="楷体_GB2312"/>
                <w:b w:val="0"/>
                <w:bCs w:val="0"/>
                <w:color w:val="auto"/>
                <w:spacing w:val="15"/>
                <w:sz w:val="32"/>
                <w:szCs w:val="32"/>
                <w:vertAlign w:val="baseline"/>
                <w:lang w:eastAsia="zh-CN"/>
              </w:rPr>
            </w:pPr>
            <w:r>
              <w:rPr>
                <w:rFonts w:hint="eastAsia" w:ascii="宋体" w:hAnsi="宋体" w:eastAsia="宋体" w:cs="宋体"/>
                <w:i w:val="0"/>
                <w:iCs w:val="0"/>
                <w:color w:val="auto"/>
                <w:kern w:val="0"/>
                <w:sz w:val="21"/>
                <w:szCs w:val="21"/>
                <w:u w:val="none"/>
                <w:lang w:val="en-US" w:eastAsia="zh-CN" w:bidi="ar"/>
              </w:rPr>
              <w:t>注：包括以下方面：固定源化石燃料燃烧排放，如供暖锅炉、热水锅炉、食堂灶具等；移动燃烧，如承担能源费用的自有汽车、巴士、飞机、船舶等（如有）；无组织排放：如废水处理甲烷（CH4）逸散排放、灭火器逸散排放、空调制冷剂逸散排放、断路器六氟化硫（SF6）保护气逸散排放等。</w:t>
            </w:r>
          </w:p>
        </w:tc>
      </w:tr>
    </w:tbl>
    <w:p>
      <w:pPr>
        <w:pStyle w:val="2"/>
        <w:ind w:left="0" w:leftChars="0" w:firstLine="700" w:firstLineChars="200"/>
        <w:rPr>
          <w:rFonts w:hint="eastAsia" w:ascii="楷体_GB2312" w:hAnsi="楷体_GB2312" w:eastAsia="楷体_GB2312" w:cs="楷体_GB2312"/>
          <w:b w:val="0"/>
          <w:bCs w:val="0"/>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（二）自身运营活动产生的间接碳排放（范围二）</w:t>
      </w:r>
    </w:p>
    <w:tbl>
      <w:tblPr>
        <w:tblStyle w:val="7"/>
        <w:tblW w:w="8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vAlign w:val="center"/>
          </w:tcPr>
          <w:p>
            <w:pPr>
              <w:kinsoku/>
              <w:overflowPunct w:val="0"/>
              <w:spacing w:line="520" w:lineRule="exact"/>
              <w:ind w:firstLine="700" w:firstLineChars="200"/>
              <w:jc w:val="both"/>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color w:val="auto"/>
                <w:spacing w:val="15"/>
                <w:sz w:val="32"/>
                <w:szCs w:val="32"/>
                <w:lang w:val="en-US" w:eastAsia="zh-CN"/>
              </w:rPr>
              <w:t>项目</w:t>
            </w:r>
          </w:p>
        </w:tc>
        <w:tc>
          <w:tcPr>
            <w:tcW w:w="2130" w:type="dxa"/>
            <w:vAlign w:val="center"/>
          </w:tcPr>
          <w:p>
            <w:pPr>
              <w:kinsoku/>
              <w:overflowPunct w:val="0"/>
              <w:spacing w:line="520" w:lineRule="exact"/>
              <w:jc w:val="both"/>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color w:val="auto"/>
                <w:spacing w:val="15"/>
                <w:sz w:val="32"/>
                <w:szCs w:val="32"/>
                <w:lang w:val="en-US" w:eastAsia="zh-CN"/>
              </w:rPr>
              <w:t>2025年度</w:t>
            </w:r>
          </w:p>
        </w:tc>
        <w:tc>
          <w:tcPr>
            <w:tcW w:w="2131" w:type="dxa"/>
            <w:vAlign w:val="center"/>
          </w:tcPr>
          <w:p>
            <w:pPr>
              <w:kinsoku/>
              <w:overflowPunct w:val="0"/>
              <w:spacing w:line="520" w:lineRule="exact"/>
              <w:jc w:val="both"/>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color w:val="auto"/>
                <w:spacing w:val="15"/>
                <w:sz w:val="32"/>
                <w:szCs w:val="32"/>
                <w:lang w:val="en-US" w:eastAsia="zh-CN"/>
              </w:rPr>
              <w:t>2024年度</w:t>
            </w:r>
          </w:p>
        </w:tc>
        <w:tc>
          <w:tcPr>
            <w:tcW w:w="2492" w:type="dxa"/>
            <w:vAlign w:val="center"/>
          </w:tcPr>
          <w:p>
            <w:pPr>
              <w:kinsoku/>
              <w:overflowPunct w:val="0"/>
              <w:spacing w:line="520" w:lineRule="exact"/>
              <w:jc w:val="both"/>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color w:val="auto"/>
                <w:spacing w:val="15"/>
                <w:sz w:val="32"/>
                <w:szCs w:val="32"/>
                <w:lang w:val="en-US" w:eastAsia="zh-CN"/>
              </w:rPr>
              <w:t>2023年度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vAlign w:val="center"/>
          </w:tcPr>
          <w:p>
            <w:pPr>
              <w:keepNext w:val="0"/>
              <w:keepLines w:val="0"/>
              <w:pageBreakBefore w:val="0"/>
              <w:widowControl w:val="0"/>
              <w:kinsoku/>
              <w:wordWrap/>
              <w:overflowPunct w:val="0"/>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color w:val="auto"/>
                <w:spacing w:val="15"/>
                <w:sz w:val="32"/>
                <w:szCs w:val="32"/>
                <w:lang w:val="en-US" w:eastAsia="zh-CN"/>
              </w:rPr>
              <w:t>外购电力排放</w:t>
            </w:r>
          </w:p>
        </w:tc>
        <w:tc>
          <w:tcPr>
            <w:tcW w:w="2130" w:type="dxa"/>
            <w:vAlign w:val="center"/>
          </w:tcPr>
          <w:p>
            <w:pPr>
              <w:kinsoku/>
              <w:overflowPunct w:val="0"/>
              <w:spacing w:line="520" w:lineRule="exact"/>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122.3346</w:t>
            </w:r>
          </w:p>
        </w:tc>
        <w:tc>
          <w:tcPr>
            <w:tcW w:w="2131" w:type="dxa"/>
            <w:vAlign w:val="center"/>
          </w:tcPr>
          <w:p>
            <w:pPr>
              <w:kinsoku/>
              <w:overflowPunct w:val="0"/>
              <w:spacing w:line="520" w:lineRule="exact"/>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118.70851</w:t>
            </w:r>
          </w:p>
        </w:tc>
        <w:tc>
          <w:tcPr>
            <w:tcW w:w="2492" w:type="dxa"/>
            <w:vAlign w:val="center"/>
          </w:tcPr>
          <w:p>
            <w:pPr>
              <w:kinsoku/>
              <w:overflowPunct w:val="0"/>
              <w:spacing w:line="520" w:lineRule="exact"/>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119.08934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4"/>
          </w:tcPr>
          <w:p>
            <w:pPr>
              <w:pStyle w:val="2"/>
              <w:ind w:left="0" w:leftChars="0" w:firstLine="0" w:firstLineChars="0"/>
              <w:rPr>
                <w:rFonts w:hint="eastAsia" w:ascii="楷体_GB2312" w:hAnsi="楷体_GB2312" w:eastAsia="楷体_GB2312" w:cs="楷体_GB2312"/>
                <w:b w:val="0"/>
                <w:bCs w:val="0"/>
                <w:spacing w:val="15"/>
                <w:sz w:val="32"/>
                <w:szCs w:val="32"/>
                <w:vertAlign w:val="baseline"/>
                <w:lang w:eastAsia="zh-CN"/>
              </w:rPr>
            </w:pPr>
            <w:r>
              <w:rPr>
                <w:rFonts w:hint="eastAsia" w:ascii="宋体" w:hAnsi="宋体" w:eastAsia="宋体" w:cs="宋体"/>
                <w:b w:val="0"/>
                <w:bCs w:val="0"/>
                <w:spacing w:val="15"/>
                <w:sz w:val="21"/>
                <w:szCs w:val="21"/>
                <w:vertAlign w:val="baseline"/>
                <w:lang w:eastAsia="zh-CN"/>
              </w:rPr>
              <w:t>注：包括以下方面：外购电力排放，如组织边界内所有耗电设施的排放，如数据中心、办公耗电、电车耗电等；外购热力冷源排放，如数据中心使用外购冷源排放；员工通勤和差旅等产生的碳排放。</w:t>
            </w:r>
          </w:p>
        </w:tc>
      </w:tr>
    </w:tbl>
    <w:p>
      <w:pPr>
        <w:kinsoku/>
        <w:overflowPunct w:val="0"/>
        <w:spacing w:line="520" w:lineRule="exact"/>
        <w:ind w:firstLine="700" w:firstLineChars="200"/>
        <w:jc w:val="both"/>
        <w:rPr>
          <w:rFonts w:hint="eastAsia"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（三）</w:t>
      </w:r>
      <w:r>
        <w:rPr>
          <w:rFonts w:hint="eastAsia" w:ascii="仿宋_GB2312" w:hAnsi="仿宋_GB2312" w:eastAsia="仿宋_GB2312" w:cs="仿宋_GB2312"/>
          <w:b w:val="0"/>
          <w:bCs w:val="0"/>
          <w:spacing w:val="15"/>
          <w:sz w:val="32"/>
          <w:szCs w:val="32"/>
          <w:lang w:val="en-US" w:eastAsia="zh-CN"/>
        </w:rPr>
        <w:t>金融机构经营活动对环境产生的影响</w:t>
      </w:r>
    </w:p>
    <w:tbl>
      <w:tblPr>
        <w:tblStyle w:val="6"/>
        <w:tblW w:w="8978"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28"/>
        <w:gridCol w:w="2642"/>
        <w:gridCol w:w="2038"/>
        <w:gridCol w:w="17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2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指标名称</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披露细项</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本年度总量</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上一年度总量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6" w:hRule="atLeast"/>
        </w:trPr>
        <w:tc>
          <w:tcPr>
            <w:tcW w:w="2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报告期经营活动产生的资源消耗</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val="0"/>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自有交通运输工具消耗燃油（升）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4069.6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jc w:val="both"/>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4084.4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2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营业办公消耗电力（万千瓦时）</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29.05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28.19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2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营业办公消耗水（吨）</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694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654.3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2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营业办公消耗纸张（吨）</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3.16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3.27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5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E/>
              <w:autoSpaceDN/>
              <w:bidi w:val="0"/>
              <w:adjustRightInd/>
              <w:snapToGrid/>
              <w:spacing w:line="500" w:lineRule="exact"/>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购买或自有的碳抵消项目产生的碳减排量（吨）</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51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网点数量（个）</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51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员工数（人）</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82</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overflowPunct w:val="0"/>
              <w:spacing w:line="520" w:lineRule="exact"/>
              <w:ind w:firstLine="700" w:firstLineChars="200"/>
              <w:jc w:val="both"/>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517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E/>
              <w:autoSpaceDN/>
              <w:bidi w:val="0"/>
              <w:adjustRightInd/>
              <w:snapToGrid/>
              <w:spacing w:line="500" w:lineRule="exact"/>
              <w:ind w:firstLine="700" w:firstLineChars="200"/>
              <w:jc w:val="both"/>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营业收入（万元）</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insoku/>
              <w:overflowPunct w:val="0"/>
              <w:spacing w:line="520" w:lineRule="exact"/>
              <w:jc w:val="both"/>
              <w:rPr>
                <w:rFonts w:hint="default"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12587.18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insoku/>
              <w:overflowPunct w:val="0"/>
              <w:spacing w:line="520" w:lineRule="exact"/>
              <w:jc w:val="both"/>
              <w:rPr>
                <w:rFonts w:hint="default"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12889.59</w:t>
            </w:r>
          </w:p>
        </w:tc>
      </w:tr>
    </w:tbl>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b w:val="0"/>
          <w:bCs w:val="0"/>
          <w:spacing w:val="15"/>
          <w:sz w:val="32"/>
          <w:szCs w:val="32"/>
          <w:lang w:eastAsia="zh-CN"/>
        </w:rPr>
      </w:pPr>
      <w:r>
        <w:rPr>
          <w:rFonts w:hint="eastAsia" w:ascii="仿宋_GB2312" w:hAnsi="仿宋_GB2312" w:eastAsia="仿宋_GB2312" w:cs="仿宋_GB2312"/>
          <w:b w:val="0"/>
          <w:bCs w:val="0"/>
          <w:spacing w:val="15"/>
          <w:sz w:val="32"/>
          <w:szCs w:val="32"/>
          <w:lang w:val="en-US" w:eastAsia="zh-CN"/>
        </w:rPr>
        <w:t>（四）</w:t>
      </w:r>
      <w:r>
        <w:rPr>
          <w:rFonts w:hint="eastAsia" w:ascii="仿宋_GB2312" w:hAnsi="仿宋_GB2312" w:eastAsia="仿宋_GB2312" w:cs="仿宋_GB2312"/>
          <w:b w:val="0"/>
          <w:bCs w:val="0"/>
          <w:spacing w:val="15"/>
          <w:sz w:val="32"/>
          <w:szCs w:val="32"/>
          <w:lang w:eastAsia="zh-CN"/>
        </w:rPr>
        <w:t>自身运营活动的其他环境信息</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lang w:eastAsia="zh-CN"/>
        </w:rPr>
        <w:t>无纸化办公成效。全面普及OA协同办公、移动办公系统，严控纸质公文、凭证印制，2025年较上年节约用纸0.11吨，降本减耗成效明显。</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val="en-US" w:eastAsia="zh-CN"/>
        </w:rPr>
        <w:t>2.</w:t>
      </w:r>
      <w:r>
        <w:rPr>
          <w:rFonts w:hint="eastAsia" w:ascii="仿宋_GB2312" w:hAnsi="仿宋_GB2312" w:eastAsia="仿宋_GB2312" w:cs="仿宋_GB2312"/>
          <w:spacing w:val="15"/>
          <w:sz w:val="32"/>
          <w:szCs w:val="32"/>
          <w:lang w:eastAsia="zh-CN"/>
        </w:rPr>
        <w:t>节能降耗管理。分批淘汰老旧高耗能办公设备，统一设置办公设备夜间智能关机策略，减少无效电能消耗；常态化开展节能宣传，树立全员低碳办公意识。</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eastAsia="宋体"/>
          <w:sz w:val="30"/>
          <w:szCs w:val="30"/>
          <w:lang w:eastAsia="zh-CN"/>
        </w:rPr>
      </w:pPr>
      <w:r>
        <w:rPr>
          <w:rFonts w:hint="eastAsia" w:ascii="仿宋_GB2312" w:hAnsi="仿宋_GB2312" w:eastAsia="仿宋_GB2312" w:cs="仿宋_GB2312"/>
          <w:spacing w:val="15"/>
          <w:sz w:val="32"/>
          <w:szCs w:val="32"/>
          <w:lang w:val="en-US" w:eastAsia="zh-CN"/>
        </w:rPr>
        <w:t>3.</w:t>
      </w:r>
      <w:r>
        <w:rPr>
          <w:rFonts w:hint="eastAsia" w:ascii="仿宋_GB2312" w:hAnsi="仿宋_GB2312" w:eastAsia="仿宋_GB2312" w:cs="仿宋_GB2312"/>
          <w:spacing w:val="15"/>
          <w:sz w:val="32"/>
          <w:szCs w:val="32"/>
          <w:lang w:eastAsia="zh-CN"/>
        </w:rPr>
        <w:t>绿色公益宣传。组织员工参与文明创城、义务植树、垃圾分类宣传等志愿活动；普及绿色低碳理念，提升社会环保共</w:t>
      </w:r>
      <w:r>
        <w:rPr>
          <w:sz w:val="30"/>
          <w:szCs w:val="30"/>
        </w:rPr>
        <w:t>识。</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黑体" w:hAnsi="黑体" w:eastAsia="黑体" w:cs="黑体"/>
          <w:b w:val="0"/>
          <w:bCs w:val="0"/>
          <w:spacing w:val="15"/>
          <w:sz w:val="32"/>
          <w:szCs w:val="32"/>
          <w:lang w:eastAsia="zh-CN"/>
        </w:rPr>
      </w:pPr>
      <w:r>
        <w:rPr>
          <w:rFonts w:hint="eastAsia" w:ascii="黑体" w:hAnsi="黑体" w:eastAsia="黑体" w:cs="黑体"/>
          <w:b w:val="0"/>
          <w:bCs w:val="0"/>
          <w:spacing w:val="15"/>
          <w:sz w:val="32"/>
          <w:szCs w:val="32"/>
          <w:lang w:eastAsia="zh-CN"/>
        </w:rPr>
        <w:t>六、研究与交流成果</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无</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黑体" w:hAnsi="黑体" w:eastAsia="黑体" w:cs="黑体"/>
          <w:b w:val="0"/>
          <w:bCs w:val="0"/>
          <w:spacing w:val="15"/>
          <w:sz w:val="32"/>
          <w:szCs w:val="32"/>
          <w:lang w:eastAsia="zh-CN"/>
        </w:rPr>
      </w:pPr>
      <w:r>
        <w:rPr>
          <w:rFonts w:hint="eastAsia" w:ascii="黑体" w:hAnsi="黑体" w:eastAsia="黑体" w:cs="黑体"/>
          <w:b w:val="0"/>
          <w:bCs w:val="0"/>
          <w:spacing w:val="15"/>
          <w:sz w:val="32"/>
          <w:szCs w:val="32"/>
          <w:lang w:eastAsia="zh-CN"/>
        </w:rPr>
        <w:t>七、典型实践和案例</w:t>
      </w:r>
    </w:p>
    <w:p>
      <w:pPr>
        <w:keepNext w:val="0"/>
        <w:keepLines w:val="0"/>
        <w:pageBreakBefore w:val="0"/>
        <w:kinsoku/>
        <w:wordWrap/>
        <w:overflowPunct w:val="0"/>
        <w:topLinePunct w:val="0"/>
        <w:autoSpaceDE/>
        <w:autoSpaceDN/>
        <w:bidi w:val="0"/>
        <w:adjustRightInd/>
        <w:snapToGrid/>
        <w:spacing w:line="56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（一）</w:t>
      </w:r>
      <w:r>
        <w:rPr>
          <w:rFonts w:hint="eastAsia" w:ascii="楷体_GB2312" w:hAnsi="楷体_GB2312" w:eastAsia="楷体_GB2312" w:cs="楷体_GB2312"/>
          <w:b w:val="0"/>
          <w:bCs w:val="0"/>
          <w:spacing w:val="15"/>
          <w:sz w:val="32"/>
          <w:szCs w:val="32"/>
          <w:lang w:eastAsia="zh-CN"/>
        </w:rPr>
        <w:t>金融机构绿色金融产品创新案例。</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03"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b/>
          <w:bCs/>
          <w:spacing w:val="15"/>
          <w:kern w:val="2"/>
          <w:sz w:val="32"/>
          <w:szCs w:val="32"/>
          <w:lang w:val="en-US" w:eastAsia="zh-CN" w:bidi="ar-SA"/>
        </w:rPr>
        <w:t>1.案例背景。</w:t>
      </w:r>
      <w:r>
        <w:rPr>
          <w:rFonts w:hint="eastAsia" w:ascii="仿宋_GB2312" w:hAnsi="仿宋_GB2312" w:eastAsia="仿宋_GB2312" w:cs="仿宋_GB2312"/>
          <w:spacing w:val="15"/>
          <w:kern w:val="2"/>
          <w:sz w:val="32"/>
          <w:szCs w:val="32"/>
          <w:lang w:val="en-US" w:eastAsia="zh-CN" w:bidi="ar-SA"/>
        </w:rPr>
        <w:t>为落实双碳发展战略，推动生态价值转化为金融资源，破解县域生态农业经营主体融资难题，柘荣农信联社立足地方中药材特色产业，联合县气象局探索“气象+金融”服务新模式，创新推出绿色专属产品“气候贷”，助力气候友好型产业提质发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703"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b/>
          <w:bCs/>
          <w:spacing w:val="15"/>
          <w:kern w:val="2"/>
          <w:sz w:val="32"/>
          <w:szCs w:val="32"/>
          <w:lang w:val="en-US" w:eastAsia="zh-CN" w:bidi="ar-SA"/>
        </w:rPr>
        <w:t>2.主要做法。</w:t>
      </w:r>
      <w:r>
        <w:rPr>
          <w:rFonts w:hint="eastAsia" w:ascii="仿宋_GB2312" w:hAnsi="仿宋_GB2312" w:eastAsia="仿宋_GB2312" w:cs="仿宋_GB2312"/>
          <w:spacing w:val="15"/>
          <w:kern w:val="2"/>
          <w:sz w:val="32"/>
          <w:szCs w:val="32"/>
          <w:lang w:val="en-US" w:eastAsia="zh-CN" w:bidi="ar-SA"/>
        </w:rPr>
        <w:t>柘荣联社立足县域生态产业发展特色，深化政银协同创新，联合县气象局探索“气象+金融”绿色服务新模式，创新推出专属绿色信贷产品“气候贷”。一是建立气候评价准入机制。以气象部门气候友好型企业等级评定、入库名单作为信贷准入核心依据，聚焦生态种植、特色农业、生态旅游、灾害防御建设等气候友好型经营主体，严格限定贷款投向，确保资金精准支持绿色低碳产业。二是实行差异化授信利率政策。根据信用、保证、抵质押不同担保方式，设置分层授信额度及专项优惠利率，有效降低绿色企业综合融资成本，精准让利实体经济。三是优化办贷服务流程。精简业务办理环节，推行金融助理上门服务、精准对接企业融资需求，对符合条件经营主体简化申贷材料，提升办贷效率。四是健全气候风控与动态管理体系。将企业气候资质、防灾能力、低碳运营水平纳入贷前评估、贷后管理，实行企业气候资质动态监测，对退出气候友好企业库主体及时开展风险预警处置，实现绿色信贷业务规范化、精细化管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703"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b/>
          <w:bCs/>
          <w:spacing w:val="15"/>
          <w:kern w:val="2"/>
          <w:sz w:val="32"/>
          <w:szCs w:val="32"/>
          <w:lang w:val="en-US" w:eastAsia="zh-CN" w:bidi="ar-SA"/>
        </w:rPr>
        <w:t>3.实施成效。</w:t>
      </w:r>
      <w:r>
        <w:rPr>
          <w:rFonts w:hint="eastAsia" w:ascii="仿宋_GB2312" w:hAnsi="仿宋_GB2312" w:eastAsia="仿宋_GB2312" w:cs="仿宋_GB2312"/>
          <w:spacing w:val="15"/>
          <w:kern w:val="2"/>
          <w:sz w:val="32"/>
          <w:szCs w:val="32"/>
          <w:lang w:val="en-US" w:eastAsia="zh-CN" w:bidi="ar-SA"/>
        </w:rPr>
        <w:t>已成功落地30万元“气候贷”，有效解决中药材合作社扩产资金缺口，降低经营融资成本。创新打通生态价值向金融信用转化渠道，丰富农信绿色金融产品体系，以普惠金融赋能生态产业发展，为县域绿色低碳发展和乡村生态振兴提供有力金融支撑。</w:t>
      </w:r>
    </w:p>
    <w:p>
      <w:pPr>
        <w:keepNext w:val="0"/>
        <w:keepLines w:val="0"/>
        <w:pageBreakBefore w:val="0"/>
        <w:kinsoku/>
        <w:wordWrap/>
        <w:overflowPunct w:val="0"/>
        <w:topLinePunct w:val="0"/>
        <w:autoSpaceDE/>
        <w:autoSpaceDN/>
        <w:bidi w:val="0"/>
        <w:adjustRightInd/>
        <w:snapToGrid/>
        <w:spacing w:line="540" w:lineRule="exact"/>
        <w:ind w:firstLine="700" w:firstLineChars="200"/>
        <w:jc w:val="both"/>
        <w:textAlignment w:val="auto"/>
        <w:rPr>
          <w:rFonts w:hint="eastAsia" w:ascii="楷体_GB2312" w:hAnsi="楷体_GB2312" w:eastAsia="楷体_GB2312" w:cs="楷体_GB2312"/>
          <w:b w:val="0"/>
          <w:bCs w:val="0"/>
          <w:spacing w:val="15"/>
          <w:sz w:val="32"/>
          <w:szCs w:val="32"/>
          <w:lang w:eastAsia="zh-CN"/>
        </w:rPr>
      </w:pPr>
      <w:r>
        <w:rPr>
          <w:rFonts w:hint="eastAsia" w:ascii="楷体_GB2312" w:hAnsi="楷体_GB2312" w:eastAsia="楷体_GB2312" w:cs="楷体_GB2312"/>
          <w:b w:val="0"/>
          <w:bCs w:val="0"/>
          <w:spacing w:val="15"/>
          <w:sz w:val="32"/>
          <w:szCs w:val="32"/>
          <w:lang w:val="en-US" w:eastAsia="zh-CN"/>
        </w:rPr>
        <w:t>（二）</w:t>
      </w:r>
      <w:r>
        <w:rPr>
          <w:rFonts w:hint="eastAsia" w:ascii="楷体_GB2312" w:hAnsi="楷体_GB2312" w:eastAsia="楷体_GB2312" w:cs="楷体_GB2312"/>
          <w:b w:val="0"/>
          <w:bCs w:val="0"/>
          <w:spacing w:val="15"/>
          <w:sz w:val="32"/>
          <w:szCs w:val="32"/>
          <w:lang w:eastAsia="zh-CN"/>
        </w:rPr>
        <w:t>碳中和银行网点建设情况。</w:t>
      </w:r>
    </w:p>
    <w:p>
      <w:pPr>
        <w:keepNext w:val="0"/>
        <w:keepLines w:val="0"/>
        <w:pageBreakBefore w:val="0"/>
        <w:kinsoku/>
        <w:wordWrap/>
        <w:overflowPunct w:val="0"/>
        <w:topLinePunct w:val="0"/>
        <w:autoSpaceDE/>
        <w:autoSpaceDN/>
        <w:bidi w:val="0"/>
        <w:adjustRightInd/>
        <w:snapToGrid/>
        <w:spacing w:line="540" w:lineRule="exact"/>
        <w:ind w:firstLine="1050" w:firstLineChars="3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无</w:t>
      </w:r>
    </w:p>
    <w:p>
      <w:pPr>
        <w:keepNext w:val="0"/>
        <w:keepLines w:val="0"/>
        <w:pageBreakBefore w:val="0"/>
        <w:kinsoku/>
        <w:wordWrap/>
        <w:overflowPunct w:val="0"/>
        <w:topLinePunct w:val="0"/>
        <w:autoSpaceDE/>
        <w:autoSpaceDN/>
        <w:bidi w:val="0"/>
        <w:adjustRightInd/>
        <w:snapToGrid/>
        <w:spacing w:line="540" w:lineRule="exact"/>
        <w:ind w:firstLine="700" w:firstLineChars="200"/>
        <w:jc w:val="both"/>
        <w:textAlignment w:val="auto"/>
        <w:rPr>
          <w:rFonts w:hint="eastAsia" w:ascii="黑体" w:hAnsi="黑体" w:eastAsia="黑体" w:cs="黑体"/>
          <w:b w:val="0"/>
          <w:bCs w:val="0"/>
          <w:spacing w:val="15"/>
          <w:sz w:val="32"/>
          <w:szCs w:val="32"/>
          <w:lang w:eastAsia="zh-CN"/>
        </w:rPr>
      </w:pPr>
      <w:r>
        <w:rPr>
          <w:rFonts w:hint="eastAsia" w:ascii="黑体" w:hAnsi="黑体" w:eastAsia="黑体" w:cs="黑体"/>
          <w:b w:val="0"/>
          <w:bCs w:val="0"/>
          <w:spacing w:val="15"/>
          <w:sz w:val="32"/>
          <w:szCs w:val="32"/>
          <w:lang w:eastAsia="zh-CN"/>
        </w:rPr>
        <w:t>八、其他信息</w:t>
      </w:r>
    </w:p>
    <w:p>
      <w:pPr>
        <w:keepNext w:val="0"/>
        <w:keepLines w:val="0"/>
        <w:pageBreakBefore w:val="0"/>
        <w:kinsoku/>
        <w:wordWrap/>
        <w:overflowPunct w:val="0"/>
        <w:topLinePunct w:val="0"/>
        <w:autoSpaceDE/>
        <w:autoSpaceDN/>
        <w:bidi w:val="0"/>
        <w:adjustRightInd/>
        <w:snapToGrid/>
        <w:spacing w:line="540" w:lineRule="exact"/>
        <w:ind w:firstLine="1050" w:firstLineChars="300"/>
        <w:jc w:val="both"/>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无</w:t>
      </w:r>
    </w:p>
    <w:p>
      <w:pPr>
        <w:pStyle w:val="2"/>
        <w:rPr>
          <w:rFonts w:hint="eastAsia"/>
          <w:lang w:eastAsia="zh-CN"/>
        </w:rPr>
      </w:pPr>
    </w:p>
    <w:p>
      <w:pPr>
        <w:keepNext w:val="0"/>
        <w:keepLines w:val="0"/>
        <w:pageBreakBefore w:val="0"/>
        <w:kinsoku/>
        <w:wordWrap/>
        <w:topLinePunct w:val="0"/>
        <w:autoSpaceDE/>
        <w:autoSpaceDN/>
        <w:bidi w:val="0"/>
        <w:adjustRightInd/>
        <w:snapToGrid/>
        <w:spacing w:line="540" w:lineRule="exact"/>
        <w:ind w:firstLine="1750" w:firstLineChars="500"/>
        <w:textAlignment w:val="auto"/>
        <w:rPr>
          <w:rFonts w:hint="eastAsia" w:ascii="仿宋_GB2312" w:hAnsi="仿宋_GB2312" w:eastAsia="仿宋_GB2312" w:cs="仿宋_GB2312"/>
          <w:spacing w:val="15"/>
          <w:sz w:val="32"/>
          <w:szCs w:val="32"/>
          <w:lang w:eastAsia="zh-CN"/>
        </w:rPr>
      </w:pPr>
      <w:r>
        <w:rPr>
          <w:rFonts w:hint="eastAsia" w:ascii="仿宋_GB2312" w:hAnsi="仿宋_GB2312" w:eastAsia="仿宋_GB2312" w:cs="仿宋_GB2312"/>
          <w:spacing w:val="15"/>
          <w:sz w:val="32"/>
          <w:szCs w:val="32"/>
          <w:lang w:eastAsia="zh-CN"/>
        </w:rPr>
        <w:t>柘荣县农村信用合作联社股份有限公司</w:t>
      </w:r>
    </w:p>
    <w:p>
      <w:pPr>
        <w:pStyle w:val="2"/>
        <w:rPr>
          <w:rFonts w:hint="default"/>
          <w:lang w:val="en-US" w:eastAsia="zh-CN"/>
        </w:rPr>
      </w:pPr>
      <w:r>
        <w:rPr>
          <w:rFonts w:hint="eastAsia" w:ascii="仿宋_GB2312" w:hAnsi="仿宋_GB2312" w:eastAsia="仿宋_GB2312" w:cs="仿宋_GB2312"/>
          <w:spacing w:val="15"/>
          <w:sz w:val="32"/>
          <w:szCs w:val="32"/>
          <w:lang w:val="en-US" w:eastAsia="zh-CN"/>
        </w:rPr>
        <w:t xml:space="preserve">              2026年6月30日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16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73D0B"/>
    <w:multiLevelType w:val="singleLevel"/>
    <w:tmpl w:val="87A73D0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2ZTg1N2JkY2VhMDYxZmQ5NDgxZjFjZjlkNWExNGUifQ=="/>
  </w:docVars>
  <w:rsids>
    <w:rsidRoot w:val="00172A27"/>
    <w:rsid w:val="01124EC1"/>
    <w:rsid w:val="0394658D"/>
    <w:rsid w:val="03DF23EF"/>
    <w:rsid w:val="03E57C66"/>
    <w:rsid w:val="047F2D99"/>
    <w:rsid w:val="085D1E11"/>
    <w:rsid w:val="087150EF"/>
    <w:rsid w:val="092572D4"/>
    <w:rsid w:val="09813610"/>
    <w:rsid w:val="09DE6C5B"/>
    <w:rsid w:val="0B907F82"/>
    <w:rsid w:val="0D2E3011"/>
    <w:rsid w:val="0D8B33EC"/>
    <w:rsid w:val="0F325999"/>
    <w:rsid w:val="10D6121D"/>
    <w:rsid w:val="144E0971"/>
    <w:rsid w:val="148F7029"/>
    <w:rsid w:val="16D30781"/>
    <w:rsid w:val="17EB45CE"/>
    <w:rsid w:val="190322B4"/>
    <w:rsid w:val="19AD7F51"/>
    <w:rsid w:val="1C357D60"/>
    <w:rsid w:val="1EA67B8F"/>
    <w:rsid w:val="1FB8489F"/>
    <w:rsid w:val="21640FCD"/>
    <w:rsid w:val="216435EB"/>
    <w:rsid w:val="2288435D"/>
    <w:rsid w:val="24EC4023"/>
    <w:rsid w:val="2A473745"/>
    <w:rsid w:val="2B23510A"/>
    <w:rsid w:val="2DEE0AC5"/>
    <w:rsid w:val="2E942770"/>
    <w:rsid w:val="2FAB0BAB"/>
    <w:rsid w:val="2FFD0E93"/>
    <w:rsid w:val="30D05D96"/>
    <w:rsid w:val="31E522BF"/>
    <w:rsid w:val="32747550"/>
    <w:rsid w:val="32BE6DFA"/>
    <w:rsid w:val="33201C87"/>
    <w:rsid w:val="332133FB"/>
    <w:rsid w:val="33977431"/>
    <w:rsid w:val="33F07240"/>
    <w:rsid w:val="34A672F2"/>
    <w:rsid w:val="359230DC"/>
    <w:rsid w:val="3BB36AD0"/>
    <w:rsid w:val="3BC80991"/>
    <w:rsid w:val="3BD553B9"/>
    <w:rsid w:val="3EAF0138"/>
    <w:rsid w:val="41645BB4"/>
    <w:rsid w:val="4179559E"/>
    <w:rsid w:val="419224E3"/>
    <w:rsid w:val="423F1A50"/>
    <w:rsid w:val="42613F25"/>
    <w:rsid w:val="442A3945"/>
    <w:rsid w:val="46C64100"/>
    <w:rsid w:val="4A1A5506"/>
    <w:rsid w:val="4C963BE4"/>
    <w:rsid w:val="4D2E0429"/>
    <w:rsid w:val="4F021BCA"/>
    <w:rsid w:val="5061129F"/>
    <w:rsid w:val="51AE3AD4"/>
    <w:rsid w:val="57100087"/>
    <w:rsid w:val="573F10CC"/>
    <w:rsid w:val="57BA183A"/>
    <w:rsid w:val="57E53265"/>
    <w:rsid w:val="58F953AF"/>
    <w:rsid w:val="5A096DB9"/>
    <w:rsid w:val="5A4764B9"/>
    <w:rsid w:val="5A483668"/>
    <w:rsid w:val="5B6634E0"/>
    <w:rsid w:val="5B881EAC"/>
    <w:rsid w:val="5C3910AF"/>
    <w:rsid w:val="5D987D73"/>
    <w:rsid w:val="5FBF4EBF"/>
    <w:rsid w:val="6034699F"/>
    <w:rsid w:val="61127CC4"/>
    <w:rsid w:val="626B2AC3"/>
    <w:rsid w:val="6312621F"/>
    <w:rsid w:val="66642D82"/>
    <w:rsid w:val="66E3632D"/>
    <w:rsid w:val="66F95B50"/>
    <w:rsid w:val="67D33440"/>
    <w:rsid w:val="680C1875"/>
    <w:rsid w:val="699801AB"/>
    <w:rsid w:val="6A80346D"/>
    <w:rsid w:val="6ACE0032"/>
    <w:rsid w:val="6B53068C"/>
    <w:rsid w:val="6B5D4B3F"/>
    <w:rsid w:val="6BD43284"/>
    <w:rsid w:val="6BF26C0D"/>
    <w:rsid w:val="6DE66F36"/>
    <w:rsid w:val="6F9577B7"/>
    <w:rsid w:val="727A2107"/>
    <w:rsid w:val="72B575D4"/>
    <w:rsid w:val="73B171A4"/>
    <w:rsid w:val="74F478DE"/>
    <w:rsid w:val="75B422FE"/>
    <w:rsid w:val="763F46EA"/>
    <w:rsid w:val="78AF508D"/>
    <w:rsid w:val="7BE5328E"/>
    <w:rsid w:val="7BE956E4"/>
    <w:rsid w:val="7C3224BA"/>
    <w:rsid w:val="7CFD2495"/>
    <w:rsid w:val="7E23750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51"/>
    <w:basedOn w:val="8"/>
    <w:qFormat/>
    <w:uiPriority w:val="0"/>
    <w:rPr>
      <w:rFonts w:hint="eastAsia" w:ascii="宋体" w:hAnsi="宋体" w:eastAsia="宋体" w:cs="宋体"/>
      <w:color w:val="000000"/>
      <w:sz w:val="21"/>
      <w:szCs w:val="21"/>
      <w:u w:val="none"/>
    </w:rPr>
  </w:style>
  <w:style w:type="character" w:customStyle="1" w:styleId="10">
    <w:name w:val="font41"/>
    <w:basedOn w:val="8"/>
    <w:qFormat/>
    <w:uiPriority w:val="0"/>
    <w:rPr>
      <w:rFonts w:hint="eastAsia" w:ascii="宋体" w:hAnsi="宋体" w:eastAsia="宋体" w:cs="宋体"/>
      <w:color w:val="FF0000"/>
      <w:sz w:val="21"/>
      <w:szCs w:val="21"/>
      <w:u w:val="none"/>
    </w:rPr>
  </w:style>
  <w:style w:type="character" w:customStyle="1" w:styleId="11">
    <w:name w:val="font11"/>
    <w:basedOn w:val="8"/>
    <w:qFormat/>
    <w:uiPriority w:val="0"/>
    <w:rPr>
      <w:rFonts w:hint="eastAsia" w:ascii="宋体" w:hAnsi="宋体" w:eastAsia="宋体" w:cs="宋体"/>
      <w:color w:val="000000"/>
      <w:sz w:val="21"/>
      <w:szCs w:val="21"/>
      <w:u w:val="none"/>
    </w:rPr>
  </w:style>
  <w:style w:type="character" w:customStyle="1" w:styleId="12">
    <w:name w:val="font31"/>
    <w:basedOn w:val="8"/>
    <w:qFormat/>
    <w:uiPriority w:val="0"/>
    <w:rPr>
      <w:rFonts w:hint="eastAsia" w:ascii="宋体" w:hAnsi="宋体" w:eastAsia="宋体" w:cs="宋体"/>
      <w:color w:val="000000"/>
      <w:sz w:val="21"/>
      <w:szCs w:val="21"/>
      <w:u w:val="none"/>
    </w:rPr>
  </w:style>
  <w:style w:type="character" w:customStyle="1" w:styleId="13">
    <w:name w:val="font61"/>
    <w:basedOn w:val="8"/>
    <w:qFormat/>
    <w:uiPriority w:val="0"/>
    <w:rPr>
      <w:rFonts w:hint="eastAsia" w:ascii="宋体" w:hAnsi="宋体" w:eastAsia="宋体" w:cs="宋体"/>
      <w:color w:val="FF0000"/>
      <w:sz w:val="21"/>
      <w:szCs w:val="21"/>
      <w:u w:val="none"/>
    </w:rPr>
  </w:style>
  <w:style w:type="character" w:customStyle="1" w:styleId="14">
    <w:name w:val="font21"/>
    <w:basedOn w:val="8"/>
    <w:qFormat/>
    <w:uiPriority w:val="0"/>
    <w:rPr>
      <w:rFonts w:hint="eastAsia" w:ascii="宋体" w:hAnsi="宋体" w:eastAsia="宋体" w:cs="宋体"/>
      <w:color w:val="000000"/>
      <w:sz w:val="21"/>
      <w:szCs w:val="21"/>
      <w:u w:val="none"/>
    </w:rPr>
  </w:style>
  <w:style w:type="character" w:customStyle="1" w:styleId="15">
    <w:name w:val="font01"/>
    <w:basedOn w:val="8"/>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8312</Words>
  <Characters>8695</Characters>
  <Paragraphs>266</Paragraphs>
  <TotalTime>3</TotalTime>
  <ScaleCrop>false</ScaleCrop>
  <LinksUpToDate>false</LinksUpToDate>
  <CharactersWithSpaces>8710</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2026-05-14T10:03:00Z</dcterms:created>
  <dc:creator>ELI-AN00</dc:creator>
  <cp:lastModifiedBy>Administrator</cp:lastModifiedBy>
  <cp:lastPrinted>2026-06-18T02:37:00Z</cp:lastPrinted>
  <dcterms:modified xsi:type="dcterms:W3CDTF">2026-07-15T08:33:38Z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8317535F476A467CBDDF0A16BE27E0B7_13</vt:lpwstr>
  </property>
  <property fmtid="{D5CDD505-2E9C-101B-9397-08002B2CF9AE}" pid="3" name="KSOProductBuildVer">
    <vt:lpwstr>2052-11.1.0.14309</vt:lpwstr>
  </property>
</Properties>
</file>