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kern w:val="0"/>
          <w:sz w:val="44"/>
          <w:szCs w:val="44"/>
          <w:highlight w:val="none"/>
          <w:lang w:val="en-US" w:eastAsia="zh-CN" w:bidi="ar"/>
        </w:rPr>
        <w:t>周宁县农村信用合作联社</w:t>
      </w:r>
    </w:p>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color w:val="auto"/>
          <w:kern w:val="0"/>
          <w:sz w:val="44"/>
          <w:szCs w:val="44"/>
          <w:highlight w:val="none"/>
          <w:lang w:val="en-US" w:eastAsia="zh-CN" w:bidi="ar"/>
        </w:rPr>
      </w:pPr>
      <w:r>
        <w:rPr>
          <w:rFonts w:hint="eastAsia" w:ascii="方正小标宋简体" w:hAnsi="方正小标宋简体" w:eastAsia="方正小标宋简体" w:cs="方正小标宋简体"/>
          <w:b w:val="0"/>
          <w:bCs/>
          <w:color w:val="auto"/>
          <w:kern w:val="0"/>
          <w:sz w:val="44"/>
          <w:szCs w:val="44"/>
          <w:highlight w:val="none"/>
          <w:lang w:val="en-US" w:eastAsia="zh-CN" w:bidi="ar"/>
        </w:rPr>
        <w:t>2025年度可持续信息披露报告</w:t>
      </w:r>
    </w:p>
    <w:p>
      <w:pPr>
        <w:pStyle w:val="3"/>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auto"/>
          <w:kern w:val="0"/>
          <w:sz w:val="32"/>
          <w:szCs w:val="32"/>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color w:val="auto"/>
          <w:sz w:val="32"/>
          <w:szCs w:val="32"/>
          <w:highlight w:val="none"/>
        </w:rPr>
      </w:pPr>
      <w:r>
        <w:rPr>
          <w:rFonts w:hint="eastAsia" w:ascii="黑体" w:hAnsi="黑体" w:eastAsia="黑体" w:cs="黑体"/>
          <w:color w:val="auto"/>
          <w:kern w:val="0"/>
          <w:sz w:val="32"/>
          <w:szCs w:val="32"/>
          <w:highlight w:val="none"/>
          <w:lang w:val="en-US" w:eastAsia="zh-CN" w:bidi="ar"/>
        </w:rPr>
        <w:t>一、关于本报告</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color w:val="auto"/>
          <w:sz w:val="32"/>
          <w:szCs w:val="32"/>
          <w:highlight w:val="none"/>
        </w:rPr>
      </w:pPr>
      <w:r>
        <w:rPr>
          <w:rFonts w:hint="eastAsia" w:ascii="仿宋_GB2312" w:hAnsi="宋体" w:eastAsia="仿宋_GB2312" w:cs="仿宋_GB2312"/>
          <w:color w:val="auto"/>
          <w:kern w:val="0"/>
          <w:sz w:val="32"/>
          <w:szCs w:val="32"/>
          <w:highlight w:val="none"/>
          <w:lang w:val="en-US" w:eastAsia="zh-CN" w:bidi="ar"/>
        </w:rPr>
        <w:t>《周宁县农村信用合作联社2025年度可持续信息披露报告》（以下简称“本报告”），旨在披露周宁县农村信用合作联社在环境保护、绿色金融及绿色运营等环境方面的相关信息。除特别说明外，本报告中“联社”指代周宁县农村信用合作联社。</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color w:val="auto"/>
          <w:sz w:val="32"/>
          <w:szCs w:val="32"/>
          <w:highlight w:val="none"/>
        </w:rPr>
      </w:pPr>
      <w:r>
        <w:rPr>
          <w:rFonts w:hint="eastAsia" w:ascii="仿宋_GB2312" w:hAnsi="宋体" w:eastAsia="仿宋_GB2312" w:cs="仿宋_GB2312"/>
          <w:b/>
          <w:color w:val="auto"/>
          <w:kern w:val="0"/>
          <w:sz w:val="32"/>
          <w:szCs w:val="32"/>
          <w:highlight w:val="none"/>
          <w:lang w:val="en-US" w:eastAsia="zh-CN" w:bidi="ar"/>
        </w:rPr>
        <w:t>报告期间</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color w:val="auto"/>
          <w:sz w:val="32"/>
          <w:szCs w:val="32"/>
          <w:highlight w:val="none"/>
          <w:lang w:val="en-US"/>
        </w:rPr>
      </w:pPr>
      <w:r>
        <w:rPr>
          <w:rFonts w:hint="eastAsia" w:ascii="仿宋_GB2312" w:hAnsi="宋体" w:eastAsia="仿宋_GB2312" w:cs="仿宋_GB2312"/>
          <w:color w:val="auto"/>
          <w:kern w:val="0"/>
          <w:sz w:val="32"/>
          <w:szCs w:val="32"/>
          <w:highlight w:val="none"/>
          <w:lang w:val="en-US" w:eastAsia="zh-CN" w:bidi="ar"/>
        </w:rPr>
        <w:t>2025年1月1日至2025年12月31日。</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color w:val="auto"/>
          <w:sz w:val="32"/>
          <w:szCs w:val="32"/>
          <w:highlight w:val="none"/>
        </w:rPr>
      </w:pPr>
      <w:r>
        <w:rPr>
          <w:rFonts w:hint="eastAsia" w:ascii="仿宋_GB2312" w:hAnsi="宋体" w:eastAsia="仿宋_GB2312" w:cs="仿宋_GB2312"/>
          <w:b/>
          <w:color w:val="auto"/>
          <w:kern w:val="0"/>
          <w:sz w:val="32"/>
          <w:szCs w:val="32"/>
          <w:highlight w:val="none"/>
          <w:lang w:val="en-US" w:eastAsia="zh-CN" w:bidi="ar"/>
        </w:rPr>
        <w:t>报告范围</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color w:val="auto"/>
          <w:sz w:val="32"/>
          <w:szCs w:val="32"/>
          <w:highlight w:val="none"/>
        </w:rPr>
      </w:pPr>
      <w:r>
        <w:rPr>
          <w:rFonts w:hint="eastAsia" w:ascii="仿宋_GB2312" w:hAnsi="宋体" w:eastAsia="仿宋_GB2312" w:cs="仿宋_GB2312"/>
          <w:color w:val="auto"/>
          <w:kern w:val="0"/>
          <w:sz w:val="32"/>
          <w:szCs w:val="32"/>
          <w:highlight w:val="none"/>
          <w:lang w:val="en-US" w:eastAsia="zh-CN" w:bidi="ar"/>
        </w:rPr>
        <w:t>本报告披露范围包括周宁县农村信用合作联社及所辖网点。</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color w:val="auto"/>
          <w:sz w:val="32"/>
          <w:szCs w:val="32"/>
          <w:highlight w:val="none"/>
        </w:rPr>
      </w:pPr>
      <w:r>
        <w:rPr>
          <w:rFonts w:hint="eastAsia" w:ascii="仿宋_GB2312" w:hAnsi="宋体" w:eastAsia="仿宋_GB2312" w:cs="仿宋_GB2312"/>
          <w:b/>
          <w:color w:val="auto"/>
          <w:kern w:val="0"/>
          <w:sz w:val="32"/>
          <w:szCs w:val="32"/>
          <w:highlight w:val="none"/>
          <w:lang w:val="en-US" w:eastAsia="zh-CN" w:bidi="ar"/>
        </w:rPr>
        <w:t>报告数据说明</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color w:val="auto"/>
          <w:sz w:val="32"/>
          <w:szCs w:val="32"/>
          <w:highlight w:val="none"/>
        </w:rPr>
      </w:pPr>
      <w:r>
        <w:rPr>
          <w:rFonts w:hint="eastAsia" w:ascii="仿宋_GB2312" w:hAnsi="宋体" w:eastAsia="仿宋_GB2312" w:cs="仿宋_GB2312"/>
          <w:color w:val="auto"/>
          <w:kern w:val="0"/>
          <w:sz w:val="32"/>
          <w:szCs w:val="32"/>
          <w:highlight w:val="none"/>
          <w:lang w:val="en-US" w:eastAsia="zh-CN" w:bidi="ar"/>
        </w:rPr>
        <w:t>本报告中的数据以2025年1月1日至2025年12月31日期间内的数据为主，主要来源联社内部统计数据及基于报告框架的定性与定量数据信息采集。本报告所涉及货币金额以人民币为计量单位。</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color w:val="auto"/>
          <w:sz w:val="32"/>
          <w:szCs w:val="32"/>
          <w:highlight w:val="none"/>
        </w:rPr>
      </w:pPr>
      <w:r>
        <w:rPr>
          <w:rFonts w:hint="eastAsia" w:ascii="仿宋_GB2312" w:hAnsi="宋体" w:eastAsia="仿宋_GB2312" w:cs="仿宋_GB2312"/>
          <w:b/>
          <w:color w:val="auto"/>
          <w:kern w:val="0"/>
          <w:sz w:val="32"/>
          <w:szCs w:val="32"/>
          <w:highlight w:val="none"/>
          <w:lang w:val="en-US" w:eastAsia="zh-CN" w:bidi="ar"/>
        </w:rPr>
        <w:t>报告编制依据</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color w:val="auto"/>
          <w:sz w:val="32"/>
          <w:szCs w:val="32"/>
          <w:highlight w:val="none"/>
        </w:rPr>
      </w:pPr>
      <w:r>
        <w:rPr>
          <w:rFonts w:hint="eastAsia" w:ascii="仿宋_GB2312" w:hAnsi="宋体" w:eastAsia="仿宋_GB2312" w:cs="仿宋_GB2312"/>
          <w:color w:val="auto"/>
          <w:kern w:val="0"/>
          <w:sz w:val="32"/>
          <w:szCs w:val="32"/>
          <w:highlight w:val="none"/>
          <w:lang w:val="en-US" w:eastAsia="zh-CN" w:bidi="ar"/>
        </w:rPr>
        <w:t>本报告内容遵循</w:t>
      </w:r>
      <w:r>
        <w:rPr>
          <w:rFonts w:hint="eastAsia" w:ascii="仿宋_GB2312" w:hAnsi="仿宋_GB2312" w:eastAsia="仿宋_GB2312" w:cs="仿宋_GB2312"/>
          <w:color w:val="auto"/>
          <w:kern w:val="2"/>
          <w:sz w:val="32"/>
          <w:szCs w:val="32"/>
          <w:lang w:val="en-US" w:eastAsia="zh-CN"/>
        </w:rPr>
        <w:t>《金融机构可持续信息披露指南（试用稿）》</w:t>
      </w:r>
      <w:r>
        <w:rPr>
          <w:rFonts w:hint="eastAsia" w:ascii="仿宋_GB2312" w:hAnsi="宋体" w:eastAsia="仿宋_GB2312" w:cs="仿宋_GB2312"/>
          <w:color w:val="auto"/>
          <w:kern w:val="0"/>
          <w:sz w:val="32"/>
          <w:szCs w:val="32"/>
          <w:highlight w:val="none"/>
          <w:lang w:val="en-US" w:eastAsia="zh-CN" w:bidi="ar"/>
        </w:rPr>
        <w:t>等相关要求。</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3" w:firstLineChars="200"/>
        <w:jc w:val="left"/>
        <w:textAlignment w:val="auto"/>
        <w:rPr>
          <w:color w:val="auto"/>
          <w:sz w:val="32"/>
          <w:szCs w:val="32"/>
          <w:highlight w:val="none"/>
        </w:rPr>
      </w:pPr>
      <w:r>
        <w:rPr>
          <w:rFonts w:hint="eastAsia" w:ascii="仿宋_GB2312" w:hAnsi="宋体" w:eastAsia="仿宋_GB2312" w:cs="仿宋_GB2312"/>
          <w:b/>
          <w:color w:val="auto"/>
          <w:kern w:val="0"/>
          <w:sz w:val="32"/>
          <w:szCs w:val="32"/>
          <w:highlight w:val="none"/>
          <w:lang w:val="en-US" w:eastAsia="zh-CN" w:bidi="ar"/>
        </w:rPr>
        <w:t>报告发布形式</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本报告以中文电子版形式发布，您可在联社官方网站查阅。</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b w:val="0"/>
          <w:bCs w:val="0"/>
          <w:color w:val="auto"/>
          <w:sz w:val="32"/>
          <w:szCs w:val="32"/>
          <w:highlight w:val="none"/>
        </w:rPr>
      </w:pPr>
      <w:r>
        <w:rPr>
          <w:rFonts w:hint="eastAsia" w:ascii="黑体" w:hAnsi="宋体" w:eastAsia="黑体" w:cs="黑体"/>
          <w:b w:val="0"/>
          <w:bCs w:val="0"/>
          <w:color w:val="auto"/>
          <w:kern w:val="0"/>
          <w:sz w:val="32"/>
          <w:szCs w:val="32"/>
          <w:highlight w:val="none"/>
          <w:lang w:val="en-US" w:eastAsia="zh-CN" w:bidi="ar"/>
        </w:rPr>
        <w:t>二、概况</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640" w:firstLineChars="200"/>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周宁农信联社作为县域独立县级法人金融机构，是当地网点布局最多、服务覆盖最深、客户群体最广的本土金融主力军。目前，联社下辖11个营业网点，在岗员工118人；布设存取款一体机19台、各类智能终端设备（VTM、MTM、STM）19台、回单机4台，布设小额便民服务点131户，实现县域自助金融服务、基础普惠服务全域覆盖。</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640" w:firstLineChars="200"/>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长期以来，周宁农信联社坚守本土初心、深耕县域市场，始终践行“服务县域经济、服务三农发展、服务小微企业、服务民生保障”的核心经营理念，聚焦地方发展大局，持续深耕普惠金融、发力绿色金融，精准赋能县域实体经济转型升级与生态经济高质量发展。经过长期深耕积累，联社业务规模稳步增长，截至目前，各项存款余额41.24亿元，各项贷款余额30.56亿元，存贷款市场份额稳居全县金融机构首位。同时，联社主动担当社会责任，依法合规经营、积极纳税，多年来纳税额度位居县域前列，是周宁县重要的财政税收来源，整体转型发展质效持续提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cs="黑体"/>
          <w:b w:val="0"/>
          <w:bCs/>
          <w:color w:val="auto"/>
          <w:kern w:val="0"/>
          <w:sz w:val="32"/>
          <w:szCs w:val="32"/>
          <w:highlight w:val="none"/>
          <w:lang w:val="en-US" w:eastAsia="zh-CN" w:bidi="ar"/>
        </w:rPr>
      </w:pPr>
      <w:bookmarkStart w:id="0" w:name="_Toc20776_WPSOffice_Level2"/>
      <w:r>
        <w:rPr>
          <w:rFonts w:hint="eastAsia" w:ascii="黑体" w:hAnsi="黑体" w:eastAsia="黑体" w:cs="黑体"/>
          <w:b w:val="0"/>
          <w:bCs/>
          <w:color w:val="auto"/>
          <w:kern w:val="0"/>
          <w:sz w:val="32"/>
          <w:szCs w:val="32"/>
          <w:highlight w:val="none"/>
          <w:lang w:val="en-US" w:eastAsia="zh-CN" w:bidi="ar"/>
        </w:rPr>
        <w:t>三、</w:t>
      </w:r>
      <w:bookmarkEnd w:id="0"/>
      <w:r>
        <w:rPr>
          <w:rFonts w:hint="eastAsia" w:ascii="黑体" w:hAnsi="黑体" w:eastAsia="黑体" w:cs="黑体"/>
          <w:b w:val="0"/>
          <w:bCs/>
          <w:color w:val="auto"/>
          <w:kern w:val="0"/>
          <w:sz w:val="32"/>
          <w:szCs w:val="32"/>
          <w:highlight w:val="none"/>
          <w:lang w:val="en-US" w:eastAsia="zh-CN" w:bidi="ar"/>
        </w:rPr>
        <w:t>战略规划</w:t>
      </w:r>
    </w:p>
    <w:p>
      <w:pPr>
        <w:pStyle w:val="14"/>
        <w:keepNext w:val="0"/>
        <w:keepLines w:val="0"/>
        <w:pageBreakBefore w:val="0"/>
        <w:kinsoku/>
        <w:wordWrap/>
        <w:overflowPunct/>
        <w:topLinePunct w:val="0"/>
        <w:autoSpaceDE/>
        <w:bidi w:val="0"/>
        <w:snapToGrid/>
        <w:spacing w:line="520" w:lineRule="exact"/>
        <w:ind w:firstLine="640"/>
        <w:jc w:val="both"/>
        <w:rPr>
          <w:rFonts w:hint="eastAsia" w:ascii="楷体" w:hAnsi="楷体" w:eastAsia="楷体" w:cs="楷体"/>
          <w:b w:val="0"/>
          <w:bCs/>
          <w:color w:val="auto"/>
          <w:kern w:val="0"/>
          <w:sz w:val="32"/>
          <w:szCs w:val="32"/>
          <w:highlight w:val="none"/>
          <w:lang w:val="en-US" w:eastAsia="zh-CN" w:bidi="ar"/>
        </w:rPr>
      </w:pPr>
      <w:r>
        <w:rPr>
          <w:rFonts w:hint="eastAsia" w:ascii="楷体" w:hAnsi="楷体" w:eastAsia="楷体" w:cs="楷体"/>
          <w:b w:val="0"/>
          <w:bCs/>
          <w:color w:val="auto"/>
          <w:kern w:val="0"/>
          <w:sz w:val="32"/>
          <w:szCs w:val="32"/>
          <w:highlight w:val="none"/>
          <w:lang w:val="en-US" w:eastAsia="zh-CN" w:bidi="ar"/>
        </w:rPr>
        <w:t>（一）规划及目标</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640" w:firstLineChars="200"/>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周宁联社立足县域生态资源优势与乡村振兴发展定位，深度融合普惠金融与绿色金融协同发展优势，全力构建体系完善、支撑有力、产品多元、创新活跃的银行业绿色金融服务体系。围绕绿色金融高质量发展，明确“四个不低于”核心发展目标：绿色融资余额整体增速不低于各项贷款平均增速、绿色融资总体增量不低于上年同期水平、绿色融资客户及项目总数不低于上年同期水平、绿色融资余额占各项贷款比重年度提升幅度不低于1个百分点。</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640" w:firstLineChars="200"/>
        <w:rPr>
          <w:rFonts w:hint="eastAsia" w:ascii="仿宋_GB2312" w:hAnsi="宋体" w:eastAsia="仿宋_GB2312" w:cs="仿宋_GB2312"/>
          <w:color w:val="auto"/>
          <w:kern w:val="0"/>
          <w:sz w:val="32"/>
          <w:szCs w:val="32"/>
          <w:highlight w:val="none"/>
          <w:lang w:val="en-US" w:eastAsia="zh-CN" w:bidi="ar"/>
        </w:rPr>
      </w:pPr>
      <w:r>
        <w:rPr>
          <w:rFonts w:hint="eastAsia" w:ascii="仿宋_GB2312" w:hAnsi="宋体" w:eastAsia="仿宋_GB2312" w:cs="仿宋_GB2312"/>
          <w:color w:val="auto"/>
          <w:kern w:val="0"/>
          <w:sz w:val="32"/>
          <w:szCs w:val="32"/>
          <w:highlight w:val="none"/>
          <w:lang w:val="en-US" w:eastAsia="zh-CN" w:bidi="ar"/>
        </w:rPr>
        <w:t>同时，将绿色金融发展战略与农村金融主责主业深度融合，持续深化金融改革创新，打造标准化、可复制、可推广的绿色金融产品与服务模式，引导金融资源精准流向低碳环保、节能减排、生态修复、绿色农业等重点领域，畅通“绿水青山”向“金山银山”的价值转化通道，全力打造具有周宁本土特色的农信绿色金融服务品牌，助推联社自身高质量发展与县域绿色经济提质增效双向赋能。</w:t>
      </w:r>
    </w:p>
    <w:p>
      <w:pPr>
        <w:keepNext w:val="0"/>
        <w:keepLines w:val="0"/>
        <w:pageBreakBefore w:val="0"/>
        <w:widowControl/>
        <w:kinsoku/>
        <w:wordWrap/>
        <w:overflowPunct/>
        <w:topLinePunct w:val="0"/>
        <w:autoSpaceDE/>
        <w:bidi w:val="0"/>
        <w:snapToGrid/>
        <w:spacing w:line="520" w:lineRule="exact"/>
        <w:ind w:firstLine="640" w:firstLineChars="200"/>
        <w:rPr>
          <w:rFonts w:hint="eastAsia" w:ascii="楷体" w:hAnsi="楷体" w:eastAsia="楷体" w:cs="楷体"/>
          <w:b w:val="0"/>
          <w:bCs/>
          <w:color w:val="auto"/>
          <w:kern w:val="0"/>
          <w:sz w:val="32"/>
          <w:szCs w:val="32"/>
          <w:highlight w:val="none"/>
          <w:lang w:val="en-US" w:eastAsia="zh-CN" w:bidi="ar"/>
        </w:rPr>
      </w:pPr>
      <w:r>
        <w:rPr>
          <w:rFonts w:hint="eastAsia" w:ascii="楷体" w:hAnsi="楷体" w:eastAsia="楷体" w:cs="楷体"/>
          <w:b w:val="0"/>
          <w:bCs/>
          <w:color w:val="auto"/>
          <w:kern w:val="0"/>
          <w:sz w:val="32"/>
          <w:szCs w:val="32"/>
          <w:highlight w:val="none"/>
          <w:lang w:val="en-US" w:eastAsia="zh-CN" w:bidi="ar"/>
        </w:rPr>
        <w:t>（二）实施情况</w:t>
      </w:r>
    </w:p>
    <w:p>
      <w:pPr>
        <w:keepNext w:val="0"/>
        <w:keepLines w:val="0"/>
        <w:pageBreakBefore w:val="0"/>
        <w:widowControl/>
        <w:kinsoku/>
        <w:wordWrap/>
        <w:overflowPunct/>
        <w:topLinePunct w:val="0"/>
        <w:autoSpaceDE/>
        <w:bidi w:val="0"/>
        <w:snapToGrid/>
        <w:spacing w:line="52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color w:val="auto"/>
          <w:kern w:val="0"/>
          <w:sz w:val="32"/>
          <w:szCs w:val="32"/>
          <w:highlight w:val="none"/>
          <w:lang w:val="en-US" w:eastAsia="zh-CN" w:bidi="ar"/>
        </w:rPr>
        <w:t>（1）绿色信贷规模稳步扩容。</w:t>
      </w:r>
      <w:r>
        <w:rPr>
          <w:rFonts w:hint="eastAsia" w:ascii="仿宋_GB2312" w:hAnsi="仿宋_GB2312" w:eastAsia="仿宋_GB2312" w:cs="仿宋_GB2312"/>
          <w:color w:val="auto"/>
          <w:kern w:val="0"/>
          <w:sz w:val="32"/>
          <w:szCs w:val="32"/>
          <w:highlight w:val="none"/>
          <w:lang w:val="en-US" w:eastAsia="zh-CN" w:bidi="ar"/>
        </w:rPr>
        <w:t>联社深入推进“党建+金融助理+多社融合”工程，深化与各乡镇、村居、合作社等共建单位战略合作，精准用好各项货币、财政金融扶持政策，聚焦普惠金融、绿色发展、乡村振兴三大核心领域持续加大信贷投放力度，绿色信贷资产规模稳步增长。截至2025年12月末，联社绿色贷款余额达5215.71万元，较年初增加3032.96万元，增幅达138.95%，为县域生态产业、绿色农业、节能环保项目发展提供了坚实的资金支撑。</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right="0" w:firstLine="640" w:firstLineChars="200"/>
        <w:rPr>
          <w:rFonts w:hint="eastAsia" w:ascii="仿宋_GB2312" w:hAnsi="仿宋_GB2312" w:eastAsia="仿宋_GB2312" w:cs="仿宋_GB2312"/>
          <w:b w:val="0"/>
          <w:bCs/>
          <w:color w:val="auto"/>
          <w:kern w:val="0"/>
          <w:sz w:val="32"/>
          <w:szCs w:val="32"/>
          <w:highlight w:val="none"/>
          <w:lang w:val="en-US" w:eastAsia="zh-CN" w:bidi="ar"/>
        </w:rPr>
      </w:pPr>
      <w:r>
        <w:rPr>
          <w:rFonts w:hint="eastAsia" w:ascii="仿宋_GB2312" w:hAnsi="仿宋_GB2312" w:eastAsia="仿宋_GB2312" w:cs="仿宋_GB2312"/>
          <w:b w:val="0"/>
          <w:bCs/>
          <w:color w:val="auto"/>
          <w:kern w:val="0"/>
          <w:sz w:val="32"/>
          <w:szCs w:val="32"/>
          <w:highlight w:val="none"/>
          <w:lang w:val="en-US" w:eastAsia="zh-CN" w:bidi="ar"/>
        </w:rPr>
        <w:t>（2）绿色信贷产品持续丰富。联社牢固树立“绿水青山就是金山银山”发展理念，紧扣县域产业绿色转型、生态经济发展需求，持续加大绿色金融产品创新与服务升级力度。依托周宁县丰富的林业、生态资源，针对性推出“碳汇贷”“林e贷”专属绿色信贷产品，配套打造“活立木”综合金融服务方案，精准匹配林业经济、碳汇产业、生态农业经营主体的融资需求，以差异化、特色化金融产品助力县域实体产业绿色低碳转型。</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0"/>
        <w:jc w:val="left"/>
        <w:rPr>
          <w:rFonts w:hint="eastAsia" w:ascii="仿宋_GB2312" w:hAnsi="仿宋_GB2312" w:eastAsia="仿宋_GB2312" w:cs="仿宋_GB2312"/>
          <w:b w:val="0"/>
          <w:bCs/>
          <w:color w:val="auto"/>
          <w:kern w:val="0"/>
          <w:sz w:val="32"/>
          <w:szCs w:val="32"/>
          <w:highlight w:val="none"/>
          <w:lang w:val="en-US" w:eastAsia="zh-CN" w:bidi="ar"/>
        </w:rPr>
      </w:pPr>
      <w:r>
        <w:rPr>
          <w:rFonts w:hint="eastAsia" w:hAnsi="仿宋_GB2312" w:cs="仿宋_GB2312"/>
          <w:b/>
          <w:color w:val="auto"/>
          <w:kern w:val="0"/>
          <w:sz w:val="32"/>
          <w:szCs w:val="32"/>
          <w:highlight w:val="none"/>
          <w:lang w:val="en-US" w:eastAsia="zh-CN" w:bidi="ar"/>
        </w:rPr>
        <w:t xml:space="preserve">   </w:t>
      </w:r>
      <w:r>
        <w:rPr>
          <w:rFonts w:hint="eastAsia" w:ascii="仿宋_GB2312" w:hAnsi="仿宋_GB2312" w:eastAsia="仿宋_GB2312" w:cs="仿宋_GB2312"/>
          <w:b w:val="0"/>
          <w:bCs/>
          <w:color w:val="auto"/>
          <w:kern w:val="0"/>
          <w:sz w:val="32"/>
          <w:szCs w:val="32"/>
          <w:highlight w:val="none"/>
          <w:lang w:val="en-US" w:eastAsia="zh-CN" w:bidi="ar"/>
        </w:rPr>
        <w:t>（3）绿色工作机制不断健全。为夯实绿色金融发展根基，联社持续完善制度体系与考核机制，规范化推进绿色金融业务发展。一是出台专项制度文件，制定《周宁县农村信用合作联社绿色信贷业务管理实施细则》，明确绿色信贷准入标准、业务流程、风险管控、投放要求，实现绿色信贷业务标准化、制度化运营；二是优化绩效考核体系，将绿色金融业务开展情况纳入各网点、各岗位绩效考核核心指标，强化正向激励引导，激发全员推进绿色金融发展的工作动力；三是立足县域生态发展理念，践行“绿水青山就是金山银山”及“三库+碳库”发展理念，挂牌成立“森林四库联动专营银行”，聚焦林业生态、碳库资源、生态保护领域，构建专属绿色金融服务机制。</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楷体_GB2312" w:hAnsi="楷体_GB2312" w:eastAsia="楷体_GB2312" w:cs="楷体_GB2312"/>
          <w:b w:val="0"/>
          <w:bCs/>
          <w:color w:val="auto"/>
          <w:sz w:val="32"/>
          <w:szCs w:val="32"/>
          <w:highlight w:val="none"/>
        </w:rPr>
      </w:pPr>
      <w:bookmarkStart w:id="1" w:name="_Toc15918_WPSOffice_Level2"/>
      <w:r>
        <w:rPr>
          <w:rFonts w:hint="eastAsia" w:ascii="楷体_GB2312" w:hAnsi="楷体_GB2312" w:eastAsia="楷体_GB2312" w:cs="楷体_GB2312"/>
          <w:b w:val="0"/>
          <w:bCs/>
          <w:color w:val="auto"/>
          <w:kern w:val="0"/>
          <w:sz w:val="32"/>
          <w:szCs w:val="32"/>
          <w:highlight w:val="none"/>
          <w:lang w:val="en-US" w:eastAsia="zh-CN" w:bidi="ar"/>
        </w:rPr>
        <w:t>（三）下一步规划与目标</w:t>
      </w:r>
      <w:bookmarkEnd w:id="1"/>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left="0" w:right="0"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深化绿色金融创新，构建闭环服务体系</w:t>
      </w:r>
      <w:r>
        <w:rPr>
          <w:rFonts w:hint="eastAsia" w:ascii="仿宋_GB2312" w:hAnsi="仿宋_GB2312" w:eastAsia="仿宋_GB2312" w:cs="仿宋_GB2312"/>
          <w:color w:val="auto"/>
          <w:sz w:val="32"/>
          <w:szCs w:val="32"/>
          <w:highlight w:val="none"/>
          <w:lang w:eastAsia="zh-CN"/>
        </w:rPr>
        <w:t>。坚持市场化、规范化发展原则，主动传播绿色低碳、循环经济发展理念，引导社会公众树立绿色生活、绿色生产意识。持续完善绿色金融发展体制机制，加快补齐政策配套、标准细化、正向激励、产品创新等短板。深化与林业主管部门的双向联动、精准协作，积极推动林权登记、公开流转、内部流转等配套政策落地见效，探索构建适配县域林业经济发展的金融服务新模式。持续迭代升级“林e贷”系列绿色信贷产品，丰富碳汇金融、林业金融服务场景，持续提升绿色信贷资金整体占比。聚焦碳减排重点领域和优质项目，推行优惠利率融资政策，降低绿色经营主体融资成本，逐步构建“政策支撑+产品创新+精准获客”的绿色金融闭环服务体系。</w:t>
      </w:r>
    </w:p>
    <w:p>
      <w:pPr>
        <w:pStyle w:val="6"/>
        <w:keepNext w:val="0"/>
        <w:keepLines w:val="0"/>
        <w:pageBreakBefore w:val="0"/>
        <w:widowControl/>
        <w:suppressLineNumbers w:val="0"/>
        <w:kinsoku/>
        <w:wordWrap/>
        <w:overflowPunct/>
        <w:topLinePunct w:val="0"/>
        <w:autoSpaceDE/>
        <w:bidi w:val="0"/>
        <w:snapToGrid/>
        <w:spacing w:before="0" w:beforeAutospacing="0" w:after="0" w:afterAutospacing="0" w:line="520" w:lineRule="exact"/>
        <w:ind w:right="0"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加大金融支持生态环境治理力度。</w:t>
      </w:r>
      <w:r>
        <w:rPr>
          <w:rFonts w:hint="eastAsia" w:ascii="仿宋_GB2312" w:hAnsi="仿宋_GB2312" w:eastAsia="仿宋_GB2312" w:cs="仿宋_GB2312"/>
          <w:color w:val="auto"/>
          <w:sz w:val="32"/>
          <w:szCs w:val="32"/>
          <w:highlight w:val="none"/>
          <w:lang w:eastAsia="zh-CN"/>
        </w:rPr>
        <w:t>紧扣县域生态文明建设总体部署，持续加大对生态环境治理领域的金融支持力度。重点对接县域生态保护修复、大气污染综合治理、水环境整治提升等重大民生工程、重点生态项目。主动靠前对接、深度摸排需求，常态化挖掘、储备生态修复、环境治理、节能降碳类优质项目，精准对接项目融资需求。以金融活水精准滴灌生态治理重点领域，助力相关部门精准治理污染源头、系统性提升县域生态修复能力，以高质量绿色金融服务护航周宁县生态保护与经济社会绿色可持续发展。</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四、治理结构和治理活动</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（一）治理结构</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理事会：将绿色金融发展工作纳入理事会战略规划，抓好战略引领，统筹谋划略。</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高级管理层：根据理事会的决定，制定绿色信贷目标，建立机制和流程，明确职责和权限，开展内控检查和考核评价，向理事会报告绿色信贷发展情况。</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机关部门：绿色金融工作由普惠金融部负责，负责指导、推动、实施绿色金融工作，并定期跟踪监测、通报各项工作进度，确保各项工作落实到位，优化绿色信贷业务流程和制度体系建设，研究和创新绿色金融产品和服务。</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各网点：为绿色金融需求提供“优授信、优利率、优审批”服务，开辟绿色金融快速通道，负责落实绿色金融制度，服务绿色金融客户，完成绿色信贷投放。</w:t>
      </w:r>
    </w:p>
    <w:p>
      <w:pPr>
        <w:keepNext w:val="0"/>
        <w:keepLines w:val="0"/>
        <w:pageBreakBefore w:val="0"/>
        <w:widowControl/>
        <w:numPr>
          <w:ilvl w:val="0"/>
          <w:numId w:val="1"/>
        </w:numPr>
        <w:pBdr>
          <w:bottom w:val="single" w:color="FFFFFF" w:sz="4" w:space="26"/>
        </w:pBdr>
        <w:kinsoku/>
        <w:wordWrap/>
        <w:overflowPunct/>
        <w:topLinePunct w:val="0"/>
        <w:autoSpaceDE/>
        <w:autoSpaceDN w:val="0"/>
        <w:bidi w:val="0"/>
        <w:adjustRightInd w:val="0"/>
        <w:snapToGrid/>
        <w:spacing w:beforeAutospacing="0" w:afterAutospacing="0" w:line="520" w:lineRule="exact"/>
        <w:ind w:left="0" w:leftChars="0" w:right="0" w:rightChars="0" w:firstLine="640" w:firstLineChars="20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治理活动</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1.健全组织架构，压实工作责任。印发《周宁县农村信用合作联社“十四五”期间推进绿色金融发展工作方案》，成立</w:t>
      </w:r>
      <w:r>
        <w:rPr>
          <w:rFonts w:hint="eastAsia" w:ascii="仿宋_GB2312" w:hAnsi="仿宋_GB2312" w:eastAsia="仿宋_GB2312" w:cs="仿宋_GB2312"/>
          <w:color w:val="auto"/>
          <w:kern w:val="0"/>
          <w:sz w:val="32"/>
          <w:szCs w:val="32"/>
          <w:lang w:val="en-US" w:eastAsia="zh-CN" w:bidi="ar"/>
        </w:rPr>
        <w:t>理事长为组长的绿色金融工作领导小组，</w:t>
      </w:r>
      <w:r>
        <w:rPr>
          <w:rFonts w:hint="eastAsia" w:ascii="仿宋_GB2312" w:hAnsi="宋体" w:eastAsia="仿宋_GB2312" w:cs="仿宋_GB2312"/>
          <w:color w:val="auto"/>
          <w:kern w:val="0"/>
          <w:sz w:val="31"/>
          <w:szCs w:val="31"/>
          <w:highlight w:val="none"/>
          <w:lang w:val="en-US" w:eastAsia="zh-CN" w:bidi="ar"/>
        </w:rPr>
        <w:t>制定十四五期间绿色发展目标。</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2.强化考核督导，倒逼提质增效。将绿色金融核心指标纳入网点综合绩效考核体系，建立按月监测、按季通报、年度考核的督导机制，定期通报各网点绿色信贷投放、客户拓展、指标完成情况，以刚性考核倒逼绿色金融各项工作提质提速。</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3.加强队伍建设，夯实业务基础。将绿色金融政策口径、业务规范、产品要点、统计标准纳入全员常态化培训内容，精准传导监管及上级行绿色金融工作要求，提升一线员工绿色金融业务实操能力与服务水平。按季开展绿色金融工作复盘总结，形成专项分析报告，及时梳理短板、优化工作举措。</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4.创新产品服务，打造本土特色。深度结合县域林业生态、碳汇资源、绿色农业特色，践行“绿水青山就是金山银山”和“三库+碳库”重要理念，创新推出“垦荒贷”“碳汇贷”“林e贷”等专属绿色信贷产品，落地“活立木”综合金融服务方案，实现林业全产业链、生态经济全场景金融赋能。依托专属服务机制，成立“森林四库联动专营银行”，聚焦生态资源价值转化，打造县域绿色金融特色品牌。</w:t>
      </w:r>
    </w:p>
    <w:p>
      <w:pPr>
        <w:keepNext w:val="0"/>
        <w:keepLines w:val="0"/>
        <w:pageBreakBefore w:val="0"/>
        <w:widowControl/>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仿宋_GB2312" w:eastAsia="仿宋_GB2312" w:cs="仿宋_GB2312"/>
          <w:snapToGrid/>
          <w:color w:val="auto"/>
          <w:kern w:val="2"/>
          <w:sz w:val="32"/>
          <w:szCs w:val="32"/>
          <w:highlight w:val="none"/>
          <w:lang w:val="en-US" w:eastAsia="zh-CN" w:bidi="ar-SA"/>
        </w:rPr>
      </w:pPr>
      <w:r>
        <w:rPr>
          <w:rFonts w:hint="eastAsia" w:ascii="仿宋_GB2312" w:hAnsi="宋体" w:eastAsia="仿宋_GB2312" w:cs="仿宋_GB2312"/>
          <w:color w:val="auto"/>
          <w:kern w:val="0"/>
          <w:sz w:val="31"/>
          <w:szCs w:val="31"/>
          <w:highlight w:val="none"/>
          <w:lang w:val="en-US" w:eastAsia="zh-CN" w:bidi="ar"/>
        </w:rPr>
        <w:t>5.严控环境风险，规范全流程管理。推进绿色信贷全流程规范化管理，将环境风险、社会风险识别、评估、防控嵌入信贷调查、审查、审批、贷后管理各环节，严格落实高耗能、高污染项目融资限制要求，持续筑牢绿色金融风险防控底线。</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五、政策制度</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310" w:firstLineChars="100"/>
        <w:contextualSpacing/>
        <w:textAlignment w:val="baseline"/>
        <w:rPr>
          <w:rFonts w:hint="eastAsia" w:ascii="楷体" w:hAnsi="楷体" w:eastAsia="楷体" w:cs="楷体"/>
          <w:color w:val="auto"/>
          <w:kern w:val="0"/>
          <w:sz w:val="31"/>
          <w:szCs w:val="31"/>
          <w:highlight w:val="none"/>
          <w:lang w:val="en-US" w:eastAsia="zh-CN" w:bidi="ar"/>
        </w:rPr>
      </w:pPr>
      <w:r>
        <w:rPr>
          <w:rFonts w:hint="eastAsia" w:ascii="楷体" w:hAnsi="楷体" w:eastAsia="楷体" w:cs="楷体"/>
          <w:color w:val="auto"/>
          <w:kern w:val="0"/>
          <w:sz w:val="31"/>
          <w:szCs w:val="31"/>
          <w:highlight w:val="none"/>
          <w:lang w:val="en-US" w:eastAsia="zh-CN" w:bidi="ar"/>
        </w:rPr>
        <w:t xml:space="preserve">  （一）政策制度情况</w:t>
      </w:r>
    </w:p>
    <w:tbl>
      <w:tblPr>
        <w:tblStyle w:val="7"/>
        <w:tblW w:w="9282" w:type="dxa"/>
        <w:tblInd w:w="2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99"/>
        <w:gridCol w:w="3010"/>
        <w:gridCol w:w="23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文件名称</w:t>
            </w:r>
          </w:p>
        </w:tc>
        <w:tc>
          <w:tcPr>
            <w:tcW w:w="3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文件主要内容</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发文字号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《周宁县农村信用合作联社“十四五”期间推进绿色金融发展的工作方案》</w:t>
            </w:r>
          </w:p>
        </w:tc>
        <w:tc>
          <w:tcPr>
            <w:tcW w:w="3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明确十四五期间绿色信贷工作目标及工作要点。</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周农信〔2021〕114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《周宁县农村信用合作联社绿色信贷业务管理实施细则》</w:t>
            </w:r>
          </w:p>
        </w:tc>
        <w:tc>
          <w:tcPr>
            <w:tcW w:w="3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明确组织管理和部门分工；依据国家产业政策，确定绿色信贷的授信原则；绿色信贷的全流程管理。</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周农信〔2021〕86号</w:t>
            </w:r>
          </w:p>
        </w:tc>
      </w:tr>
    </w:tbl>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楷体" w:hAnsi="楷体" w:eastAsia="楷体" w:cs="楷体"/>
          <w:color w:val="auto"/>
          <w:kern w:val="0"/>
          <w:sz w:val="31"/>
          <w:szCs w:val="31"/>
          <w:highlight w:val="none"/>
          <w:lang w:val="en-US" w:eastAsia="zh-CN" w:bidi="ar"/>
        </w:rPr>
      </w:pPr>
      <w:r>
        <w:rPr>
          <w:rFonts w:hint="eastAsia" w:ascii="楷体" w:hAnsi="楷体" w:eastAsia="楷体" w:cs="楷体"/>
          <w:color w:val="auto"/>
          <w:kern w:val="0"/>
          <w:sz w:val="31"/>
          <w:szCs w:val="31"/>
          <w:highlight w:val="none"/>
          <w:lang w:val="en-US" w:eastAsia="zh-CN" w:bidi="ar"/>
        </w:rPr>
        <w:t>（二）绿色贷款差异化执行政策</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为持续激发绿色金融发展活力、降低绿色主体融资成本、提升办贷效率，联社落地多项差异化、正向激励政策。</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 利率定价倾斜政策。优先引导绿色经营主体办理乡村振兴贷等政策性信贷产品，积极对接央行再贷款优惠政策，针对“碳汇贷”“林e贷”等专属绿色产品执行低利率定价，持续让利县域绿色产业、生态农业主体。</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 审批绿色通道政策。建立绿色信贷专属审批通道，实行贷审会预审机制，精准快速甄别绿色项目、简化审批流程、压缩办贷时限，大幅降低绿色客户时间成本，提升绿色融资服务效率。</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 尽职免责容错政策。明确绿色金融贷款大多归属涉农、小微贷款范畴，严格落实尽职免责机制。在无违规违纪、无违反内外管理制度的前提下，若绿色贷款不良率未超联社不良贷款防控目标3个百分点以上，可免予追责，充分打消基层展业顾虑。</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 量化考核约束政策。严格落实绿色金融“四个不低于”考核要求，对绿色融资增速、增量、客户数、贷款占比提升四项指标实行刚性考核，每未完成一项指标扣减绩效考核0.5分，以严格考核保障绿色金融目标落地。</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5.气候及环境风险管理。推进绿色信贷全流程规范化管理，将环境风险嵌入信贷调查、审查、审批、贷后管理各环节，严格落实高耗能、高污染项目融资限制要求，持续筑牢绿色金融风险防控底线。</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楷体" w:hAnsi="楷体" w:eastAsia="楷体" w:cs="楷体"/>
          <w:color w:val="auto"/>
          <w:kern w:val="0"/>
          <w:sz w:val="31"/>
          <w:szCs w:val="31"/>
          <w:highlight w:val="none"/>
          <w:lang w:val="en-US" w:eastAsia="zh-CN" w:bidi="ar"/>
        </w:rPr>
      </w:pPr>
      <w:r>
        <w:rPr>
          <w:rFonts w:hint="eastAsia" w:ascii="楷体" w:hAnsi="楷体" w:eastAsia="楷体" w:cs="楷体"/>
          <w:color w:val="auto"/>
          <w:kern w:val="0"/>
          <w:sz w:val="31"/>
          <w:szCs w:val="31"/>
          <w:highlight w:val="none"/>
          <w:lang w:val="en-US" w:eastAsia="zh-CN" w:bidi="ar"/>
        </w:rPr>
        <w:t>（三）遵守采纳与机构相关的气候与环境国际公约、框架、倡议等情况</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联社始终紧跟国家战略与监管导向，坚决贯彻落实“碳达峰、碳中和”总体部署。制定绿色发展十四五规划，将绿色金融纳入绩效统计，推出林e贷等绿色产品。但也存在不足，一是未正式签约PRB、PCAF等国际倡议，以参考落地准则为主；二是对气候数据、投融资碳足迹核算不足，碳排放测算薄弱。</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六、可持续相关风险和机遇</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（一）风险与机遇描述</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仿宋_GB2312" w:eastAsia="仿宋_GB2312" w:cs="仿宋_GB2312"/>
          <w:color w:val="auto"/>
          <w:spacing w:val="15"/>
          <w:sz w:val="32"/>
          <w:szCs w:val="32"/>
          <w:lang w:eastAsia="zh-CN"/>
        </w:rPr>
      </w:pPr>
      <w:r>
        <w:rPr>
          <w:rFonts w:hint="eastAsia" w:ascii="仿宋_GB2312" w:hAnsi="宋体" w:eastAsia="仿宋_GB2312" w:cs="仿宋_GB2312"/>
          <w:color w:val="auto"/>
          <w:kern w:val="0"/>
          <w:sz w:val="31"/>
          <w:szCs w:val="31"/>
          <w:highlight w:val="none"/>
          <w:lang w:val="en-US" w:eastAsia="zh-CN" w:bidi="ar"/>
        </w:rPr>
        <w:t>联社结合县域产业结构、气候环境特点及宏观政策导向，开展涉农与绿色农业领域行业等</w:t>
      </w:r>
      <w:bookmarkStart w:id="2" w:name="_GoBack"/>
      <w:bookmarkEnd w:id="2"/>
      <w:r>
        <w:rPr>
          <w:rFonts w:hint="eastAsia" w:ascii="仿宋_GB2312" w:hAnsi="宋体" w:eastAsia="仿宋_GB2312" w:cs="仿宋_GB2312"/>
          <w:color w:val="auto"/>
          <w:kern w:val="0"/>
          <w:sz w:val="31"/>
          <w:szCs w:val="31"/>
          <w:highlight w:val="none"/>
          <w:lang w:val="en-US" w:eastAsia="zh-CN" w:bidi="ar"/>
        </w:rPr>
        <w:t>分析，初步识别气候环境、产业转型带来的各类风险与发展机遇。</w:t>
      </w:r>
      <w:r>
        <w:rPr>
          <w:rFonts w:hint="eastAsia" w:ascii="仿宋_GB2312" w:hAnsi="仿宋_GB2312" w:eastAsia="仿宋_GB2312" w:cs="仿宋_GB2312"/>
          <w:color w:val="auto"/>
          <w:spacing w:val="15"/>
          <w:sz w:val="32"/>
          <w:szCs w:val="32"/>
          <w:lang w:eastAsia="zh-CN"/>
        </w:rPr>
        <w:t>目前</w:t>
      </w:r>
      <w:r>
        <w:rPr>
          <w:rFonts w:hint="eastAsia" w:ascii="仿宋_GB2312" w:hAnsi="仿宋_GB2312" w:eastAsia="仿宋_GB2312" w:cs="仿宋_GB2312"/>
          <w:color w:val="auto"/>
          <w:spacing w:val="15"/>
          <w:sz w:val="32"/>
          <w:szCs w:val="32"/>
          <w:lang w:val="en-US" w:eastAsia="zh-CN"/>
        </w:rPr>
        <w:t>联社</w:t>
      </w:r>
      <w:r>
        <w:rPr>
          <w:rFonts w:hint="eastAsia" w:ascii="仿宋_GB2312" w:hAnsi="仿宋_GB2312" w:eastAsia="仿宋_GB2312" w:cs="仿宋_GB2312"/>
          <w:color w:val="auto"/>
          <w:spacing w:val="15"/>
          <w:sz w:val="32"/>
          <w:szCs w:val="32"/>
          <w:lang w:eastAsia="zh-CN"/>
        </w:rPr>
        <w:t>暂未开展系统性气候情景模拟及气候风险专项压力测试。</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1.发展机遇</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随着乡村振兴战略深入实施，以及绿色农业、生态旅游、林下经济等产业的快速发展，涉农主体在设施升级、品种改良、绿色转型、产业链延伸等方面的信贷需求持续增长。联社前期已开展极端气候对农业生产的影响调研，通过分析2022年冰雪天气导致周宁县浦源镇盛周花卉公司31.76亩设施农业大棚及薄膜严重受损的典型案例，初步识别了极端气候对涉农主体生产经营的直接影响。后续，联社可围绕绿色农业、生态种养、乡村旅游等领域，推广普惠绿色信贷产品，优化涉农信贷服务模式，助力涉农主体提升抗风险能力与可持续发展能力，同时提升联社涉农业务的客户粘性与品牌形象，打造县域特色普惠绿色金融服务模式。</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2.主要风险与不足</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联社对涉农产业可持续相关风险的识别仍不够系统，主要体现在以下方面：</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1）物理风险（气候相关）：周宁县地处山区，洪涝、干旱、冰雪、台风等极端天气事件频发，对设施农业、种植养殖等涉农产业的影响直接且显著。极端天气不仅会造成大棚、圈舍、灌溉设施等固定资产损毁，还可能导致农作物减产、畜禽死亡，直接影响涉农主体的生产经营与还款能力，同时抵押物（如设施大棚、林权、土地经营权等）的价值也可能因灾害受损而下降，增加联社信贷资产的风险敞口。长期来看，极端气候事件常态化，将持续对底层涉农资产造成物理风险扰动，联社涉农信贷资产面临长期减值压力。</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2）转型与经营风险：生态种植、种养循环等绿色农业项目普遍存在前期投入大、回报周期长、现金流不稳定的特点，部分涉农主体绿色转型技术不成熟、配套设施不完善，项目收益不及预期的风险较高，可能导致信贷资金无法按期收回。同时，部分涉农主体经营规模小、抗风险能力弱，缺乏有效的风险缓释措施，一旦遭遇自然灾害或市场波动，极易陷入经营困境，违约风险上升。</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3）市场与价格风险：农产品价格波动较大，部分特色农产品存在市场规模小、销售渠道窄的问题，若市场需求变化或价格大幅下跌，将直接影响涉农主体的收入水平，进而影响其还款能力。此外，部分涉农产业同质化竞争严重，缺乏品牌化、规模化经营，市场竞争力较弱，长期发展面临不确定性。</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default"/>
          <w:lang w:val="en-US" w:eastAsia="zh-CN"/>
        </w:rPr>
      </w:pPr>
      <w:r>
        <w:rPr>
          <w:rFonts w:hint="eastAsia" w:ascii="仿宋_GB2312" w:hAnsi="宋体" w:eastAsia="仿宋_GB2312" w:cs="仿宋_GB2312"/>
          <w:color w:val="auto"/>
          <w:kern w:val="0"/>
          <w:sz w:val="31"/>
          <w:szCs w:val="31"/>
          <w:highlight w:val="none"/>
          <w:lang w:val="en-US" w:eastAsia="zh-CN" w:bidi="ar"/>
        </w:rPr>
        <w:t>（4）风险识别短板：前期调研更多聚焦极端天气对生产设施的直接影响，对气候风险向信贷资产传导的路径分析不够深入，未建立常态化的气候风险监测与评估机制，对涉农主体的抗风险能力、项目可持续性的研判不够全面，风险缓释措施也不够完善，难以有效应对极端气候事件常态化带来的长期风险。</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（二）气候变化</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为持续提升应对气候风险的战略韧性，联社主动优化信贷结构、强化源头管控，严格落实绿色信贷发展目标，持续加大低碳、生态、环保领域信贷投放，优化整体信贷资产结构。</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default"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 xml:space="preserve">目前，联社尚未建立气候风险突发事件专项应急预案与信息披露机制,未开展全面的气候风险敞口量化统计,未开展气候相关风险和机遇的资本开支、融资或投资统计。 </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（三）生物多样性</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default"/>
          <w:color w:val="auto"/>
          <w:lang w:val="en-US" w:eastAsia="zh-CN"/>
        </w:rPr>
      </w:pPr>
      <w:r>
        <w:rPr>
          <w:rFonts w:hint="eastAsia" w:ascii="仿宋_GB2312" w:hAnsi="宋体" w:eastAsia="仿宋_GB2312" w:cs="仿宋_GB2312"/>
          <w:color w:val="auto"/>
          <w:kern w:val="0"/>
          <w:sz w:val="31"/>
          <w:szCs w:val="31"/>
          <w:highlight w:val="none"/>
          <w:lang w:val="en-US" w:eastAsia="zh-CN" w:bidi="ar"/>
        </w:rPr>
        <w:t>联社将生物多样性保护融入信贷全流程管理，</w:t>
      </w:r>
      <w:r>
        <w:rPr>
          <w:rFonts w:hint="default" w:ascii="仿宋_GB2312" w:hAnsi="宋体" w:eastAsia="仿宋_GB2312" w:cs="仿宋_GB2312"/>
          <w:color w:val="auto"/>
          <w:kern w:val="0"/>
          <w:sz w:val="31"/>
          <w:szCs w:val="31"/>
          <w:highlight w:val="none"/>
          <w:lang w:val="en-US" w:eastAsia="zh-CN" w:bidi="ar"/>
        </w:rPr>
        <w:t>识别自然相关风险</w:t>
      </w:r>
      <w:r>
        <w:rPr>
          <w:rFonts w:hint="eastAsia" w:ascii="仿宋_GB2312" w:hAnsi="宋体" w:eastAsia="仿宋_GB2312" w:cs="仿宋_GB2312"/>
          <w:color w:val="auto"/>
          <w:kern w:val="0"/>
          <w:sz w:val="31"/>
          <w:szCs w:val="31"/>
          <w:highlight w:val="none"/>
          <w:lang w:val="en-US" w:eastAsia="zh-CN" w:bidi="ar"/>
        </w:rPr>
        <w:t>，</w:t>
      </w:r>
      <w:r>
        <w:rPr>
          <w:rFonts w:hint="default" w:ascii="仿宋_GB2312" w:hAnsi="宋体" w:eastAsia="仿宋_GB2312" w:cs="仿宋_GB2312"/>
          <w:color w:val="auto"/>
          <w:kern w:val="0"/>
          <w:sz w:val="31"/>
          <w:szCs w:val="31"/>
          <w:highlight w:val="none"/>
          <w:lang w:val="en-US" w:eastAsia="zh-CN" w:bidi="ar"/>
        </w:rPr>
        <w:t>在信贷审批环节，重点排查客户是否存在违规占用林地、破坏耕地、违规取水排污等行为。同时，将生物多样性保护要求纳入信贷政策底线，严格执行生态保护红线管理要求，对涉及自然保护区、生态红线、重点生态功能区的违规项目、破坏生物多样性的项目坚决不予授信，从源头守住生态保护与绿色信贷底线。</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七、投融资活动可持续信息</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（一）投融资情况及其对可持续发展的影响</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联社坚决贯彻国家绿色低碳发展政策，牢固树立可持续发展经营理念，坚持低碳运营、绿色赋能的发展思路，持续推进业务电子化、无纸化、数字化转型，落实绿色办公、绿色运营各项举措，切实履行地方法人金融机构环境责任与社会责任。依托联社绿色金融中长期发展规划，持续加大绿色领域信贷倾斜力度，推动绿色信贷规模稳步扩容、结构持续优化。截至2025年12月末，联社绿色贷款余额5215.71万元，较年初增加3032.96万元，年度增幅达138.95%，占总资产比重0.98%，绿色信贷业务保持稳步增长态势，贷款资金主要投向节能环保产业、生态环境治理、绿色农林产业、资源循环利用等绿色领域。目前，联社暂未开展绿色债券投资业务，无大型专项绿色项目大额授信投放。</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eastAsia" w:ascii="楷体" w:hAnsi="楷体" w:eastAsia="楷体" w:cstheme="minorBidi"/>
          <w:color w:val="auto"/>
          <w:sz w:val="32"/>
          <w:szCs w:val="32"/>
          <w:lang w:val="en-US" w:eastAsia="zh-CN"/>
        </w:rPr>
      </w:pPr>
      <w:r>
        <w:rPr>
          <w:rFonts w:hint="eastAsia" w:ascii="楷体" w:hAnsi="楷体" w:eastAsia="楷体" w:cstheme="minorBidi"/>
          <w:color w:val="auto"/>
          <w:sz w:val="32"/>
          <w:szCs w:val="32"/>
          <w:lang w:val="en-US" w:eastAsia="zh-CN"/>
        </w:rPr>
        <w:t>（二）投融资业务碳排放核算</w:t>
      </w:r>
    </w:p>
    <w:tbl>
      <w:tblPr>
        <w:tblStyle w:val="7"/>
        <w:tblW w:w="97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0"/>
        <w:gridCol w:w="3616"/>
        <w:gridCol w:w="236"/>
        <w:gridCol w:w="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5630"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表：投融资业务碳排放核算</w:t>
            </w:r>
          </w:p>
        </w:tc>
        <w:tc>
          <w:tcPr>
            <w:tcW w:w="3616" w:type="dxa"/>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p>
        </w:tc>
        <w:tc>
          <w:tcPr>
            <w:tcW w:w="236"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b/>
                <w:bCs/>
                <w:i w:val="0"/>
                <w:iCs w:val="0"/>
                <w:color w:val="auto"/>
                <w:sz w:val="32"/>
                <w:szCs w:val="32"/>
                <w:u w:val="none"/>
              </w:rPr>
            </w:pPr>
          </w:p>
        </w:tc>
        <w:tc>
          <w:tcPr>
            <w:tcW w:w="240"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b/>
                <w:bCs/>
                <w:i w:val="0"/>
                <w:iCs w:val="0"/>
                <w:color w:val="auto"/>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496"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可测算碳排放量的客户数（个）</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496"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可测算碳排放量的贷款笔数（笔）</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496"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可测算碳排放量的贷款余额（万元）</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496"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贷款企业或项目年度合计碳排放量（吨）</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496"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贷款对应年度合计碳排放量（吨）</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982"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已披露碳排放的资产占全部资产的比例（%）</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982"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文字说明（碳排放计算的方法、输入资料及假设，说明选择方法的原因）</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0" w:type="dxa"/>
          <w:trHeight w:val="982" w:hRule="atLeast"/>
        </w:trPr>
        <w:tc>
          <w:tcPr>
            <w:tcW w:w="5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val="en-US" w:eastAsia="zh-CN"/>
              </w:rPr>
            </w:pPr>
            <w:r>
              <w:rPr>
                <w:rFonts w:hint="eastAsia" w:ascii="仿宋_GB2312" w:hAnsi="仿宋_GB2312" w:eastAsia="仿宋_GB2312" w:cs="仿宋_GB2312"/>
                <w:color w:val="auto"/>
                <w:spacing w:val="15"/>
                <w:sz w:val="32"/>
                <w:szCs w:val="32"/>
                <w:lang w:val="en-US" w:eastAsia="zh-CN"/>
              </w:rPr>
              <w:t>文字说明（逐年提高投融资活动碳排放量报告比例的计划）</w:t>
            </w:r>
          </w:p>
        </w:tc>
        <w:tc>
          <w:tcPr>
            <w:tcW w:w="38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val="en-US" w:eastAsia="zh-CN"/>
              </w:rPr>
              <w:t>无</w:t>
            </w:r>
          </w:p>
        </w:tc>
      </w:tr>
    </w:tbl>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contextualSpacing/>
        <w:textAlignment w:val="baseline"/>
        <w:rPr>
          <w:rFonts w:hint="default" w:ascii="仿宋_GB2312" w:hAnsi="宋体" w:eastAsia="仿宋_GB2312" w:cs="仿宋_GB2312"/>
          <w:color w:val="auto"/>
          <w:kern w:val="0"/>
          <w:sz w:val="31"/>
          <w:szCs w:val="31"/>
          <w:highlight w:val="none"/>
          <w:lang w:val="en-US" w:eastAsia="zh-CN" w:bidi="ar"/>
        </w:rPr>
      </w:pPr>
      <w:r>
        <w:rPr>
          <w:rFonts w:hint="default" w:ascii="仿宋_GB2312" w:hAnsi="宋体" w:eastAsia="仿宋_GB2312" w:cs="仿宋_GB2312"/>
          <w:color w:val="auto"/>
          <w:kern w:val="0"/>
          <w:sz w:val="31"/>
          <w:szCs w:val="31"/>
          <w:highlight w:val="none"/>
          <w:lang w:val="en-US" w:eastAsia="zh-CN" w:bidi="ar"/>
        </w:rPr>
        <w:t>注：参考《金融机构碳核算技术指南（试行）》填写，包括项目融资与非项目融资。</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（三）绿色贷款整体情况、分行业贷款情况</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20" w:firstLineChars="200"/>
        <w:contextualSpacing/>
        <w:textAlignment w:val="baseline"/>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截至2025年12月末，联社绿色贷款余额5215.71万元，较年初增加3032.96万元，年度增幅达138.95%，绿色信贷投放增速显著，绿色金融转型成效凸显。其中资源循环利用贷款：余额686.70万元，较年初新增141.81万元，有效助力县域资源节约、循环利用、节能降碳产业发展；生态农林牧渔业贷款：余额4292.62万元，较年初新增2748.88万元，是绿色信贷核心投向，精准赋能县域林下经济、生态种养、林业保护、碳汇农业发展。环境基础设施贷款：余额236.39万元，较年初新增142.27万元，重点支持园林绿化建设。</w:t>
      </w:r>
    </w:p>
    <w:p>
      <w:pPr>
        <w:keepNext w:val="0"/>
        <w:keepLines w:val="0"/>
        <w:pageBreakBefore w:val="0"/>
        <w:widowControl/>
        <w:numPr>
          <w:ilvl w:val="0"/>
          <w:numId w:val="0"/>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楷体" w:hAnsi="楷体" w:eastAsia="楷体" w:cstheme="minorBidi"/>
          <w:color w:val="auto"/>
          <w:sz w:val="32"/>
          <w:szCs w:val="32"/>
          <w:lang w:val="en-US" w:eastAsia="zh-CN"/>
        </w:rPr>
      </w:pPr>
      <w:r>
        <w:rPr>
          <w:rFonts w:hint="eastAsia" w:ascii="楷体" w:hAnsi="楷体" w:eastAsia="楷体" w:cstheme="minorBidi"/>
          <w:color w:val="auto"/>
          <w:sz w:val="32"/>
          <w:szCs w:val="32"/>
          <w:lang w:val="en-US" w:eastAsia="zh-CN"/>
        </w:rPr>
        <w:t>（四）绿色贷款余额折合减排情况</w:t>
      </w:r>
    </w:p>
    <w:tbl>
      <w:tblPr>
        <w:tblStyle w:val="7"/>
        <w:tblW w:w="10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85"/>
        <w:gridCol w:w="3345"/>
        <w:gridCol w:w="23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485"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78" w:lineRule="exact"/>
              <w:jc w:val="both"/>
              <w:rPr>
                <w:rFonts w:hint="eastAsia" w:ascii="仿宋_GB2312" w:hAnsi="仿宋_GB2312" w:eastAsia="仿宋_GB2312" w:cs="仿宋_GB2312"/>
                <w:color w:val="auto"/>
                <w:spacing w:val="15"/>
                <w:sz w:val="32"/>
                <w:szCs w:val="32"/>
                <w:highlight w:val="none"/>
                <w:lang w:eastAsia="zh-CN"/>
              </w:rPr>
            </w:pPr>
          </w:p>
        </w:tc>
        <w:tc>
          <w:tcPr>
            <w:tcW w:w="3345" w:type="dxa"/>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p>
        </w:tc>
        <w:tc>
          <w:tcPr>
            <w:tcW w:w="2370"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b/>
                <w:bCs/>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可测算环境效益的绿色贷款笔数（笔）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可测算环境效益的绿色贷款余额（万元）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折合减排标准煤（吨）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折合减排二氧化碳当量（吨）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折合减排化学需氧量（吨）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折合减排氨氮（吨）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折合减排二氧化硫（吨）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val="en-US" w:eastAsia="zh-CN"/>
              </w:rPr>
            </w:pPr>
            <w:r>
              <w:rPr>
                <w:rFonts w:hint="eastAsia" w:ascii="仿宋_GB2312" w:hAnsi="仿宋_GB2312" w:eastAsia="仿宋_GB2312" w:cs="仿宋_GB2312"/>
                <w:color w:val="auto"/>
                <w:spacing w:val="15"/>
                <w:sz w:val="32"/>
                <w:szCs w:val="32"/>
                <w:highlight w:val="none"/>
                <w:lang w:val="en-US" w:eastAsia="zh-CN"/>
              </w:rPr>
              <w:t>折合减排氮氧化物（吨）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折合节水（吨）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200" w:type="dxa"/>
            <w:gridSpan w:val="3"/>
            <w:tcBorders>
              <w:top w:val="single" w:color="000000" w:sz="4" w:space="0"/>
              <w:left w:val="nil"/>
              <w:bottom w:val="nil"/>
              <w:right w:val="nil"/>
            </w:tcBorders>
            <w:shd w:val="clear" w:color="auto" w:fill="auto"/>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t>注：参考《绿色信贷项目节能减排量测算指引》填写。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仿宋_GB2312" w:hAnsi="仿宋_GB2312" w:eastAsia="仿宋_GB2312" w:cs="仿宋_GB2312"/>
                <w:color w:val="auto"/>
                <w:spacing w:val="15"/>
                <w:sz w:val="32"/>
                <w:szCs w:val="32"/>
                <w:highlight w:val="none"/>
                <w:lang w:val="en-US"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57150</wp:posOffset>
                  </wp:positionV>
                  <wp:extent cx="4791075" cy="361950"/>
                  <wp:effectExtent l="0" t="0" r="0" b="3810"/>
                  <wp:wrapNone/>
                  <wp:docPr id="2" name="Picture_1"/>
                  <wp:cNvGraphicFramePr/>
                  <a:graphic xmlns:a="http://schemas.openxmlformats.org/drawingml/2006/main">
                    <a:graphicData uri="http://schemas.openxmlformats.org/drawingml/2006/picture">
                      <pic:pic xmlns:pic="http://schemas.openxmlformats.org/drawingml/2006/picture">
                        <pic:nvPicPr>
                          <pic:cNvPr id="2" name="Picture_1"/>
                          <pic:cNvPicPr/>
                        </pic:nvPicPr>
                        <pic:blipFill>
                          <a:blip r:embed="rId6"/>
                          <a:stretch>
                            <a:fillRect/>
                          </a:stretch>
                        </pic:blipFill>
                        <pic:spPr>
                          <a:xfrm>
                            <a:off x="0" y="0"/>
                            <a:ext cx="4791075" cy="361950"/>
                          </a:xfrm>
                          <a:prstGeom prst="rect">
                            <a:avLst/>
                          </a:prstGeom>
                          <a:noFill/>
                          <a:ln>
                            <a:noFill/>
                          </a:ln>
                        </pic:spPr>
                      </pic:pic>
                    </a:graphicData>
                  </a:graphic>
                </wp:anchor>
              </w:drawing>
            </w:r>
          </w:p>
        </w:tc>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jc w:val="both"/>
              <w:rPr>
                <w:rFonts w:hint="eastAsia" w:ascii="仿宋_GB2312" w:hAnsi="仿宋_GB2312" w:eastAsia="仿宋_GB2312" w:cs="仿宋_GB2312"/>
                <w:color w:val="auto"/>
                <w:spacing w:val="15"/>
                <w:sz w:val="32"/>
                <w:szCs w:val="32"/>
                <w:highlight w:val="none"/>
                <w:lang w:eastAsia="zh-CN"/>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78" w:lineRule="exact"/>
              <w:ind w:firstLine="700" w:firstLineChars="200"/>
              <w:jc w:val="both"/>
              <w:rPr>
                <w:rFonts w:hint="eastAsia" w:ascii="仿宋_GB2312" w:hAnsi="仿宋_GB2312" w:eastAsia="仿宋_GB2312" w:cs="仿宋_GB2312"/>
                <w:color w:val="auto"/>
                <w:spacing w:val="15"/>
                <w:sz w:val="32"/>
                <w:szCs w:val="32"/>
                <w:highlight w:val="none"/>
                <w:lang w:eastAsia="zh-CN"/>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78" w:lineRule="exact"/>
              <w:rPr>
                <w:rFonts w:hint="eastAsia" w:ascii="仿宋_GB2312" w:hAnsi="仿宋_GB2312" w:eastAsia="仿宋_GB2312" w:cs="仿宋_GB2312"/>
                <w:i w:val="0"/>
                <w:iCs w:val="0"/>
                <w:color w:val="auto"/>
                <w:sz w:val="32"/>
                <w:szCs w:val="32"/>
                <w:highlight w:val="none"/>
                <w:u w:val="none"/>
              </w:rPr>
            </w:pPr>
          </w:p>
        </w:tc>
      </w:tr>
    </w:tbl>
    <w:p>
      <w:pPr>
        <w:keepNext w:val="0"/>
        <w:keepLines w:val="0"/>
        <w:pageBreakBefore w:val="0"/>
        <w:kinsoku/>
        <w:wordWrap/>
        <w:overflowPunct w:val="0"/>
        <w:topLinePunct w:val="0"/>
        <w:autoSpaceDE/>
        <w:bidi w:val="0"/>
        <w:snapToGrid/>
        <w:spacing w:line="520" w:lineRule="exact"/>
        <w:ind w:firstLine="64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楷体" w:hAnsi="楷体" w:eastAsia="楷体" w:cstheme="minorBidi"/>
          <w:color w:val="auto"/>
          <w:sz w:val="32"/>
          <w:szCs w:val="32"/>
          <w:lang w:val="en-US" w:eastAsia="zh-CN"/>
        </w:rPr>
        <w:t>（五）绿色债券承销情况。</w:t>
      </w:r>
      <w:r>
        <w:rPr>
          <w:rFonts w:hint="eastAsia" w:ascii="仿宋_GB2312" w:hAnsi="仿宋_GB2312" w:eastAsia="仿宋_GB2312" w:cs="仿宋_GB2312"/>
          <w:color w:val="auto"/>
          <w:spacing w:val="15"/>
          <w:sz w:val="32"/>
          <w:szCs w:val="32"/>
          <w:highlight w:val="none"/>
          <w:lang w:eastAsia="zh-CN"/>
        </w:rPr>
        <w:t>联社无绿色债券承销，与上一年持平。</w:t>
      </w:r>
    </w:p>
    <w:p>
      <w:pPr>
        <w:keepNext w:val="0"/>
        <w:keepLines w:val="0"/>
        <w:pageBreakBefore w:val="0"/>
        <w:kinsoku/>
        <w:wordWrap/>
        <w:overflowPunct w:val="0"/>
        <w:topLinePunct w:val="0"/>
        <w:autoSpaceDE/>
        <w:bidi w:val="0"/>
        <w:snapToGrid/>
        <w:spacing w:line="520" w:lineRule="exact"/>
        <w:ind w:firstLine="640" w:firstLineChars="200"/>
        <w:jc w:val="both"/>
        <w:rPr>
          <w:rFonts w:hint="eastAsia" w:ascii="仿宋_GB2312" w:hAnsi="仿宋_GB2312" w:eastAsia="仿宋_GB2312" w:cs="仿宋_GB2312"/>
          <w:color w:val="auto"/>
          <w:spacing w:val="15"/>
          <w:sz w:val="32"/>
          <w:szCs w:val="32"/>
          <w:highlight w:val="none"/>
          <w:lang w:eastAsia="zh-CN"/>
        </w:rPr>
      </w:pPr>
      <w:r>
        <w:rPr>
          <w:rFonts w:hint="eastAsia" w:ascii="楷体" w:hAnsi="楷体" w:eastAsia="楷体" w:cstheme="minorBidi"/>
          <w:color w:val="auto"/>
          <w:sz w:val="32"/>
          <w:szCs w:val="32"/>
          <w:lang w:val="en-US" w:eastAsia="zh-CN"/>
        </w:rPr>
        <w:t>（六）报告期末绿色债券投资及发行情况。联社未开展绿色债券投资及发行</w:t>
      </w:r>
      <w:r>
        <w:rPr>
          <w:rFonts w:hint="eastAsia" w:ascii="仿宋_GB2312" w:hAnsi="仿宋_GB2312" w:eastAsia="仿宋_GB2312" w:cs="仿宋_GB2312"/>
          <w:color w:val="auto"/>
          <w:spacing w:val="15"/>
          <w:sz w:val="32"/>
          <w:szCs w:val="32"/>
          <w:highlight w:val="none"/>
          <w:lang w:eastAsia="zh-CN"/>
        </w:rPr>
        <w:t>，与上一年持平。</w:t>
      </w:r>
    </w:p>
    <w:p>
      <w:pPr>
        <w:keepNext w:val="0"/>
        <w:keepLines w:val="0"/>
        <w:pageBreakBefore w:val="0"/>
        <w:kinsoku/>
        <w:wordWrap/>
        <w:overflowPunct w:val="0"/>
        <w:topLinePunct w:val="0"/>
        <w:autoSpaceDE/>
        <w:bidi w:val="0"/>
        <w:snapToGrid/>
        <w:spacing w:line="520" w:lineRule="exact"/>
        <w:ind w:firstLine="640" w:firstLineChars="200"/>
        <w:jc w:val="both"/>
        <w:rPr>
          <w:rFonts w:hint="default"/>
          <w:color w:val="auto"/>
          <w:lang w:val="en-US" w:eastAsia="zh-CN"/>
        </w:rPr>
      </w:pPr>
      <w:r>
        <w:rPr>
          <w:rFonts w:hint="eastAsia" w:ascii="楷体" w:hAnsi="楷体" w:eastAsia="楷体" w:cstheme="minorBidi"/>
          <w:color w:val="auto"/>
          <w:sz w:val="32"/>
          <w:szCs w:val="32"/>
          <w:lang w:val="en-US" w:eastAsia="zh-CN"/>
        </w:rPr>
        <w:t>（七）其他绿色投融资活动的情况及较之前年度的变化</w:t>
      </w:r>
      <w:r>
        <w:rPr>
          <w:rFonts w:hint="eastAsia" w:ascii="仿宋_GB2312" w:hAnsi="仿宋_GB2312" w:eastAsia="仿宋_GB2312" w:cs="仿宋_GB2312"/>
          <w:b/>
          <w:bCs/>
          <w:color w:val="auto"/>
          <w:spacing w:val="15"/>
          <w:sz w:val="32"/>
          <w:szCs w:val="32"/>
          <w:lang w:val="en-US" w:eastAsia="zh-CN"/>
        </w:rPr>
        <w:t>。</w:t>
      </w:r>
      <w:r>
        <w:rPr>
          <w:rFonts w:hint="eastAsia" w:ascii="仿宋_GB2312" w:hAnsi="仿宋_GB2312" w:eastAsia="仿宋_GB2312" w:cs="仿宋_GB2312"/>
          <w:color w:val="auto"/>
          <w:spacing w:val="15"/>
          <w:sz w:val="32"/>
          <w:szCs w:val="32"/>
          <w:highlight w:val="none"/>
          <w:lang w:eastAsia="zh-CN"/>
        </w:rPr>
        <w:t>联社无其他绿色投资活动，与上一年持平。</w:t>
      </w:r>
    </w:p>
    <w:p>
      <w:pPr>
        <w:keepNext w:val="0"/>
        <w:keepLines w:val="0"/>
        <w:pageBreakBefore w:val="0"/>
        <w:widowControl/>
        <w:numPr>
          <w:ilvl w:val="0"/>
          <w:numId w:val="2"/>
        </w:numPr>
        <w:pBdr>
          <w:bottom w:val="single" w:color="FFFFFF" w:sz="4" w:space="26"/>
        </w:pBdr>
        <w:kinsoku/>
        <w:wordWrap/>
        <w:overflowPunct/>
        <w:topLinePunct w:val="0"/>
        <w:autoSpaceDE/>
        <w:autoSpaceDN w:val="0"/>
        <w:bidi w:val="0"/>
        <w:adjustRightInd w:val="0"/>
        <w:snapToGrid/>
        <w:spacing w:beforeAutospacing="0" w:afterAutospacing="0" w:line="520" w:lineRule="exact"/>
        <w:ind w:right="0" w:rightChars="0" w:firstLine="640" w:firstLineChars="200"/>
        <w:contextualSpacing/>
        <w:textAlignment w:val="baseline"/>
        <w:rPr>
          <w:rFonts w:hint="eastAsia" w:ascii="黑体" w:hAnsi="宋体" w:eastAsia="黑体" w:cs="黑体"/>
          <w:color w:val="auto"/>
          <w:kern w:val="0"/>
          <w:sz w:val="32"/>
          <w:szCs w:val="32"/>
          <w:highlight w:val="none"/>
          <w:lang w:val="en-US" w:eastAsia="zh-CN" w:bidi="ar"/>
        </w:rPr>
      </w:pPr>
      <w:r>
        <w:rPr>
          <w:rFonts w:hint="eastAsia" w:ascii="黑体" w:hAnsi="宋体" w:eastAsia="黑体" w:cs="黑体"/>
          <w:color w:val="auto"/>
          <w:kern w:val="0"/>
          <w:sz w:val="32"/>
          <w:szCs w:val="32"/>
          <w:highlight w:val="none"/>
          <w:lang w:val="en-US" w:eastAsia="zh-CN" w:bidi="ar"/>
        </w:rPr>
        <w:t>经营活动的环境影响及减排措施</w:t>
      </w:r>
    </w:p>
    <w:tbl>
      <w:tblPr>
        <w:tblStyle w:val="7"/>
        <w:tblpPr w:leftFromText="180" w:rightFromText="180" w:vertAnchor="text" w:horzAnchor="page" w:tblpX="1371" w:tblpY="496"/>
        <w:tblOverlap w:val="never"/>
        <w:tblW w:w="10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37"/>
        <w:gridCol w:w="2606"/>
        <w:gridCol w:w="53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1.自身运营活动产生的直接碳排（范围一）</w:t>
            </w:r>
          </w:p>
          <w:tbl>
            <w:tblPr>
              <w:tblStyle w:val="7"/>
              <w:tblW w:w="988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7"/>
              <w:gridCol w:w="2083"/>
              <w:gridCol w:w="2062"/>
              <w:gridCol w:w="20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项目</w:t>
                  </w:r>
                </w:p>
              </w:tc>
              <w:tc>
                <w:tcPr>
                  <w:tcW w:w="208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2025年度</w:t>
                  </w:r>
                </w:p>
              </w:tc>
              <w:tc>
                <w:tcPr>
                  <w:tcW w:w="206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2024年度</w:t>
                  </w:r>
                </w:p>
              </w:tc>
              <w:tc>
                <w:tcPr>
                  <w:tcW w:w="202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食堂灶具</w:t>
                  </w:r>
                </w:p>
              </w:tc>
              <w:tc>
                <w:tcPr>
                  <w:tcW w:w="2083"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default"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4.49</w:t>
                  </w:r>
                </w:p>
              </w:tc>
              <w:tc>
                <w:tcPr>
                  <w:tcW w:w="2062"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default"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5.67</w:t>
                  </w:r>
                </w:p>
              </w:tc>
              <w:tc>
                <w:tcPr>
                  <w:tcW w:w="202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default"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12.51</w:t>
                  </w:r>
                </w:p>
              </w:tc>
            </w:tr>
          </w:tbl>
          <w:p>
            <w:pPr>
              <w:pStyle w:val="3"/>
              <w:keepNext w:val="0"/>
              <w:keepLines w:val="0"/>
              <w:pageBreakBefore w:val="0"/>
              <w:numPr>
                <w:ilvl w:val="0"/>
                <w:numId w:val="3"/>
              </w:numPr>
              <w:kinsoku/>
              <w:wordWrap/>
              <w:topLinePunct w:val="0"/>
              <w:autoSpaceDN/>
              <w:bidi w:val="0"/>
              <w:adjustRightInd/>
              <w:snapToGrid/>
              <w:spacing w:line="520" w:lineRule="exact"/>
              <w:jc w:val="left"/>
              <w:rPr>
                <w:rFonts w:hint="eastAsia" w:ascii="仿宋_GB2312" w:hAnsi="仿宋_GB2312" w:eastAsia="仿宋_GB2312" w:cs="仿宋_GB2312"/>
                <w:sz w:val="32"/>
                <w:szCs w:val="32"/>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37" w:type="dxa"/>
            <w:tcBorders>
              <w:top w:val="nil"/>
              <w:left w:val="nil"/>
              <w:bottom w:val="nil"/>
              <w:right w:val="nil"/>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p>
        </w:tc>
        <w:tc>
          <w:tcPr>
            <w:tcW w:w="2606" w:type="dxa"/>
            <w:tcBorders>
              <w:top w:val="nil"/>
              <w:left w:val="nil"/>
              <w:bottom w:val="nil"/>
              <w:right w:val="nil"/>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p>
        </w:tc>
        <w:tc>
          <w:tcPr>
            <w:tcW w:w="5357" w:type="dxa"/>
            <w:tcBorders>
              <w:top w:val="nil"/>
              <w:left w:val="nil"/>
              <w:bottom w:val="nil"/>
              <w:right w:val="nil"/>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2.自身运营活动产生的间接碳排放（范围二）</w:t>
            </w:r>
          </w:p>
          <w:tbl>
            <w:tblPr>
              <w:tblStyle w:val="7"/>
              <w:tblW w:w="988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7"/>
              <w:gridCol w:w="1858"/>
              <w:gridCol w:w="2175"/>
              <w:gridCol w:w="2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项目</w:t>
                  </w:r>
                </w:p>
              </w:tc>
              <w:tc>
                <w:tcPr>
                  <w:tcW w:w="1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2025年度</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2024年度</w:t>
                  </w:r>
                </w:p>
              </w:tc>
              <w:tc>
                <w:tcPr>
                  <w:tcW w:w="21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外购电力排放</w:t>
                  </w:r>
                </w:p>
              </w:tc>
              <w:tc>
                <w:tcPr>
                  <w:tcW w:w="1858"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default"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263.41</w:t>
                  </w:r>
                </w:p>
              </w:tc>
              <w:tc>
                <w:tcPr>
                  <w:tcW w:w="2175"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pStyle w:val="3"/>
                    <w:keepNext w:val="0"/>
                    <w:keepLines w:val="0"/>
                    <w:pageBreakBefore w:val="0"/>
                    <w:kinsoku/>
                    <w:wordWrap/>
                    <w:topLinePunct w:val="0"/>
                    <w:autoSpaceDN/>
                    <w:bidi w:val="0"/>
                    <w:adjustRightInd/>
                    <w:snapToGrid/>
                    <w:spacing w:line="520" w:lineRule="exact"/>
                    <w:ind w:left="0" w:leftChars="0" w:firstLine="0" w:firstLineChars="0"/>
                    <w:jc w:val="left"/>
                    <w:rPr>
                      <w:rFonts w:hint="default"/>
                      <w:highlight w:val="none"/>
                      <w:lang w:val="en-US" w:eastAsia="zh-CN"/>
                    </w:rPr>
                  </w:pPr>
                  <w:r>
                    <w:rPr>
                      <w:rFonts w:hint="eastAsia" w:ascii="仿宋_GB2312" w:hAnsi="仿宋_GB2312" w:eastAsia="仿宋_GB2312" w:cs="仿宋_GB2312"/>
                      <w:spacing w:val="15"/>
                      <w:kern w:val="2"/>
                      <w:sz w:val="32"/>
                      <w:szCs w:val="32"/>
                      <w:highlight w:val="none"/>
                      <w:u w:val="none"/>
                      <w:lang w:val="en-US" w:eastAsia="zh-CN" w:bidi="ar-SA"/>
                    </w:rPr>
                    <w:t>191.86</w:t>
                  </w:r>
                </w:p>
              </w:tc>
              <w:tc>
                <w:tcPr>
                  <w:tcW w:w="2136"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jc w:val="left"/>
                    <w:rPr>
                      <w:rFonts w:hint="default"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243.80</w:t>
                  </w:r>
                </w:p>
              </w:tc>
            </w:tr>
          </w:tbl>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注：2025年电力排放增加主要是由于联社装修并安装电梯及玛坑宿舍改造。</w:t>
            </w:r>
          </w:p>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val="en-US" w:eastAsia="zh-CN"/>
              </w:rPr>
            </w:pPr>
            <w:r>
              <w:rPr>
                <w:rFonts w:hint="eastAsia" w:ascii="仿宋_GB2312" w:hAnsi="仿宋_GB2312" w:eastAsia="仿宋_GB2312" w:cs="仿宋_GB2312"/>
                <w:spacing w:val="15"/>
                <w:sz w:val="32"/>
                <w:szCs w:val="32"/>
                <w:highlight w:val="none"/>
                <w:u w:val="none"/>
                <w:lang w:val="en-US" w:eastAsia="zh-CN"/>
              </w:rPr>
              <w:t>3.金融机构经营活动对环境产生的影响</w:t>
            </w:r>
          </w:p>
          <w:tbl>
            <w:tblPr>
              <w:tblStyle w:val="7"/>
              <w:tblW w:w="8224"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17"/>
              <w:gridCol w:w="2782"/>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sz w:val="32"/>
                      <w:szCs w:val="32"/>
                      <w:highlight w:val="none"/>
                      <w:u w:val="none"/>
                      <w:lang w:eastAsia="zh-CN"/>
                    </w:rPr>
                  </w:pPr>
                  <w:r>
                    <w:rPr>
                      <w:rFonts w:hint="eastAsia" w:ascii="仿宋_GB2312" w:hAnsi="仿宋_GB2312" w:eastAsia="仿宋_GB2312" w:cs="仿宋_GB2312"/>
                      <w:spacing w:val="15"/>
                      <w:sz w:val="32"/>
                      <w:szCs w:val="32"/>
                      <w:highlight w:val="none"/>
                      <w:u w:val="none"/>
                      <w:lang w:val="en-US" w:eastAsia="zh-CN"/>
                    </w:rPr>
                    <w:t>指标名称</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eastAsia="zh-CN"/>
                    </w:rPr>
                  </w:pPr>
                  <w:r>
                    <w:rPr>
                      <w:rFonts w:hint="eastAsia" w:ascii="仿宋_GB2312" w:hAnsi="仿宋_GB2312" w:eastAsia="仿宋_GB2312" w:cs="仿宋_GB2312"/>
                      <w:spacing w:val="15"/>
                      <w:sz w:val="32"/>
                      <w:szCs w:val="32"/>
                      <w:highlight w:val="none"/>
                      <w:u w:val="none"/>
                      <w:lang w:val="en-US" w:eastAsia="zh-CN"/>
                    </w:rPr>
                    <w:t>披露细项</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eastAsia="zh-CN"/>
                    </w:rPr>
                  </w:pPr>
                  <w:r>
                    <w:rPr>
                      <w:rFonts w:hint="eastAsia" w:ascii="仿宋_GB2312" w:hAnsi="仿宋_GB2312" w:eastAsia="仿宋_GB2312" w:cs="仿宋_GB2312"/>
                      <w:spacing w:val="15"/>
                      <w:sz w:val="32"/>
                      <w:szCs w:val="32"/>
                      <w:highlight w:val="none"/>
                      <w:u w:val="none"/>
                      <w:lang w:val="en-US" w:eastAsia="zh-CN"/>
                    </w:rPr>
                    <w:t>本年度总量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eastAsia="zh-CN"/>
                    </w:rPr>
                  </w:pPr>
                  <w:r>
                    <w:rPr>
                      <w:rFonts w:hint="eastAsia" w:ascii="仿宋_GB2312" w:hAnsi="仿宋_GB2312" w:eastAsia="仿宋_GB2312" w:cs="仿宋_GB2312"/>
                      <w:spacing w:val="15"/>
                      <w:sz w:val="32"/>
                      <w:szCs w:val="32"/>
                      <w:highlight w:val="none"/>
                      <w:u w:val="none"/>
                      <w:lang w:val="en-US" w:eastAsia="zh-CN"/>
                    </w:rPr>
                    <w:t>报告期经营活动产生的资源消耗</w:t>
                  </w: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sz w:val="32"/>
                      <w:szCs w:val="32"/>
                      <w:highlight w:val="none"/>
                      <w:u w:val="none"/>
                      <w:lang w:eastAsia="zh-CN"/>
                    </w:rPr>
                  </w:pPr>
                  <w:r>
                    <w:rPr>
                      <w:rFonts w:hint="eastAsia" w:ascii="仿宋_GB2312" w:hAnsi="仿宋_GB2312" w:eastAsia="仿宋_GB2312" w:cs="仿宋_GB2312"/>
                      <w:spacing w:val="15"/>
                      <w:sz w:val="32"/>
                      <w:szCs w:val="32"/>
                      <w:highlight w:val="none"/>
                      <w:u w:val="none"/>
                      <w:lang w:val="en-US" w:eastAsia="zh-CN"/>
                    </w:rPr>
                    <w:t>自有交通运输工具消耗燃油（升）</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spacing w:val="15"/>
                      <w:sz w:val="32"/>
                      <w:szCs w:val="32"/>
                      <w:highlight w:val="green"/>
                      <w:u w:val="none"/>
                      <w:lang w:eastAsia="zh-CN"/>
                    </w:rPr>
                  </w:pPr>
                  <w:r>
                    <w:rPr>
                      <w:rFonts w:hint="eastAsia" w:ascii="仿宋_GB2312" w:hAnsi="仿宋_GB2312" w:eastAsia="仿宋_GB2312" w:cs="仿宋_GB2312"/>
                      <w:i w:val="0"/>
                      <w:iCs w:val="0"/>
                      <w:color w:val="000000"/>
                      <w:kern w:val="0"/>
                      <w:sz w:val="32"/>
                      <w:szCs w:val="32"/>
                      <w:u w:val="none"/>
                      <w:lang w:val="en-US" w:eastAsia="zh-CN" w:bidi="ar"/>
                    </w:rPr>
                    <w:t>4631.87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N/>
                    <w:bidi w:val="0"/>
                    <w:adjustRightInd/>
                    <w:snapToGrid/>
                    <w:spacing w:line="520" w:lineRule="exact"/>
                    <w:jc w:val="left"/>
                    <w:rPr>
                      <w:rFonts w:hint="eastAsia" w:ascii="仿宋_GB2312" w:hAnsi="仿宋_GB2312" w:eastAsia="仿宋_GB2312" w:cs="仿宋_GB2312"/>
                      <w:spacing w:val="15"/>
                      <w:kern w:val="2"/>
                      <w:sz w:val="32"/>
                      <w:szCs w:val="32"/>
                      <w:highlight w:val="none"/>
                      <w:u w:val="none"/>
                      <w:lang w:val="en-US" w:eastAsia="zh-CN" w:bidi="ar-SA"/>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N/>
                    <w:bidi w:val="0"/>
                    <w:adjustRightInd/>
                    <w:snapToGrid/>
                    <w:spacing w:line="520" w:lineRule="exact"/>
                    <w:jc w:val="left"/>
                    <w:textAlignment w:val="top"/>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营业办公消耗电力（万千瓦时）</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green"/>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497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N/>
                    <w:bidi w:val="0"/>
                    <w:adjustRightInd/>
                    <w:snapToGrid/>
                    <w:spacing w:line="520" w:lineRule="exact"/>
                    <w:jc w:val="left"/>
                    <w:rPr>
                      <w:rFonts w:hint="eastAsia" w:ascii="仿宋_GB2312" w:hAnsi="仿宋_GB2312" w:eastAsia="仿宋_GB2312" w:cs="仿宋_GB2312"/>
                      <w:spacing w:val="15"/>
                      <w:kern w:val="2"/>
                      <w:sz w:val="32"/>
                      <w:szCs w:val="32"/>
                      <w:highlight w:val="none"/>
                      <w:u w:val="none"/>
                      <w:lang w:val="en-US" w:eastAsia="zh-CN" w:bidi="ar-SA"/>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N/>
                    <w:bidi w:val="0"/>
                    <w:adjustRightInd/>
                    <w:snapToGrid/>
                    <w:spacing w:line="520" w:lineRule="exact"/>
                    <w:jc w:val="left"/>
                    <w:textAlignment w:val="top"/>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营业办公消耗水（吨）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green"/>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2984.3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topLinePunct w:val="0"/>
                    <w:autoSpaceDN/>
                    <w:bidi w:val="0"/>
                    <w:adjustRightInd/>
                    <w:snapToGrid/>
                    <w:spacing w:line="520" w:lineRule="exact"/>
                    <w:jc w:val="left"/>
                    <w:rPr>
                      <w:rFonts w:hint="eastAsia" w:ascii="仿宋_GB2312" w:hAnsi="仿宋_GB2312" w:eastAsia="仿宋_GB2312" w:cs="仿宋_GB2312"/>
                      <w:spacing w:val="15"/>
                      <w:kern w:val="2"/>
                      <w:sz w:val="32"/>
                      <w:szCs w:val="32"/>
                      <w:highlight w:val="none"/>
                      <w:u w:val="none"/>
                      <w:lang w:val="en-US" w:eastAsia="zh-CN" w:bidi="ar-SA"/>
                    </w:rPr>
                  </w:pPr>
                </w:p>
              </w:tc>
              <w:tc>
                <w:tcPr>
                  <w:tcW w:w="278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kinsoku/>
                    <w:wordWrap/>
                    <w:topLinePunct w:val="0"/>
                    <w:autoSpaceDN/>
                    <w:bidi w:val="0"/>
                    <w:adjustRightInd/>
                    <w:snapToGrid/>
                    <w:spacing w:line="520" w:lineRule="exact"/>
                    <w:jc w:val="left"/>
                    <w:textAlignment w:val="top"/>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营业办公消耗纸张（吨）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green"/>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4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jc w:val="left"/>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购买或自有的碳抵消项目产生的碳减排量（吨）</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291.983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4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网点数量（个）</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49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员工数（人）</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i w:val="0"/>
                      <w:iCs w:val="0"/>
                      <w:color w:val="000000"/>
                      <w:kern w:val="0"/>
                      <w:sz w:val="32"/>
                      <w:szCs w:val="32"/>
                      <w:highlight w:val="none"/>
                      <w:u w:val="none"/>
                      <w:lang w:val="en-US" w:eastAsia="zh-CN" w:bidi="ar"/>
                    </w:rPr>
                    <w:t>118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499" w:type="dxa"/>
                  <w:gridSpan w:val="2"/>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spacing w:val="15"/>
                      <w:kern w:val="2"/>
                      <w:sz w:val="32"/>
                      <w:szCs w:val="32"/>
                      <w:highlight w:val="none"/>
                      <w:u w:val="none"/>
                      <w:lang w:val="en-US" w:eastAsia="zh-CN" w:bidi="ar-SA"/>
                    </w:rPr>
                    <w:t>营业收入（万元）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spacing w:val="15"/>
                      <w:kern w:val="2"/>
                      <w:sz w:val="32"/>
                      <w:szCs w:val="32"/>
                      <w:highlight w:val="none"/>
                      <w:u w:val="none"/>
                      <w:lang w:val="en-US" w:eastAsia="zh-CN" w:bidi="ar-SA"/>
                    </w:rPr>
                  </w:pPr>
                  <w:r>
                    <w:rPr>
                      <w:rFonts w:hint="eastAsia" w:ascii="仿宋_GB2312" w:hAnsi="仿宋_GB2312" w:eastAsia="仿宋_GB2312" w:cs="仿宋_GB2312"/>
                      <w:i w:val="0"/>
                      <w:iCs w:val="0"/>
                      <w:color w:val="000000"/>
                      <w:kern w:val="0"/>
                      <w:sz w:val="32"/>
                      <w:szCs w:val="32"/>
                      <w:highlight w:val="none"/>
                      <w:u w:val="none"/>
                      <w:lang w:val="en-US" w:eastAsia="zh-CN" w:bidi="ar"/>
                    </w:rPr>
                    <w:t>22515.22</w:t>
                  </w:r>
                </w:p>
              </w:tc>
            </w:tr>
          </w:tbl>
          <w:p>
            <w:pPr>
              <w:keepNext w:val="0"/>
              <w:keepLines w:val="0"/>
              <w:pageBreakBefore w:val="0"/>
              <w:kinsoku/>
              <w:wordWrap/>
              <w:topLinePunct w:val="0"/>
              <w:autoSpaceDN/>
              <w:bidi w:val="0"/>
              <w:adjustRightInd/>
              <w:snapToGrid/>
              <w:spacing w:line="520" w:lineRule="exact"/>
              <w:jc w:val="left"/>
              <w:rPr>
                <w:rFonts w:hint="eastAsia" w:ascii="仿宋_GB2312" w:hAnsi="仿宋_GB2312" w:eastAsia="仿宋_GB2312" w:cs="仿宋_GB2312"/>
                <w:sz w:val="32"/>
                <w:szCs w:val="32"/>
                <w:highlight w:val="none"/>
                <w:u w:val="none"/>
                <w:lang w:val="en-US" w:eastAsia="zh-CN"/>
              </w:rPr>
            </w:pPr>
          </w:p>
        </w:tc>
      </w:tr>
    </w:tbl>
    <w:p>
      <w:pPr>
        <w:keepNext w:val="0"/>
        <w:keepLines w:val="0"/>
        <w:pageBreakBefore w:val="0"/>
        <w:kinsoku/>
        <w:wordWrap/>
        <w:overflowPunct w:val="0"/>
        <w:topLinePunct w:val="0"/>
        <w:autoSpaceDN/>
        <w:bidi w:val="0"/>
        <w:adjustRightInd/>
        <w:snapToGrid/>
        <w:spacing w:line="520" w:lineRule="exact"/>
        <w:ind w:firstLine="700" w:firstLineChars="200"/>
        <w:jc w:val="left"/>
        <w:rPr>
          <w:rFonts w:hint="eastAsia" w:ascii="FangSong_GB2312" w:hAnsi="FangSong_GB2312" w:eastAsia="FangSong_GB2312"/>
          <w:color w:val="auto"/>
          <w:sz w:val="32"/>
          <w:szCs w:val="24"/>
          <w:highlight w:val="none"/>
          <w:lang w:val="en-US" w:eastAsia="zh-CN"/>
        </w:rPr>
      </w:pPr>
      <w:r>
        <w:rPr>
          <w:rFonts w:hint="eastAsia" w:ascii="仿宋_GB2312" w:hAnsi="仿宋_GB2312" w:eastAsia="仿宋_GB2312" w:cs="仿宋_GB2312"/>
          <w:spacing w:val="15"/>
          <w:sz w:val="32"/>
          <w:szCs w:val="32"/>
          <w:highlight w:val="none"/>
          <w:u w:val="none"/>
          <w:lang w:val="en-US" w:eastAsia="zh-CN"/>
        </w:rPr>
        <w:t>4.</w:t>
      </w:r>
      <w:r>
        <w:rPr>
          <w:rFonts w:hint="eastAsia" w:ascii="仿宋_GB2312" w:hAnsi="仿宋_GB2312" w:eastAsia="仿宋_GB2312" w:cs="仿宋_GB2312"/>
          <w:spacing w:val="15"/>
          <w:sz w:val="32"/>
          <w:szCs w:val="32"/>
          <w:highlight w:val="none"/>
          <w:u w:val="none"/>
          <w:lang w:eastAsia="zh-CN"/>
        </w:rPr>
        <w:t>自身运营活动的其他环境信息</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FangSong_GB2312" w:hAnsi="FangSong_GB2312" w:eastAsia="FangSong_GB2312"/>
          <w:color w:val="auto"/>
          <w:sz w:val="32"/>
          <w:szCs w:val="24"/>
          <w:highlight w:val="none"/>
          <w:lang w:val="en-US" w:eastAsia="zh-CN"/>
        </w:rPr>
      </w:pPr>
      <w:r>
        <w:rPr>
          <w:rFonts w:hint="eastAsia" w:ascii="FangSong_GB2312" w:hAnsi="FangSong_GB2312" w:eastAsia="FangSong_GB2312"/>
          <w:color w:val="auto"/>
          <w:sz w:val="32"/>
          <w:szCs w:val="24"/>
          <w:highlight w:val="none"/>
          <w:lang w:val="en-US" w:eastAsia="zh-CN"/>
        </w:rPr>
        <w:t>一是推广柜面无纸化及征信无纸化系统，推广智慧柜员机，实现免填单自助办理，客户证件影像化，电子档案集中归档。二是全面使用OA系统及财务管理系统，实行收发文及报销审批无纸化，利用联社大楼装修契机分批次淘汰能耗大设备，设立定时开关机，减少无效消耗。三是张贴宣传标语，组织义务植树等公益活动，将节约能源促进可持续发展意识深入员工及群众思想，提高环保共识，共建美好绿色生态环境。</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jc w:val="center"/>
        <w:rPr>
          <w:rFonts w:hint="eastAsia" w:ascii="仿宋_GB2312" w:hAnsi="宋体" w:eastAsia="仿宋_GB2312" w:cs="仿宋_GB2312"/>
          <w:b/>
          <w:color w:val="auto"/>
          <w:kern w:val="0"/>
          <w:sz w:val="31"/>
          <w:szCs w:val="31"/>
          <w:highlight w:val="none"/>
          <w:lang w:val="en-US" w:eastAsia="zh-CN" w:bidi="ar"/>
        </w:rPr>
      </w:pPr>
      <w:r>
        <w:rPr>
          <w:rFonts w:hint="eastAsia" w:ascii="仿宋_GB2312" w:hAnsi="宋体" w:eastAsia="仿宋_GB2312" w:cs="仿宋_GB2312"/>
          <w:b/>
          <w:color w:val="auto"/>
          <w:kern w:val="0"/>
          <w:sz w:val="31"/>
          <w:szCs w:val="31"/>
          <w:highlight w:val="none"/>
          <w:lang w:val="en-US" w:eastAsia="zh-CN" w:bidi="ar"/>
        </w:rPr>
        <w:t>【运营活动中节能减排措施】</w:t>
      </w:r>
    </w:p>
    <w:tbl>
      <w:tblPr>
        <w:tblStyle w:val="7"/>
        <w:tblW w:w="978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552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269" w:type="dxa"/>
          </w:tcPr>
          <w:p>
            <w:pPr>
              <w:spacing w:line="520" w:lineRule="exact"/>
              <w:contextualSpacing/>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管理内容</w:t>
            </w:r>
          </w:p>
        </w:tc>
        <w:tc>
          <w:tcPr>
            <w:tcW w:w="5528" w:type="dxa"/>
          </w:tcPr>
          <w:p>
            <w:pPr>
              <w:spacing w:line="520" w:lineRule="exact"/>
              <w:contextualSpacing/>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管理措施</w:t>
            </w:r>
          </w:p>
        </w:tc>
        <w:tc>
          <w:tcPr>
            <w:tcW w:w="1984" w:type="dxa"/>
          </w:tcPr>
          <w:p>
            <w:pPr>
              <w:spacing w:line="520" w:lineRule="exact"/>
              <w:contextualSpacing/>
              <w:jc w:val="center"/>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执行效果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exact"/>
        </w:trPr>
        <w:tc>
          <w:tcPr>
            <w:tcW w:w="2269" w:type="dxa"/>
            <w:vAlign w:val="center"/>
          </w:tcPr>
          <w:p>
            <w:pPr>
              <w:spacing w:line="520" w:lineRule="exact"/>
              <w:contextualSpacing/>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办公场景节能</w:t>
            </w:r>
          </w:p>
        </w:tc>
        <w:tc>
          <w:tcPr>
            <w:tcW w:w="5528" w:type="dxa"/>
            <w:vAlign w:val="center"/>
          </w:tcPr>
          <w:p>
            <w:pPr>
              <w:spacing w:line="520" w:lineRule="exact"/>
              <w:contextualSpacing/>
              <w:jc w:val="left"/>
              <w:rPr>
                <w:rFonts w:hint="eastAsia" w:ascii="仿宋_GB2312" w:eastAsia="仿宋_GB2312"/>
                <w:color w:val="auto"/>
                <w:sz w:val="24"/>
                <w:highlight w:val="none"/>
              </w:rPr>
            </w:pPr>
            <w:r>
              <w:rPr>
                <w:rFonts w:hint="eastAsia" w:ascii="仿宋_GB2312" w:eastAsia="仿宋_GB2312"/>
                <w:color w:val="auto"/>
                <w:sz w:val="24"/>
                <w:highlight w:val="none"/>
              </w:rPr>
              <w:t>推行无纸化办公，通过线上系统处理业务、传递文件；确需用纸时采用双面打印，回收利用废纸，减少一次性办公用品消耗。</w:t>
            </w:r>
          </w:p>
          <w:p>
            <w:pPr>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办公场所充分利用自然采光，节能照明，公共区域照明分时、分区控制，采用声光感应照明，办公设备随用随开，尽量减少待机消耗</w:t>
            </w:r>
          </w:p>
        </w:tc>
        <w:tc>
          <w:tcPr>
            <w:tcW w:w="1984" w:type="dxa"/>
            <w:vAlign w:val="center"/>
          </w:tcPr>
          <w:p>
            <w:pPr>
              <w:widowControl/>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提高能源效率。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3" w:hRule="exact"/>
        </w:trPr>
        <w:tc>
          <w:tcPr>
            <w:tcW w:w="2269" w:type="dxa"/>
            <w:vAlign w:val="center"/>
          </w:tcPr>
          <w:p>
            <w:pPr>
              <w:spacing w:line="520" w:lineRule="exact"/>
              <w:contextualSpacing/>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节水管理</w:t>
            </w:r>
          </w:p>
        </w:tc>
        <w:tc>
          <w:tcPr>
            <w:tcW w:w="5528" w:type="dxa"/>
            <w:vAlign w:val="center"/>
          </w:tcPr>
          <w:p>
            <w:pPr>
              <w:numPr>
                <w:ilvl w:val="0"/>
                <w:numId w:val="0"/>
              </w:numPr>
              <w:spacing w:line="520" w:lineRule="exact"/>
              <w:contextualSpacing/>
              <w:jc w:val="left"/>
              <w:rPr>
                <w:rFonts w:hint="eastAsia" w:ascii="仿宋_GB2312" w:eastAsia="仿宋_GB2312"/>
                <w:color w:val="auto"/>
                <w:sz w:val="24"/>
                <w:highlight w:val="none"/>
              </w:rPr>
            </w:pPr>
            <w:r>
              <w:rPr>
                <w:rFonts w:hint="eastAsia" w:ascii="仿宋_GB2312" w:eastAsia="仿宋_GB2312"/>
                <w:color w:val="auto"/>
                <w:sz w:val="24"/>
                <w:highlight w:val="none"/>
              </w:rPr>
              <w:t>杜绝跑、冒、漏、滴和长流水现象。卫生间非感应式水龙头用水时牢记及时关闭，如有发现水龙头损坏漏水等现象及时向办公室反映；加强用水设备日常维护和管理，及时更换老化及不节水器具</w:t>
            </w:r>
          </w:p>
          <w:p>
            <w:pPr>
              <w:pStyle w:val="3"/>
              <w:numPr>
                <w:ilvl w:val="0"/>
                <w:numId w:val="0"/>
              </w:numPr>
            </w:pPr>
          </w:p>
          <w:p>
            <w:pPr>
              <w:widowControl/>
              <w:spacing w:line="520" w:lineRule="exact"/>
              <w:contextualSpacing/>
              <w:jc w:val="left"/>
              <w:rPr>
                <w:rFonts w:ascii="仿宋_GB2312" w:hAnsi="仿宋" w:eastAsia="仿宋_GB2312" w:cs="仿宋"/>
                <w:color w:val="auto"/>
                <w:sz w:val="24"/>
                <w:highlight w:val="none"/>
              </w:rPr>
            </w:pPr>
          </w:p>
        </w:tc>
        <w:tc>
          <w:tcPr>
            <w:tcW w:w="1984" w:type="dxa"/>
            <w:vAlign w:val="center"/>
          </w:tcPr>
          <w:p>
            <w:pPr>
              <w:widowControl/>
              <w:spacing w:line="520" w:lineRule="exact"/>
              <w:contextualSpacing/>
              <w:jc w:val="left"/>
              <w:rPr>
                <w:rFonts w:ascii="仿宋_GB2312" w:eastAsia="仿宋_GB2312"/>
                <w:color w:val="auto"/>
                <w:sz w:val="24"/>
                <w:highlight w:val="none"/>
              </w:rPr>
            </w:pPr>
            <w:r>
              <w:rPr>
                <w:rFonts w:hint="eastAsia" w:ascii="仿宋_GB2312" w:hAnsi="仿宋" w:eastAsia="仿宋_GB2312" w:cs="仿宋"/>
                <w:color w:val="auto"/>
                <w:kern w:val="0"/>
                <w:sz w:val="24"/>
                <w:highlight w:val="none"/>
              </w:rPr>
              <w:t>减少水资源的不必要消耗。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exact"/>
        </w:trPr>
        <w:tc>
          <w:tcPr>
            <w:tcW w:w="2269" w:type="dxa"/>
            <w:vAlign w:val="center"/>
          </w:tcPr>
          <w:p>
            <w:pPr>
              <w:widowControl/>
              <w:spacing w:line="520" w:lineRule="exact"/>
              <w:contextualSpacing/>
              <w:jc w:val="center"/>
              <w:rPr>
                <w:rFonts w:ascii="仿宋_GB2312" w:eastAsia="仿宋_GB2312"/>
                <w:color w:val="auto"/>
                <w:sz w:val="24"/>
                <w:highlight w:val="none"/>
              </w:rPr>
            </w:pPr>
            <w:r>
              <w:rPr>
                <w:rFonts w:hint="eastAsia" w:ascii="仿宋_GB2312" w:hAnsi="仿宋" w:eastAsia="仿宋_GB2312" w:cs="仿宋"/>
                <w:color w:val="auto"/>
                <w:kern w:val="0"/>
                <w:sz w:val="24"/>
                <w:highlight w:val="none"/>
              </w:rPr>
              <w:t>节材管理</w:t>
            </w:r>
          </w:p>
          <w:p>
            <w:pPr>
              <w:spacing w:line="520" w:lineRule="exact"/>
              <w:contextualSpacing/>
              <w:jc w:val="center"/>
              <w:rPr>
                <w:rFonts w:ascii="仿宋_GB2312" w:hAnsi="仿宋" w:eastAsia="仿宋_GB2312" w:cs="仿宋"/>
                <w:color w:val="auto"/>
                <w:sz w:val="24"/>
                <w:highlight w:val="none"/>
              </w:rPr>
            </w:pPr>
          </w:p>
        </w:tc>
        <w:tc>
          <w:tcPr>
            <w:tcW w:w="5528" w:type="dxa"/>
            <w:vAlign w:val="center"/>
          </w:tcPr>
          <w:p>
            <w:pPr>
              <w:spacing w:line="520" w:lineRule="exact"/>
              <w:contextualSpacing/>
              <w:jc w:val="left"/>
              <w:rPr>
                <w:rFonts w:ascii="仿宋_GB2312" w:hAnsi="仿宋" w:eastAsia="仿宋_GB2312" w:cs="仿宋"/>
                <w:color w:val="auto"/>
                <w:sz w:val="24"/>
                <w:highlight w:val="none"/>
              </w:rPr>
            </w:pPr>
            <w:r>
              <w:rPr>
                <w:rFonts w:hint="eastAsia" w:ascii="仿宋_GB2312" w:eastAsia="仿宋_GB2312"/>
                <w:color w:val="auto"/>
                <w:sz w:val="24"/>
                <w:highlight w:val="none"/>
              </w:rPr>
              <w:t>加大电子对账安全性、便捷性和实效性的宣传，主动引导客户选择使用无纸化服务，逐步降低纸质使用数量。同时，制定网点电子对账签约率的考核办法，主推微信银行或网银对账，推广柜面无纸化，智能机具自助化，减少纸质成本支出。</w:t>
            </w:r>
          </w:p>
        </w:tc>
        <w:tc>
          <w:tcPr>
            <w:tcW w:w="1984" w:type="dxa"/>
            <w:vAlign w:val="center"/>
          </w:tcPr>
          <w:p>
            <w:pPr>
              <w:widowControl/>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提高低值易耗品使用率。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5" w:hRule="exact"/>
        </w:trPr>
        <w:tc>
          <w:tcPr>
            <w:tcW w:w="2269" w:type="dxa"/>
            <w:vAlign w:val="center"/>
          </w:tcPr>
          <w:p>
            <w:pPr>
              <w:spacing w:line="520" w:lineRule="exact"/>
              <w:contextualSpacing/>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节油管理</w:t>
            </w:r>
          </w:p>
        </w:tc>
        <w:tc>
          <w:tcPr>
            <w:tcW w:w="5528" w:type="dxa"/>
            <w:vAlign w:val="center"/>
          </w:tcPr>
          <w:p>
            <w:pPr>
              <w:widowControl/>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指定专人负责公务车辆、驾驶员的管理及公务车辆调度、维修保养、费用、安全等工作。在公车使用过程中，严格按照联社制定的公务车辆管理暂行办法对车进行管理，做到“先审批、后用车”。公车油料费用的申请和使用分别由专人负责，岗位分离，相互监督制约。</w:t>
            </w:r>
          </w:p>
        </w:tc>
        <w:tc>
          <w:tcPr>
            <w:tcW w:w="1984" w:type="dxa"/>
            <w:vAlign w:val="center"/>
          </w:tcPr>
          <w:p>
            <w:pPr>
              <w:widowControl/>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提高节能减排成效。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exact"/>
        </w:trPr>
        <w:tc>
          <w:tcPr>
            <w:tcW w:w="2269" w:type="dxa"/>
            <w:vAlign w:val="center"/>
          </w:tcPr>
          <w:p>
            <w:pPr>
              <w:spacing w:line="520" w:lineRule="exact"/>
              <w:contextualSpacing/>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技术赋能减排</w:t>
            </w:r>
          </w:p>
        </w:tc>
        <w:tc>
          <w:tcPr>
            <w:tcW w:w="5528" w:type="dxa"/>
            <w:vAlign w:val="center"/>
          </w:tcPr>
          <w:p>
            <w:pPr>
              <w:widowControl/>
              <w:spacing w:line="520" w:lineRule="exact"/>
              <w:contextualSpacing/>
              <w:jc w:val="left"/>
              <w:rPr>
                <w:rFonts w:hint="eastAsia"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 xml:space="preserve"> 数字化转型：通过线上银行、手机APP、远程视频服务等方式，引导客户减少线下办理业务的频率，降低因客户往返和现场服务产生的间接能耗（如交通、空调使用等）。</w:t>
            </w:r>
          </w:p>
          <w:p>
            <w:pPr>
              <w:widowControl/>
              <w:spacing w:line="520" w:lineRule="exact"/>
              <w:contextualSpacing/>
              <w:jc w:val="left"/>
              <w:rPr>
                <w:rFonts w:ascii="仿宋_GB2312" w:eastAsia="仿宋_GB2312"/>
                <w:color w:val="auto"/>
                <w:sz w:val="24"/>
                <w:highlight w:val="none"/>
              </w:rPr>
            </w:pPr>
          </w:p>
          <w:p>
            <w:pPr>
              <w:spacing w:line="520" w:lineRule="exact"/>
              <w:contextualSpacing/>
              <w:jc w:val="left"/>
              <w:rPr>
                <w:rFonts w:ascii="仿宋_GB2312" w:hAnsi="仿宋" w:eastAsia="仿宋_GB2312" w:cs="仿宋"/>
                <w:color w:val="auto"/>
                <w:sz w:val="24"/>
                <w:highlight w:val="none"/>
              </w:rPr>
            </w:pPr>
          </w:p>
        </w:tc>
        <w:tc>
          <w:tcPr>
            <w:tcW w:w="1984" w:type="dxa"/>
            <w:vAlign w:val="center"/>
          </w:tcPr>
          <w:p>
            <w:pPr>
              <w:widowControl/>
              <w:spacing w:line="520" w:lineRule="exact"/>
              <w:contextualSpacing/>
              <w:jc w:val="lef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en-US" w:eastAsia="zh-CN"/>
              </w:rPr>
              <w:t>有效减少能源和资源消耗</w:t>
            </w:r>
          </w:p>
        </w:tc>
      </w:tr>
    </w:tbl>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仿宋_GB2312" w:hAnsi="宋体" w:eastAsia="仿宋_GB2312" w:cs="仿宋_GB2312"/>
          <w:color w:val="auto"/>
          <w:kern w:val="0"/>
          <w:sz w:val="31"/>
          <w:szCs w:val="31"/>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20" w:lineRule="exact"/>
        <w:ind w:firstLine="620" w:firstLineChars="200"/>
        <w:jc w:val="left"/>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color w:val="auto"/>
          <w:kern w:val="0"/>
          <w:sz w:val="31"/>
          <w:szCs w:val="31"/>
          <w:highlight w:val="none"/>
          <w:lang w:val="en-US" w:eastAsia="zh-CN" w:bidi="ar"/>
        </w:rPr>
        <w:t>通过各类节能减排措施，并建立监督机制，促进员工形成良好习惯，营造了节约用电（水）、合理用电（水）、安全用电、节约用餐，反对铺张浪费等良好氛围，进一步提升了员工节能环保意识，影响身边人、带动身边人。</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22" w:firstLineChars="200"/>
        <w:jc w:val="left"/>
        <w:textAlignment w:val="auto"/>
        <w:rPr>
          <w:rFonts w:hint="eastAsia" w:ascii="仿宋_GB2312" w:hAnsi="宋体" w:eastAsia="仿宋_GB2312" w:cs="仿宋_GB2312"/>
          <w:color w:val="auto"/>
          <w:kern w:val="0"/>
          <w:sz w:val="31"/>
          <w:szCs w:val="31"/>
          <w:highlight w:val="none"/>
          <w:lang w:val="en-US" w:eastAsia="zh-CN" w:bidi="ar"/>
        </w:rPr>
      </w:pPr>
      <w:r>
        <w:rPr>
          <w:rFonts w:hint="eastAsia" w:ascii="仿宋_GB2312" w:hAnsi="宋体" w:eastAsia="仿宋_GB2312" w:cs="仿宋_GB2312"/>
          <w:b/>
          <w:color w:val="auto"/>
          <w:kern w:val="0"/>
          <w:sz w:val="31"/>
          <w:szCs w:val="31"/>
          <w:highlight w:val="none"/>
          <w:lang w:val="en-US" w:eastAsia="zh-CN" w:bidi="ar"/>
        </w:rPr>
        <w:t>5.积极开展绿色公益活动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20" w:lineRule="exact"/>
        <w:ind w:firstLine="620" w:firstLineChars="200"/>
        <w:jc w:val="left"/>
        <w:textAlignment w:val="auto"/>
        <w:rPr>
          <w:color w:val="auto"/>
          <w:highlight w:val="none"/>
        </w:rPr>
      </w:pPr>
      <w:r>
        <w:rPr>
          <w:rFonts w:hint="eastAsia" w:ascii="仿宋_GB2312" w:hAnsi="宋体" w:eastAsia="仿宋_GB2312" w:cs="仿宋_GB2312"/>
          <w:color w:val="auto"/>
          <w:kern w:val="0"/>
          <w:sz w:val="31"/>
          <w:szCs w:val="31"/>
          <w:highlight w:val="none"/>
          <w:lang w:val="en-US" w:eastAsia="zh-CN" w:bidi="ar"/>
        </w:rPr>
        <w:t>在环保公益方面，联社加大绿色理念培育力度，增强社会对碳中和、绿色金融知识认知，参与环保宣传、义务植树、城乡垃圾分类等绿色文化主题活动，大力宣传绿色环保理念。通过张贴宣传标语等形式将节约能源促进可持续发展意识深入员工及群众思想，提高环保共识，共建美好绿色生态环境。念。</w:t>
      </w:r>
    </w:p>
    <w:p>
      <w:pPr>
        <w:keepNext w:val="0"/>
        <w:keepLines w:val="0"/>
        <w:pageBreakBefore w:val="0"/>
        <w:kinsoku/>
        <w:wordWrap/>
        <w:topLinePunct w:val="0"/>
        <w:autoSpaceDE/>
        <w:autoSpaceDN/>
        <w:bidi w:val="0"/>
        <w:adjustRightInd/>
        <w:snapToGrid/>
        <w:spacing w:line="520" w:lineRule="exact"/>
        <w:ind w:firstLine="640" w:firstLineChars="200"/>
        <w:textAlignment w:val="auto"/>
        <w:rPr>
          <w:rFonts w:hint="eastAsia" w:ascii="黑体" w:hAnsi="黑体" w:eastAsia="黑体" w:cs="Arial"/>
          <w:snapToGrid w:val="0"/>
          <w:color w:val="auto"/>
          <w:kern w:val="0"/>
          <w:sz w:val="32"/>
          <w:szCs w:val="32"/>
          <w:lang w:val="en-US" w:eastAsia="zh-CN"/>
        </w:rPr>
      </w:pPr>
      <w:r>
        <w:rPr>
          <w:rFonts w:hint="eastAsia" w:ascii="黑体" w:hAnsi="黑体" w:eastAsia="黑体" w:cs="Arial"/>
          <w:snapToGrid w:val="0"/>
          <w:color w:val="auto"/>
          <w:kern w:val="0"/>
          <w:sz w:val="32"/>
          <w:szCs w:val="32"/>
          <w:lang w:val="en-US" w:eastAsia="zh-CN"/>
        </w:rPr>
        <w:t>九、研究与交流成果</w:t>
      </w:r>
    </w:p>
    <w:p>
      <w:pPr>
        <w:keepNext w:val="0"/>
        <w:keepLines w:val="0"/>
        <w:pageBreakBefore w:val="0"/>
        <w:kinsoku/>
        <w:wordWrap/>
        <w:overflowPunct w:val="0"/>
        <w:topLinePunct w:val="0"/>
        <w:autoSpaceDE/>
        <w:autoSpaceDN/>
        <w:bidi w:val="0"/>
        <w:adjustRightInd/>
        <w:snapToGrid/>
        <w:spacing w:line="520" w:lineRule="exact"/>
        <w:ind w:firstLine="700" w:firstLineChars="200"/>
        <w:jc w:val="both"/>
        <w:textAlignment w:val="auto"/>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eastAsia="zh-CN"/>
        </w:rPr>
        <w:t>无</w:t>
      </w:r>
    </w:p>
    <w:p>
      <w:pPr>
        <w:keepNext w:val="0"/>
        <w:keepLines w:val="0"/>
        <w:pageBreakBefore w:val="0"/>
        <w:numPr>
          <w:ilvl w:val="0"/>
          <w:numId w:val="0"/>
        </w:numPr>
        <w:kinsoku/>
        <w:wordWrap/>
        <w:topLinePunct w:val="0"/>
        <w:autoSpaceDE/>
        <w:autoSpaceDN/>
        <w:bidi w:val="0"/>
        <w:adjustRightInd/>
        <w:snapToGrid/>
        <w:spacing w:line="520" w:lineRule="exact"/>
        <w:ind w:firstLine="640" w:firstLineChars="200"/>
        <w:textAlignment w:val="auto"/>
        <w:rPr>
          <w:rFonts w:hint="eastAsia" w:ascii="黑体" w:hAnsi="黑体" w:eastAsia="黑体" w:cs="Arial"/>
          <w:snapToGrid w:val="0"/>
          <w:color w:val="auto"/>
          <w:kern w:val="0"/>
          <w:sz w:val="32"/>
          <w:szCs w:val="32"/>
          <w:lang w:val="en-US" w:eastAsia="zh-CN"/>
        </w:rPr>
      </w:pPr>
      <w:r>
        <w:rPr>
          <w:rFonts w:hint="eastAsia" w:ascii="黑体" w:hAnsi="黑体" w:eastAsia="黑体" w:cs="Arial"/>
          <w:snapToGrid w:val="0"/>
          <w:color w:val="auto"/>
          <w:kern w:val="0"/>
          <w:sz w:val="32"/>
          <w:szCs w:val="32"/>
          <w:lang w:val="en-US" w:eastAsia="zh-CN"/>
        </w:rPr>
        <w:t>十、典型实践和案例</w:t>
      </w:r>
    </w:p>
    <w:p>
      <w:pPr>
        <w:keepNext w:val="0"/>
        <w:keepLines w:val="0"/>
        <w:pageBreakBefore w:val="0"/>
        <w:kinsoku/>
        <w:wordWrap/>
        <w:topLinePunct w:val="0"/>
        <w:autoSpaceDE/>
        <w:autoSpaceDN/>
        <w:bidi w:val="0"/>
        <w:adjustRightInd/>
        <w:snapToGrid/>
        <w:spacing w:line="520" w:lineRule="exact"/>
        <w:ind w:firstLine="640" w:firstLineChars="200"/>
        <w:textAlignment w:val="auto"/>
        <w:rPr>
          <w:rFonts w:hint="eastAsia" w:ascii="楷体" w:hAnsi="楷体" w:eastAsia="楷体" w:cstheme="minorBidi"/>
          <w:color w:val="auto"/>
          <w:sz w:val="32"/>
          <w:szCs w:val="32"/>
          <w:lang w:val="en-US" w:eastAsia="zh-CN"/>
        </w:rPr>
      </w:pPr>
      <w:r>
        <w:rPr>
          <w:rFonts w:hint="eastAsia" w:ascii="楷体" w:hAnsi="楷体" w:eastAsia="楷体" w:cstheme="minorBidi"/>
          <w:color w:val="auto"/>
          <w:sz w:val="32"/>
          <w:szCs w:val="32"/>
          <w:lang w:val="en-US" w:eastAsia="zh-CN"/>
        </w:rPr>
        <w:t>（一）金融机构绿色金融产品创新案例</w:t>
      </w:r>
    </w:p>
    <w:p>
      <w:pPr>
        <w:pStyle w:val="16"/>
        <w:keepNext w:val="0"/>
        <w:keepLines w:val="0"/>
        <w:pageBreakBefore w:val="0"/>
        <w:kinsoku/>
        <w:wordWrap/>
        <w:overflowPunct/>
        <w:topLinePunct w:val="0"/>
        <w:autoSpaceDE/>
        <w:autoSpaceDN/>
        <w:bidi w:val="0"/>
        <w:adjustRightInd/>
        <w:snapToGrid/>
        <w:spacing w:before="0" w:after="0" w:line="520" w:lineRule="exact"/>
        <w:ind w:firstLine="703" w:firstLineChars="200"/>
        <w:jc w:val="both"/>
        <w:textAlignment w:val="auto"/>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b/>
          <w:bCs/>
          <w:color w:val="auto"/>
          <w:spacing w:val="15"/>
          <w:kern w:val="2"/>
          <w:sz w:val="32"/>
          <w:szCs w:val="32"/>
          <w:lang w:val="en-US" w:eastAsia="zh-CN" w:bidi="ar-SA"/>
        </w:rPr>
        <w:t>1.案例背景。</w:t>
      </w:r>
      <w:r>
        <w:rPr>
          <w:rFonts w:hint="eastAsia" w:ascii="仿宋_GB2312" w:hAnsi="仿宋_GB2312" w:eastAsia="仿宋_GB2312" w:cs="仿宋_GB2312"/>
          <w:color w:val="auto"/>
          <w:spacing w:val="15"/>
          <w:kern w:val="2"/>
          <w:sz w:val="32"/>
          <w:szCs w:val="32"/>
          <w:lang w:val="en-US" w:eastAsia="zh-CN" w:bidi="ar-SA"/>
        </w:rPr>
        <w:t>周宁县黄振芳家庭林场是“三库+碳库”生态理念发源地，历经四十余年荒山造林，累计造林1207亩，在维护山地生物多样性、水土涵养、固碳储碳等方面发挥重要生态作用。由于林业项目建设周期长、前期收益低、有效抵押物不足，传统融资模式存在明显短板，难以满足林场生物多样性保护、生态修复及林下经济发展的资金需求，制约了生态保护工作常态化、长效化开展。</w:t>
      </w:r>
    </w:p>
    <w:p>
      <w:pPr>
        <w:pStyle w:val="6"/>
        <w:keepNext w:val="0"/>
        <w:keepLines w:val="0"/>
        <w:pageBreakBefore w:val="0"/>
        <w:widowControl/>
        <w:suppressLineNumbers w:val="0"/>
        <w:kinsoku/>
        <w:wordWrap/>
        <w:topLinePunct w:val="0"/>
        <w:autoSpaceDE/>
        <w:autoSpaceDN/>
        <w:bidi w:val="0"/>
        <w:adjustRightInd/>
        <w:snapToGrid/>
        <w:spacing w:before="0" w:beforeAutospacing="0" w:after="0" w:afterAutospacing="0" w:line="520" w:lineRule="exact"/>
        <w:ind w:left="0" w:right="0" w:firstLine="703" w:firstLineChars="200"/>
        <w:textAlignment w:val="auto"/>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b/>
          <w:bCs/>
          <w:color w:val="auto"/>
          <w:spacing w:val="15"/>
          <w:kern w:val="2"/>
          <w:sz w:val="32"/>
          <w:szCs w:val="32"/>
          <w:lang w:val="en-US" w:eastAsia="zh-CN" w:bidi="ar-SA"/>
        </w:rPr>
        <w:t>2.主要做法。</w:t>
      </w:r>
      <w:r>
        <w:rPr>
          <w:rFonts w:hint="eastAsia" w:ascii="仿宋_GB2312" w:hAnsi="仿宋_GB2312" w:eastAsia="仿宋_GB2312" w:cs="仿宋_GB2312"/>
          <w:color w:val="auto"/>
          <w:spacing w:val="15"/>
          <w:kern w:val="2"/>
          <w:sz w:val="32"/>
          <w:szCs w:val="32"/>
          <w:lang w:val="en-US" w:eastAsia="zh-CN" w:bidi="ar-SA"/>
        </w:rPr>
        <w:t>联社立足山区林业发展特点，创新推出 “林e贷+碳汇贷”组合生物多样性金融模式，有效盘活存量林业生态资产。项目打破传统信贷抵押物限制，创新以林业产业经营票证、森林碳汇作为质押担保，建立健全生态价值变现激励机制。同时将信贷投放规模、金融支持力度与林场生物多样性修复成效直接挂钩，实现生态保护成效与金融资源精准匹配。本次为林场落地60万元专项贷款，顺利实现森林生态资产向可量化、可融资的金融资产转化，精准破解生态林场融资难题。</w:t>
      </w:r>
    </w:p>
    <w:p>
      <w:pPr>
        <w:pStyle w:val="16"/>
        <w:keepNext w:val="0"/>
        <w:keepLines w:val="0"/>
        <w:pageBreakBefore w:val="0"/>
        <w:widowControl/>
        <w:kinsoku/>
        <w:wordWrap/>
        <w:overflowPunct/>
        <w:topLinePunct w:val="0"/>
        <w:autoSpaceDE/>
        <w:autoSpaceDN/>
        <w:bidi w:val="0"/>
        <w:adjustRightInd/>
        <w:snapToGrid/>
        <w:spacing w:before="0" w:after="0" w:line="520" w:lineRule="exact"/>
        <w:ind w:firstLine="703" w:firstLineChars="200"/>
        <w:jc w:val="both"/>
        <w:textAlignment w:val="auto"/>
        <w:rPr>
          <w:rFonts w:hint="eastAsia" w:ascii="仿宋_GB2312" w:hAnsi="仿宋_GB2312" w:eastAsia="仿宋_GB2312" w:cs="仿宋_GB2312"/>
          <w:color w:val="auto"/>
          <w:spacing w:val="15"/>
          <w:kern w:val="2"/>
          <w:sz w:val="32"/>
          <w:szCs w:val="32"/>
          <w:lang w:val="en-US" w:eastAsia="zh-CN" w:bidi="ar-SA"/>
        </w:rPr>
      </w:pPr>
      <w:r>
        <w:rPr>
          <w:rFonts w:hint="eastAsia" w:ascii="仿宋_GB2312" w:hAnsi="仿宋_GB2312" w:eastAsia="仿宋_GB2312" w:cs="仿宋_GB2312"/>
          <w:b/>
          <w:bCs/>
          <w:color w:val="auto"/>
          <w:spacing w:val="15"/>
          <w:kern w:val="2"/>
          <w:sz w:val="32"/>
          <w:szCs w:val="32"/>
          <w:lang w:val="en-US" w:eastAsia="zh-CN" w:bidi="ar-SA"/>
        </w:rPr>
        <w:t>3.实施成效。</w:t>
      </w:r>
      <w:r>
        <w:rPr>
          <w:rFonts w:hint="eastAsia" w:ascii="仿宋_GB2312" w:hAnsi="仿宋_GB2312" w:eastAsia="仿宋_GB2312" w:cs="仿宋_GB2312"/>
          <w:color w:val="auto"/>
          <w:spacing w:val="15"/>
          <w:kern w:val="2"/>
          <w:sz w:val="32"/>
          <w:szCs w:val="32"/>
          <w:lang w:val="en-US" w:eastAsia="zh-CN" w:bidi="ar-SA"/>
        </w:rPr>
        <w:t>结合林业生态修复周期长、回报慢的特点，项目创新推行 “以短养长”发展模式，通过林下经济短期经营性收益反哺长期造林护林投入，保障生态管护持续推进。依托信贷资金支持，林场成功打造 “杉木+林下中草药”立体种植模式，优化森林生态结构，大幅提升区域森林覆盖率，改善野生动植物栖息环境，有效提升山地生物多样性保护水平。同时持续增强森林水土涵养、固碳储碳生态功能，实现生态环境持续向好，同步带动林下产业增收，达成生态效益与经济效益双赢。</w:t>
      </w:r>
    </w:p>
    <w:p>
      <w:pPr>
        <w:keepNext w:val="0"/>
        <w:keepLines w:val="0"/>
        <w:pageBreakBefore w:val="0"/>
        <w:kinsoku/>
        <w:wordWrap/>
        <w:topLinePunct w:val="0"/>
        <w:autoSpaceDE/>
        <w:autoSpaceDN/>
        <w:bidi w:val="0"/>
        <w:adjustRightInd/>
        <w:snapToGrid/>
        <w:spacing w:line="520" w:lineRule="exact"/>
        <w:ind w:firstLine="640" w:firstLineChars="200"/>
        <w:textAlignment w:val="auto"/>
        <w:rPr>
          <w:rFonts w:hint="eastAsia" w:ascii="楷体" w:hAnsi="楷体" w:eastAsia="楷体" w:cstheme="minorBidi"/>
          <w:color w:val="auto"/>
          <w:sz w:val="32"/>
          <w:szCs w:val="32"/>
          <w:lang w:val="en-US" w:eastAsia="zh-CN"/>
        </w:rPr>
      </w:pPr>
      <w:r>
        <w:rPr>
          <w:rFonts w:hint="eastAsia" w:ascii="楷体" w:hAnsi="楷体" w:eastAsia="楷体" w:cstheme="minorBidi"/>
          <w:color w:val="auto"/>
          <w:sz w:val="32"/>
          <w:szCs w:val="32"/>
          <w:lang w:val="en-US" w:eastAsia="zh-CN"/>
        </w:rPr>
        <w:t>（二）碳中和银行网点建设情况</w:t>
      </w:r>
    </w:p>
    <w:p>
      <w:pPr>
        <w:keepNext w:val="0"/>
        <w:keepLines w:val="0"/>
        <w:pageBreakBefore w:val="0"/>
        <w:kinsoku/>
        <w:wordWrap/>
        <w:overflowPunct w:val="0"/>
        <w:topLinePunct w:val="0"/>
        <w:autoSpaceDE/>
        <w:autoSpaceDN/>
        <w:bidi w:val="0"/>
        <w:adjustRightInd/>
        <w:snapToGrid/>
        <w:spacing w:line="520" w:lineRule="exact"/>
        <w:ind w:firstLine="1050" w:firstLineChars="300"/>
        <w:jc w:val="both"/>
        <w:textAlignment w:val="auto"/>
        <w:rPr>
          <w:rFonts w:hint="eastAsia" w:ascii="仿宋_GB2312" w:hAnsi="仿宋_GB2312" w:eastAsia="仿宋_GB2312" w:cs="仿宋_GB2312"/>
          <w:color w:val="auto"/>
          <w:spacing w:val="15"/>
          <w:sz w:val="32"/>
          <w:szCs w:val="32"/>
          <w:lang w:eastAsia="zh-CN"/>
        </w:rPr>
      </w:pPr>
      <w:r>
        <w:rPr>
          <w:rFonts w:hint="eastAsia" w:ascii="仿宋_GB2312" w:hAnsi="仿宋_GB2312" w:eastAsia="仿宋_GB2312" w:cs="仿宋_GB2312"/>
          <w:color w:val="auto"/>
          <w:spacing w:val="15"/>
          <w:sz w:val="32"/>
          <w:szCs w:val="32"/>
          <w:lang w:eastAsia="zh-CN"/>
        </w:rPr>
        <w:t>无</w:t>
      </w:r>
    </w:p>
    <w:p>
      <w:pPr>
        <w:keepNext w:val="0"/>
        <w:keepLines w:val="0"/>
        <w:pageBreakBefore w:val="0"/>
        <w:kinsoku/>
        <w:wordWrap/>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bCs/>
          <w:color w:val="auto"/>
          <w:spacing w:val="15"/>
          <w:sz w:val="32"/>
          <w:szCs w:val="32"/>
          <w:lang w:eastAsia="zh-CN"/>
        </w:rPr>
      </w:pPr>
      <w:r>
        <w:rPr>
          <w:rFonts w:hint="eastAsia" w:ascii="黑体" w:hAnsi="黑体" w:eastAsia="黑体" w:cs="Arial"/>
          <w:snapToGrid w:val="0"/>
          <w:color w:val="auto"/>
          <w:kern w:val="0"/>
          <w:sz w:val="32"/>
          <w:szCs w:val="32"/>
          <w:lang w:val="en-US" w:eastAsia="zh-CN"/>
        </w:rPr>
        <w:t>十一、其他信息</w:t>
      </w:r>
    </w:p>
    <w:p>
      <w:pPr>
        <w:keepNext w:val="0"/>
        <w:keepLines w:val="0"/>
        <w:pageBreakBefore w:val="0"/>
        <w:kinsoku/>
        <w:wordWrap/>
        <w:overflowPunct w:val="0"/>
        <w:topLinePunct w:val="0"/>
        <w:autoSpaceDE/>
        <w:autoSpaceDN/>
        <w:bidi w:val="0"/>
        <w:adjustRightInd/>
        <w:snapToGrid/>
        <w:spacing w:line="520" w:lineRule="exact"/>
        <w:ind w:firstLine="1050" w:firstLineChars="300"/>
        <w:jc w:val="both"/>
        <w:textAlignment w:val="auto"/>
        <w:rPr>
          <w:color w:val="auto"/>
          <w:highlight w:val="none"/>
        </w:rPr>
      </w:pPr>
      <w:r>
        <w:rPr>
          <w:rFonts w:hint="eastAsia" w:ascii="仿宋_GB2312" w:hAnsi="仿宋_GB2312" w:eastAsia="仿宋_GB2312" w:cs="仿宋_GB2312"/>
          <w:color w:val="auto"/>
          <w:spacing w:val="15"/>
          <w:sz w:val="32"/>
          <w:szCs w:val="32"/>
          <w:lang w:eastAsia="zh-CN"/>
        </w:rPr>
        <w:t>无</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6C1F8"/>
    <w:multiLevelType w:val="singleLevel"/>
    <w:tmpl w:val="B006C1F8"/>
    <w:lvl w:ilvl="0" w:tentative="0">
      <w:start w:val="1"/>
      <w:numFmt w:val="decimal"/>
      <w:lvlText w:val="%1."/>
      <w:lvlJc w:val="left"/>
      <w:pPr>
        <w:tabs>
          <w:tab w:val="left" w:pos="312"/>
        </w:tabs>
      </w:pPr>
    </w:lvl>
  </w:abstractNum>
  <w:abstractNum w:abstractNumId="1">
    <w:nsid w:val="C7A5B367"/>
    <w:multiLevelType w:val="singleLevel"/>
    <w:tmpl w:val="C7A5B367"/>
    <w:lvl w:ilvl="0" w:tentative="0">
      <w:start w:val="8"/>
      <w:numFmt w:val="chineseCounting"/>
      <w:suff w:val="nothing"/>
      <w:lvlText w:val="%1、"/>
      <w:lvlJc w:val="left"/>
      <w:rPr>
        <w:rFonts w:hint="eastAsia"/>
      </w:rPr>
    </w:lvl>
  </w:abstractNum>
  <w:abstractNum w:abstractNumId="2">
    <w:nsid w:val="3A61F91B"/>
    <w:multiLevelType w:val="singleLevel"/>
    <w:tmpl w:val="3A61F91B"/>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lYmFiNzk0NzQ4M2RkMGJlOGMzNmVjMDUzZDUzMmYifQ=="/>
    <w:docVar w:name="KSO_WPS_MARK_KEY" w:val="061c598d-3f2d-4ce3-8357-6992cac10a99"/>
  </w:docVars>
  <w:rsids>
    <w:rsidRoot w:val="00172A27"/>
    <w:rsid w:val="008C1EBB"/>
    <w:rsid w:val="00FA4D98"/>
    <w:rsid w:val="040F76D8"/>
    <w:rsid w:val="0456606A"/>
    <w:rsid w:val="07667015"/>
    <w:rsid w:val="08A502BB"/>
    <w:rsid w:val="0A2D2A9A"/>
    <w:rsid w:val="0B140B37"/>
    <w:rsid w:val="0B7D30D1"/>
    <w:rsid w:val="0C005169"/>
    <w:rsid w:val="0C4648AE"/>
    <w:rsid w:val="0C5B2355"/>
    <w:rsid w:val="0CA679A6"/>
    <w:rsid w:val="0D7A1AA8"/>
    <w:rsid w:val="0DA96582"/>
    <w:rsid w:val="0DF61300"/>
    <w:rsid w:val="0E6A757E"/>
    <w:rsid w:val="0FF05CD8"/>
    <w:rsid w:val="10EA5F4D"/>
    <w:rsid w:val="111807FE"/>
    <w:rsid w:val="114E750A"/>
    <w:rsid w:val="126A2854"/>
    <w:rsid w:val="150107E0"/>
    <w:rsid w:val="15667A2C"/>
    <w:rsid w:val="15E806D9"/>
    <w:rsid w:val="17390526"/>
    <w:rsid w:val="19C30219"/>
    <w:rsid w:val="1CA108E0"/>
    <w:rsid w:val="1FD776BF"/>
    <w:rsid w:val="20113B3D"/>
    <w:rsid w:val="2015132C"/>
    <w:rsid w:val="22A42B0A"/>
    <w:rsid w:val="22EF0D36"/>
    <w:rsid w:val="24BC6E1F"/>
    <w:rsid w:val="24C97BBB"/>
    <w:rsid w:val="25B873A5"/>
    <w:rsid w:val="25F0649B"/>
    <w:rsid w:val="269C2861"/>
    <w:rsid w:val="26D805BC"/>
    <w:rsid w:val="27E8348A"/>
    <w:rsid w:val="29194352"/>
    <w:rsid w:val="2925295C"/>
    <w:rsid w:val="2AC404A2"/>
    <w:rsid w:val="2B4C7F7D"/>
    <w:rsid w:val="2B68067B"/>
    <w:rsid w:val="2BF85F2B"/>
    <w:rsid w:val="2C5B7754"/>
    <w:rsid w:val="2D223DC7"/>
    <w:rsid w:val="2DB761D4"/>
    <w:rsid w:val="2E12034B"/>
    <w:rsid w:val="2EDC1FFD"/>
    <w:rsid w:val="334A1264"/>
    <w:rsid w:val="33CF3B6D"/>
    <w:rsid w:val="341F6B2D"/>
    <w:rsid w:val="362C4F22"/>
    <w:rsid w:val="36F25040"/>
    <w:rsid w:val="37570639"/>
    <w:rsid w:val="37684501"/>
    <w:rsid w:val="380050FB"/>
    <w:rsid w:val="38073437"/>
    <w:rsid w:val="38B231AF"/>
    <w:rsid w:val="39461906"/>
    <w:rsid w:val="3ACB274D"/>
    <w:rsid w:val="3B021313"/>
    <w:rsid w:val="3B41648F"/>
    <w:rsid w:val="3BFF2A38"/>
    <w:rsid w:val="3CB25416"/>
    <w:rsid w:val="3D085A8A"/>
    <w:rsid w:val="3D9A0481"/>
    <w:rsid w:val="3DF1595A"/>
    <w:rsid w:val="3F8E2C27"/>
    <w:rsid w:val="4253635B"/>
    <w:rsid w:val="43B10920"/>
    <w:rsid w:val="43ED747C"/>
    <w:rsid w:val="44687391"/>
    <w:rsid w:val="460E660A"/>
    <w:rsid w:val="475C554F"/>
    <w:rsid w:val="47970B75"/>
    <w:rsid w:val="47DE4722"/>
    <w:rsid w:val="48400B97"/>
    <w:rsid w:val="4A950468"/>
    <w:rsid w:val="4B562959"/>
    <w:rsid w:val="4C2A1804"/>
    <w:rsid w:val="4C656166"/>
    <w:rsid w:val="4D216709"/>
    <w:rsid w:val="4F5A1A14"/>
    <w:rsid w:val="4FEE0352"/>
    <w:rsid w:val="503A72E3"/>
    <w:rsid w:val="50B8317E"/>
    <w:rsid w:val="53FF4D85"/>
    <w:rsid w:val="55071C51"/>
    <w:rsid w:val="57806F13"/>
    <w:rsid w:val="579E026A"/>
    <w:rsid w:val="597B1F89"/>
    <w:rsid w:val="59CD336C"/>
    <w:rsid w:val="59F61307"/>
    <w:rsid w:val="5A15305E"/>
    <w:rsid w:val="5A3C212B"/>
    <w:rsid w:val="5BA416E6"/>
    <w:rsid w:val="5BC3729F"/>
    <w:rsid w:val="5C3449F3"/>
    <w:rsid w:val="5D6A48AD"/>
    <w:rsid w:val="5F7555D6"/>
    <w:rsid w:val="5F984B0C"/>
    <w:rsid w:val="5FBE7BC0"/>
    <w:rsid w:val="60252858"/>
    <w:rsid w:val="61437989"/>
    <w:rsid w:val="61ED6177"/>
    <w:rsid w:val="624D7956"/>
    <w:rsid w:val="63236CCF"/>
    <w:rsid w:val="646905CB"/>
    <w:rsid w:val="64804AFC"/>
    <w:rsid w:val="64994839"/>
    <w:rsid w:val="64AE57D3"/>
    <w:rsid w:val="66AD2ECF"/>
    <w:rsid w:val="66E66CB9"/>
    <w:rsid w:val="688C085D"/>
    <w:rsid w:val="693B1492"/>
    <w:rsid w:val="69B03BEA"/>
    <w:rsid w:val="69EC5FFD"/>
    <w:rsid w:val="6BE40835"/>
    <w:rsid w:val="6CAC00AB"/>
    <w:rsid w:val="6D43670B"/>
    <w:rsid w:val="6E0850B7"/>
    <w:rsid w:val="6ED6247D"/>
    <w:rsid w:val="6F405660"/>
    <w:rsid w:val="707B5710"/>
    <w:rsid w:val="70F265F9"/>
    <w:rsid w:val="72F031F8"/>
    <w:rsid w:val="74E43CA8"/>
    <w:rsid w:val="76045388"/>
    <w:rsid w:val="764135B9"/>
    <w:rsid w:val="77B055F4"/>
    <w:rsid w:val="78B12812"/>
    <w:rsid w:val="78C0600C"/>
    <w:rsid w:val="78E4517F"/>
    <w:rsid w:val="798079A9"/>
    <w:rsid w:val="7BD81D81"/>
    <w:rsid w:val="7D595B65"/>
    <w:rsid w:val="7D6A3C51"/>
    <w:rsid w:val="7D8E625C"/>
    <w:rsid w:val="7EF51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仿宋_GB2312" w:cs="Times New Roman"/>
      <w:sz w:val="32"/>
      <w:szCs w:val="32"/>
    </w:r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odyText1I2"/>
    <w:basedOn w:val="11"/>
    <w:next w:val="1"/>
    <w:qFormat/>
    <w:uiPriority w:val="0"/>
    <w:pPr>
      <w:spacing w:line="560" w:lineRule="exact"/>
      <w:ind w:left="0" w:leftChars="0" w:firstLine="420" w:firstLineChars="200"/>
      <w:jc w:val="both"/>
      <w:textAlignment w:val="baseline"/>
    </w:pPr>
    <w:rPr>
      <w:rFonts w:ascii="Arial" w:hAnsi="Arial" w:eastAsia="仿宋_GB2312" w:cs="Arial"/>
      <w:snapToGrid w:val="0"/>
      <w:color w:val="000000"/>
      <w:kern w:val="0"/>
      <w:sz w:val="32"/>
      <w:szCs w:val="21"/>
    </w:rPr>
  </w:style>
  <w:style w:type="paragraph" w:customStyle="1" w:styleId="11">
    <w:name w:val="BodyTextIndent"/>
    <w:basedOn w:val="1"/>
    <w:qFormat/>
    <w:uiPriority w:val="0"/>
    <w:pPr>
      <w:spacing w:after="120" w:line="240" w:lineRule="auto"/>
      <w:ind w:left="420" w:leftChars="200"/>
      <w:jc w:val="both"/>
      <w:textAlignment w:val="baseline"/>
    </w:p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 w:type="paragraph" w:customStyle="1" w:styleId="14">
    <w:name w:val="Body text|1"/>
    <w:basedOn w:val="1"/>
    <w:qFormat/>
    <w:uiPriority w:val="0"/>
    <w:pPr>
      <w:spacing w:line="420" w:lineRule="auto"/>
      <w:ind w:firstLine="400"/>
      <w:jc w:val="left"/>
    </w:pPr>
    <w:rPr>
      <w:rFonts w:ascii="宋体" w:hAnsi="宋体" w:eastAsia="宋体" w:cs="宋体"/>
      <w:kern w:val="0"/>
      <w:sz w:val="30"/>
      <w:szCs w:val="30"/>
      <w:lang w:val="zh-TW" w:eastAsia="zh-TW" w:bidi="zh-TW"/>
    </w:rPr>
  </w:style>
  <w:style w:type="paragraph" w:customStyle="1" w:styleId="15">
    <w:name w:val="样式1"/>
    <w:basedOn w:val="1"/>
    <w:qFormat/>
    <w:uiPriority w:val="0"/>
    <w:rPr>
      <w:rFonts w:ascii="仿宋_GB2312" w:hAnsi="Times New Roman" w:eastAsia="仿宋_GB2312" w:cs="Times New Roman"/>
      <w:sz w:val="3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5781</Words>
  <Characters>6041</Characters>
  <Lines>0</Lines>
  <Paragraphs>0</Paragraphs>
  <TotalTime>7</TotalTime>
  <ScaleCrop>false</ScaleCrop>
  <LinksUpToDate>false</LinksUpToDate>
  <CharactersWithSpaces>6111</CharactersWithSpaces>
  <Application>WPS Office_12.8.2.15001_F1E327BC-269C-435d-A152-05C5408002CA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2024-09-14T03:14:00Z</dcterms:created>
  <dc:creator>Administrator</dc:creator>
  <cp:lastModifiedBy>LENOVO</cp:lastModifiedBy>
  <cp:lastPrinted>2024-09-30T04:07:00Z</cp:lastPrinted>
  <dcterms:modified xsi:type="dcterms:W3CDTF">2026-06-29T03:39:48Z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2052-12.8.2.15001</vt:lpwstr>
  </property>
  <property fmtid="{D5CDD505-2E9C-101B-9397-08002B2CF9AE}" pid="3" name="ICV">
    <vt:lpwstr>C8D2BDDAF2144DF79DA462C7D77540BC_13</vt:lpwstr>
  </property>
</Properties>
</file>