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微软雅黑" w:hAnsi="微软雅黑" w:eastAsia="微软雅黑" w:cs="宋体"/>
          <w:b/>
          <w:color w:val="000000"/>
          <w:kern w:val="0"/>
          <w:sz w:val="24"/>
          <w:szCs w:val="24"/>
        </w:rPr>
      </w:pPr>
      <w:bookmarkStart w:id="0" w:name="OLE_LINK3"/>
      <w:bookmarkStart w:id="1" w:name="OLE_LINK1"/>
      <w:r>
        <w:rPr>
          <w:rFonts w:hint="eastAsia" w:ascii="微软雅黑" w:hAnsi="微软雅黑" w:eastAsia="微软雅黑" w:cs="宋体"/>
          <w:b/>
          <w:color w:val="000000"/>
          <w:kern w:val="0"/>
          <w:sz w:val="24"/>
          <w:szCs w:val="24"/>
        </w:rPr>
        <w:t>我行代理保险产品清单</w:t>
      </w:r>
    </w:p>
    <w:p>
      <w:pPr>
        <w:autoSpaceDE w:val="0"/>
        <w:autoSpaceDN w:val="0"/>
        <w:adjustRightInd w:val="0"/>
        <w:ind w:firstLine="480" w:firstLineChars="200"/>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现阶段本行开办的代理保险业务，是本行通过与保险公司建立业务合作关系，在本行的营业网点代收保费及其他的保险业务，间接为客户提供保险服务。您只要在本行网点即可办理保险业务的一种金融服务。您可以同时享受到银行和保险多样化金融服务。</w:t>
      </w:r>
    </w:p>
    <w:p>
      <w:pPr>
        <w:numPr>
          <w:ilvl w:val="0"/>
          <w:numId w:val="1"/>
        </w:numPr>
        <w:autoSpaceDE w:val="0"/>
        <w:autoSpaceDN w:val="0"/>
        <w:adjustRightInd w:val="0"/>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人身意外伤害险</w:t>
      </w:r>
    </w:p>
    <w:p>
      <w:pPr>
        <w:autoSpaceDE w:val="0"/>
        <w:autoSpaceDN w:val="0"/>
        <w:adjustRightInd w:val="0"/>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简称人身意外险，指在约定的保险期内，因发生意外事故而导致被保险人死亡或残疾，支出医疗费用或暂时丧失劳动能力，保险公司按照双方的约定，向被保险人或受益人支付一定量的保险金的一种保险。保障项目分死亡给付、残疾给付、医疗给付和停工给付。</w:t>
      </w:r>
    </w:p>
    <w:p>
      <w:pPr>
        <w:numPr>
          <w:ilvl w:val="0"/>
          <w:numId w:val="1"/>
        </w:numPr>
        <w:autoSpaceDE w:val="0"/>
        <w:autoSpaceDN w:val="0"/>
        <w:adjustRightInd w:val="0"/>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财产保险</w:t>
      </w:r>
    </w:p>
    <w:p>
      <w:pPr>
        <w:autoSpaceDE w:val="0"/>
        <w:autoSpaceDN w:val="0"/>
        <w:adjustRightInd w:val="0"/>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财产保险是指投保人根据合同约定，向保险人交付保险费，保险人按保险合同的约定对所承保的财产及其有关利益因自然灾害或意外事故造成的损失承担赔偿责任的保险。</w:t>
      </w:r>
    </w:p>
    <w:p>
      <w:pPr>
        <w:pStyle w:val="11"/>
        <w:numPr>
          <w:ilvl w:val="0"/>
          <w:numId w:val="1"/>
        </w:numPr>
        <w:autoSpaceDE w:val="0"/>
        <w:autoSpaceDN w:val="0"/>
        <w:adjustRightInd w:val="0"/>
        <w:ind w:firstLineChars="0"/>
        <w:jc w:val="left"/>
        <w:rPr>
          <w:rFonts w:ascii="微软雅黑" w:hAnsi="微软雅黑" w:eastAsia="微软雅黑" w:cs="宋体"/>
          <w:color w:val="000000"/>
          <w:kern w:val="0"/>
          <w:sz w:val="24"/>
          <w:szCs w:val="24"/>
        </w:rPr>
      </w:pPr>
      <w:bookmarkStart w:id="2" w:name="OLE_LINK2"/>
      <w:r>
        <w:rPr>
          <w:rFonts w:hint="eastAsia" w:ascii="微软雅黑" w:hAnsi="微软雅黑" w:eastAsia="微软雅黑" w:cs="宋体"/>
          <w:color w:val="000000"/>
          <w:kern w:val="0"/>
          <w:sz w:val="24"/>
          <w:szCs w:val="24"/>
        </w:rPr>
        <w:t>重大疾病保险</w:t>
      </w:r>
    </w:p>
    <w:p>
      <w:pPr>
        <w:autoSpaceDE w:val="0"/>
        <w:autoSpaceDN w:val="0"/>
        <w:adjustRightInd w:val="0"/>
        <w:ind w:firstLine="480" w:firstLineChars="200"/>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指由保险公司经办的以特定重大疾病，如恶性肿瘤、心肌梗死、脑溢血等为保险对象，当被保险人患有上述疾病时，由保险公司对所花医疗费用给予适当补偿的商业保险行为。</w:t>
      </w:r>
      <w:bookmarkStart w:id="3" w:name="OLE_LINK4"/>
    </w:p>
    <w:bookmarkEnd w:id="0"/>
    <w:tbl>
      <w:tblPr>
        <w:tblStyle w:val="6"/>
        <w:tblpPr w:leftFromText="180" w:rightFromText="180" w:vertAnchor="text" w:horzAnchor="margin" w:tblpX="74" w:tblpY="5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134"/>
        <w:gridCol w:w="1197"/>
        <w:gridCol w:w="2064"/>
        <w:gridCol w:w="1187"/>
        <w:gridCol w:w="2181"/>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984" w:type="dxa"/>
            <w:vAlign w:val="center"/>
          </w:tcPr>
          <w:p>
            <w:pPr>
              <w:jc w:val="center"/>
              <w:rPr>
                <w:b/>
              </w:rPr>
            </w:pPr>
            <w:r>
              <w:rPr>
                <w:rFonts w:hint="eastAsia"/>
                <w:b/>
              </w:rPr>
              <w:t>产品名称</w:t>
            </w:r>
          </w:p>
        </w:tc>
        <w:tc>
          <w:tcPr>
            <w:tcW w:w="1134" w:type="dxa"/>
            <w:vAlign w:val="center"/>
          </w:tcPr>
          <w:p>
            <w:pPr>
              <w:jc w:val="center"/>
              <w:rPr>
                <w:b/>
              </w:rPr>
            </w:pPr>
            <w:r>
              <w:rPr>
                <w:rFonts w:hint="eastAsia"/>
                <w:b/>
              </w:rPr>
              <w:t>产品代码</w:t>
            </w:r>
          </w:p>
        </w:tc>
        <w:tc>
          <w:tcPr>
            <w:tcW w:w="1197" w:type="dxa"/>
            <w:vAlign w:val="center"/>
          </w:tcPr>
          <w:p>
            <w:pPr>
              <w:jc w:val="center"/>
              <w:rPr>
                <w:b/>
              </w:rPr>
            </w:pPr>
            <w:r>
              <w:rPr>
                <w:rFonts w:hint="eastAsia"/>
                <w:b/>
              </w:rPr>
              <w:t>产品类别</w:t>
            </w:r>
          </w:p>
        </w:tc>
        <w:tc>
          <w:tcPr>
            <w:tcW w:w="2064" w:type="dxa"/>
            <w:vAlign w:val="center"/>
          </w:tcPr>
          <w:p>
            <w:pPr>
              <w:jc w:val="center"/>
              <w:rPr>
                <w:b/>
              </w:rPr>
            </w:pPr>
            <w:r>
              <w:rPr>
                <w:rFonts w:hint="eastAsia"/>
                <w:b/>
              </w:rPr>
              <w:t>发行机构</w:t>
            </w:r>
          </w:p>
        </w:tc>
        <w:tc>
          <w:tcPr>
            <w:tcW w:w="1187" w:type="dxa"/>
            <w:vAlign w:val="center"/>
          </w:tcPr>
          <w:p>
            <w:pPr>
              <w:jc w:val="center"/>
              <w:rPr>
                <w:b/>
              </w:rPr>
            </w:pPr>
            <w:r>
              <w:rPr>
                <w:rFonts w:hint="eastAsia"/>
                <w:b/>
              </w:rPr>
              <w:t>风险等级</w:t>
            </w:r>
          </w:p>
        </w:tc>
        <w:tc>
          <w:tcPr>
            <w:tcW w:w="2181" w:type="dxa"/>
            <w:vAlign w:val="center"/>
          </w:tcPr>
          <w:p>
            <w:pPr>
              <w:jc w:val="center"/>
              <w:rPr>
                <w:b/>
              </w:rPr>
            </w:pPr>
            <w:r>
              <w:rPr>
                <w:rFonts w:hint="eastAsia"/>
                <w:b/>
              </w:rPr>
              <w:t>投资者范围</w:t>
            </w:r>
          </w:p>
        </w:tc>
        <w:tc>
          <w:tcPr>
            <w:tcW w:w="1560" w:type="dxa"/>
            <w:vAlign w:val="center"/>
          </w:tcPr>
          <w:p>
            <w:pPr>
              <w:jc w:val="center"/>
              <w:rPr>
                <w:b/>
              </w:rPr>
            </w:pPr>
            <w:r>
              <w:rPr>
                <w:rFonts w:hint="eastAsia"/>
                <w:b/>
              </w:rPr>
              <w:t>收费标准</w:t>
            </w:r>
          </w:p>
        </w:tc>
        <w:tc>
          <w:tcPr>
            <w:tcW w:w="1275" w:type="dxa"/>
            <w:vAlign w:val="center"/>
          </w:tcPr>
          <w:p>
            <w:pPr>
              <w:jc w:val="center"/>
              <w:rPr>
                <w:b/>
              </w:rPr>
            </w:pPr>
            <w:r>
              <w:rPr>
                <w:rFonts w:hint="eastAsia"/>
                <w:b/>
              </w:rPr>
              <w:t>收费方式</w:t>
            </w:r>
          </w:p>
        </w:tc>
        <w:tc>
          <w:tcPr>
            <w:tcW w:w="1418" w:type="dxa"/>
            <w:vAlign w:val="center"/>
          </w:tcPr>
          <w:p>
            <w:pPr>
              <w:jc w:val="center"/>
              <w:rPr>
                <w:rFonts w:hint="eastAsia"/>
                <w:b/>
              </w:rPr>
            </w:pPr>
            <w:r>
              <w:rPr>
                <w:rFonts w:hint="eastAsia"/>
                <w:b/>
              </w:rPr>
              <w:t>代销期限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4" w:type="dxa"/>
            <w:vAlign w:val="center"/>
          </w:tcPr>
          <w:p>
            <w:pPr>
              <w:jc w:val="center"/>
              <w:rPr>
                <w:rFonts w:hint="default" w:eastAsia="宋体"/>
                <w:lang w:val="en-US" w:eastAsia="zh-CN"/>
              </w:rPr>
            </w:pPr>
            <w:r>
              <w:rPr>
                <w:rFonts w:hint="eastAsia"/>
                <w:lang w:val="en-US" w:eastAsia="zh-CN"/>
              </w:rPr>
              <w:t>太保鑫相伴（A款）终身寿险</w:t>
            </w:r>
          </w:p>
        </w:tc>
        <w:tc>
          <w:tcPr>
            <w:tcW w:w="1134" w:type="dxa"/>
            <w:vAlign w:val="center"/>
          </w:tcPr>
          <w:p>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EM6519</w:t>
            </w:r>
          </w:p>
        </w:tc>
        <w:tc>
          <w:tcPr>
            <w:tcW w:w="1197" w:type="dxa"/>
            <w:vAlign w:val="center"/>
          </w:tcPr>
          <w:p>
            <w:pPr>
              <w:jc w:val="center"/>
              <w:rPr>
                <w:rFonts w:hint="default" w:eastAsia="宋体"/>
                <w:lang w:val="en-US" w:eastAsia="zh-CN"/>
              </w:rPr>
            </w:pPr>
            <w:r>
              <w:rPr>
                <w:rFonts w:hint="eastAsia"/>
                <w:lang w:val="en-US" w:eastAsia="zh-CN"/>
              </w:rPr>
              <w:t>人寿保险</w:t>
            </w:r>
          </w:p>
        </w:tc>
        <w:tc>
          <w:tcPr>
            <w:tcW w:w="2064" w:type="dxa"/>
            <w:vAlign w:val="center"/>
          </w:tcPr>
          <w:p>
            <w:pPr>
              <w:jc w:val="center"/>
              <w:rPr>
                <w:rFonts w:hint="eastAsia"/>
              </w:rPr>
            </w:pPr>
            <w:r>
              <w:rPr>
                <w:rFonts w:hint="eastAsia"/>
              </w:rPr>
              <w:t>中国太平洋人寿保险有限公司</w:t>
            </w:r>
          </w:p>
        </w:tc>
        <w:tc>
          <w:tcPr>
            <w:tcW w:w="1187" w:type="dxa"/>
            <w:vAlign w:val="center"/>
          </w:tcPr>
          <w:p>
            <w:pPr>
              <w:jc w:val="center"/>
              <w:rPr>
                <w:rFonts w:hint="eastAsia"/>
              </w:rPr>
            </w:pPr>
            <w:r>
              <w:rPr>
                <w:rFonts w:hint="eastAsia"/>
              </w:rPr>
              <w:t>R1</w:t>
            </w:r>
          </w:p>
        </w:tc>
        <w:tc>
          <w:tcPr>
            <w:tcW w:w="2181" w:type="dxa"/>
            <w:vAlign w:val="center"/>
          </w:tcPr>
          <w:p>
            <w:pPr>
              <w:jc w:val="center"/>
              <w:rPr>
                <w:rFonts w:hint="eastAsia" w:eastAsia="宋体"/>
                <w:lang w:val="en-US" w:eastAsia="zh-CN"/>
              </w:rPr>
            </w:pPr>
            <w:r>
              <w:rPr>
                <w:rFonts w:hint="default"/>
              </w:rPr>
              <w:t>0周岁（须出生满30天）至75周岁</w:t>
            </w:r>
          </w:p>
        </w:tc>
        <w:tc>
          <w:tcPr>
            <w:tcW w:w="1560" w:type="dxa"/>
            <w:vAlign w:val="center"/>
          </w:tcPr>
          <w:p>
            <w:pPr>
              <w:jc w:val="center"/>
              <w:rPr>
                <w:rFonts w:hint="eastAsia"/>
              </w:rPr>
            </w:pPr>
            <w:r>
              <w:rPr>
                <w:rFonts w:hint="eastAsia"/>
              </w:rPr>
              <w:t>以保险公司核保规则为准</w:t>
            </w:r>
          </w:p>
        </w:tc>
        <w:tc>
          <w:tcPr>
            <w:tcW w:w="1275" w:type="dxa"/>
            <w:vAlign w:val="center"/>
          </w:tcPr>
          <w:p>
            <w:pPr>
              <w:jc w:val="center"/>
              <w:rPr>
                <w:rFonts w:hint="default" w:eastAsia="宋体"/>
                <w:lang w:val="en-US" w:eastAsia="zh-CN"/>
              </w:rPr>
            </w:pPr>
            <w:r>
              <w:rPr>
                <w:rFonts w:hint="eastAsia"/>
                <w:lang w:val="en-US" w:eastAsia="zh-CN"/>
              </w:rPr>
              <w:t>趸交、期交</w:t>
            </w:r>
          </w:p>
        </w:tc>
        <w:tc>
          <w:tcPr>
            <w:tcW w:w="1418" w:type="dxa"/>
            <w:vAlign w:val="center"/>
          </w:tcPr>
          <w:p>
            <w:pPr>
              <w:jc w:val="center"/>
              <w:rPr>
                <w:rFonts w:hint="default" w:eastAsia="宋体"/>
                <w:lang w:val="en-US" w:eastAsia="zh-CN"/>
              </w:rPr>
            </w:pPr>
            <w:r>
              <w:rPr>
                <w:rFonts w:hint="eastAsia"/>
                <w:lang w:val="en-US" w:eastAsia="zh-CN"/>
              </w:rPr>
              <w:t>2024年12月31日起</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4" w:type="dxa"/>
            <w:vAlign w:val="center"/>
          </w:tcPr>
          <w:p>
            <w:pPr>
              <w:jc w:val="center"/>
            </w:pPr>
            <w:r>
              <w:rPr>
                <w:rFonts w:hint="eastAsia"/>
              </w:rPr>
              <w:t>太保人寿厦门安贷宝意外伤害保险(B款)</w:t>
            </w:r>
          </w:p>
        </w:tc>
        <w:tc>
          <w:tcPr>
            <w:tcW w:w="1134" w:type="dxa"/>
            <w:vAlign w:val="center"/>
          </w:tcPr>
          <w:p>
            <w:pPr>
              <w:jc w:val="center"/>
              <w:rPr>
                <w:rFonts w:ascii="Arial" w:hAnsi="Arial" w:cs="Arial"/>
                <w:sz w:val="20"/>
                <w:szCs w:val="20"/>
              </w:rPr>
            </w:pPr>
            <w:r>
              <w:rPr>
                <w:rFonts w:ascii="Arial" w:hAnsi="Arial" w:cs="Arial"/>
                <w:sz w:val="20"/>
                <w:szCs w:val="20"/>
              </w:rPr>
              <w:t>EL5612</w:t>
            </w:r>
          </w:p>
        </w:tc>
        <w:tc>
          <w:tcPr>
            <w:tcW w:w="1197" w:type="dxa"/>
            <w:vAlign w:val="center"/>
          </w:tcPr>
          <w:p>
            <w:pPr>
              <w:jc w:val="center"/>
            </w:pPr>
            <w:r>
              <w:rPr>
                <w:rFonts w:hint="eastAsia"/>
              </w:rPr>
              <w:t>意外险</w:t>
            </w:r>
          </w:p>
        </w:tc>
        <w:tc>
          <w:tcPr>
            <w:tcW w:w="2064" w:type="dxa"/>
            <w:vAlign w:val="center"/>
          </w:tcPr>
          <w:p>
            <w:pPr>
              <w:jc w:val="center"/>
            </w:pPr>
            <w:r>
              <w:rPr>
                <w:rFonts w:hint="eastAsia"/>
              </w:rPr>
              <w:t>中国太平洋人寿保险有限公司</w:t>
            </w:r>
          </w:p>
        </w:tc>
        <w:tc>
          <w:tcPr>
            <w:tcW w:w="1187" w:type="dxa"/>
            <w:vAlign w:val="center"/>
          </w:tcPr>
          <w:p>
            <w:pPr>
              <w:jc w:val="center"/>
            </w:pPr>
            <w:r>
              <w:rPr>
                <w:rFonts w:hint="eastAsia"/>
              </w:rPr>
              <w:t>R1</w:t>
            </w:r>
          </w:p>
        </w:tc>
        <w:tc>
          <w:tcPr>
            <w:tcW w:w="2181" w:type="dxa"/>
            <w:vAlign w:val="center"/>
          </w:tcPr>
          <w:p>
            <w:pPr>
              <w:jc w:val="center"/>
            </w:pPr>
            <w:r>
              <w:rPr>
                <w:rFonts w:hint="eastAsia"/>
              </w:rPr>
              <w:t>18至65周岁</w:t>
            </w:r>
          </w:p>
        </w:tc>
        <w:tc>
          <w:tcPr>
            <w:tcW w:w="1560" w:type="dxa"/>
            <w:vAlign w:val="center"/>
          </w:tcPr>
          <w:p>
            <w:pPr>
              <w:jc w:val="center"/>
            </w:pPr>
            <w:r>
              <w:rPr>
                <w:rFonts w:hint="eastAsia"/>
              </w:rPr>
              <w:t>以保险公司核保规则为准</w:t>
            </w:r>
          </w:p>
        </w:tc>
        <w:tc>
          <w:tcPr>
            <w:tcW w:w="1275" w:type="dxa"/>
            <w:vAlign w:val="center"/>
          </w:tcPr>
          <w:p>
            <w:pPr>
              <w:jc w:val="center"/>
            </w:pPr>
            <w:r>
              <w:rPr>
                <w:rFonts w:hint="eastAsia"/>
              </w:rPr>
              <w:t>一次性缴</w:t>
            </w:r>
          </w:p>
        </w:tc>
        <w:tc>
          <w:tcPr>
            <w:tcW w:w="1418" w:type="dxa"/>
            <w:vAlign w:val="center"/>
          </w:tcPr>
          <w:p>
            <w:pPr>
              <w:jc w:val="center"/>
              <w:rPr>
                <w:rFonts w:hint="default" w:eastAsia="宋体"/>
                <w:lang w:val="en-US" w:eastAsia="zh-CN"/>
              </w:rPr>
            </w:pPr>
            <w:r>
              <w:rPr>
                <w:rFonts w:hint="eastAsia"/>
              </w:rPr>
              <w:t>2013年</w:t>
            </w:r>
            <w:r>
              <w:rPr>
                <w:rFonts w:hint="eastAsia"/>
                <w:lang w:val="en-US" w:eastAsia="zh-CN"/>
              </w:rPr>
              <w:t>1月至2023年8月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4" w:type="dxa"/>
            <w:vAlign w:val="center"/>
          </w:tcPr>
          <w:p>
            <w:pPr>
              <w:jc w:val="center"/>
            </w:pPr>
            <w:r>
              <w:rPr>
                <w:rFonts w:hint="eastAsia"/>
              </w:rPr>
              <w:t>国寿安心贷借款人意外伤害保险（2014版）</w:t>
            </w:r>
          </w:p>
        </w:tc>
        <w:tc>
          <w:tcPr>
            <w:tcW w:w="1134" w:type="dxa"/>
            <w:vAlign w:val="center"/>
          </w:tcPr>
          <w:p>
            <w:pPr>
              <w:jc w:val="center"/>
            </w:pPr>
            <w:r>
              <w:rPr>
                <w:rFonts w:hint="eastAsia"/>
              </w:rPr>
              <w:t>904</w:t>
            </w:r>
          </w:p>
        </w:tc>
        <w:tc>
          <w:tcPr>
            <w:tcW w:w="1197" w:type="dxa"/>
            <w:vAlign w:val="center"/>
          </w:tcPr>
          <w:p>
            <w:pPr>
              <w:jc w:val="center"/>
            </w:pPr>
            <w:r>
              <w:rPr>
                <w:rFonts w:hint="eastAsia"/>
              </w:rPr>
              <w:t>意外险</w:t>
            </w:r>
          </w:p>
        </w:tc>
        <w:tc>
          <w:tcPr>
            <w:tcW w:w="2064" w:type="dxa"/>
            <w:vAlign w:val="center"/>
          </w:tcPr>
          <w:p>
            <w:pPr>
              <w:jc w:val="center"/>
            </w:pPr>
            <w:r>
              <w:rPr>
                <w:rFonts w:hint="eastAsia"/>
              </w:rPr>
              <w:t>中国人寿保险股份有限公司</w:t>
            </w:r>
          </w:p>
        </w:tc>
        <w:tc>
          <w:tcPr>
            <w:tcW w:w="1187" w:type="dxa"/>
            <w:vAlign w:val="center"/>
          </w:tcPr>
          <w:p>
            <w:pPr>
              <w:jc w:val="center"/>
            </w:pPr>
            <w:r>
              <w:rPr>
                <w:rFonts w:hint="eastAsia"/>
              </w:rPr>
              <w:t>R1</w:t>
            </w:r>
          </w:p>
        </w:tc>
        <w:tc>
          <w:tcPr>
            <w:tcW w:w="2181" w:type="dxa"/>
            <w:vAlign w:val="center"/>
          </w:tcPr>
          <w:p>
            <w:pPr>
              <w:jc w:val="center"/>
            </w:pPr>
            <w:r>
              <w:rPr>
                <w:rFonts w:hint="eastAsia"/>
              </w:rPr>
              <w:t>18至65周岁</w:t>
            </w:r>
          </w:p>
        </w:tc>
        <w:tc>
          <w:tcPr>
            <w:tcW w:w="1560" w:type="dxa"/>
            <w:vAlign w:val="center"/>
          </w:tcPr>
          <w:p>
            <w:pPr>
              <w:jc w:val="center"/>
            </w:pPr>
            <w:r>
              <w:rPr>
                <w:rFonts w:hint="eastAsia"/>
              </w:rPr>
              <w:t>以保险公司核保规则为准</w:t>
            </w:r>
          </w:p>
        </w:tc>
        <w:tc>
          <w:tcPr>
            <w:tcW w:w="1275" w:type="dxa"/>
            <w:vAlign w:val="center"/>
          </w:tcPr>
          <w:p>
            <w:pPr>
              <w:jc w:val="center"/>
            </w:pPr>
            <w:r>
              <w:rPr>
                <w:rFonts w:hint="eastAsia"/>
              </w:rPr>
              <w:t>一次性缴</w:t>
            </w:r>
          </w:p>
        </w:tc>
        <w:tc>
          <w:tcPr>
            <w:tcW w:w="1418" w:type="dxa"/>
            <w:vAlign w:val="center"/>
          </w:tcPr>
          <w:p>
            <w:pPr>
              <w:jc w:val="center"/>
              <w:rPr>
                <w:rFonts w:hint="default" w:eastAsia="宋体"/>
                <w:lang w:val="en-US" w:eastAsia="zh-CN"/>
              </w:rPr>
            </w:pPr>
            <w:r>
              <w:rPr>
                <w:rFonts w:hint="eastAsia"/>
              </w:rPr>
              <w:t>2013年</w:t>
            </w:r>
            <w:r>
              <w:rPr>
                <w:rFonts w:hint="eastAsia"/>
                <w:lang w:val="en-US" w:eastAsia="zh-CN"/>
              </w:rPr>
              <w:t>1月至2021年7月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4" w:type="dxa"/>
            <w:vAlign w:val="center"/>
          </w:tcPr>
          <w:p>
            <w:pPr>
              <w:jc w:val="center"/>
            </w:pPr>
            <w:r>
              <w:rPr>
                <w:rFonts w:hint="eastAsia"/>
              </w:rPr>
              <w:t>人保寿险厦门贷款借款人意外伤害保险</w:t>
            </w:r>
          </w:p>
        </w:tc>
        <w:tc>
          <w:tcPr>
            <w:tcW w:w="1134" w:type="dxa"/>
            <w:vAlign w:val="center"/>
          </w:tcPr>
          <w:p>
            <w:pPr>
              <w:jc w:val="center"/>
            </w:pPr>
            <w:r>
              <w:rPr>
                <w:rFonts w:hint="eastAsia"/>
              </w:rPr>
              <w:t>63443</w:t>
            </w:r>
          </w:p>
        </w:tc>
        <w:tc>
          <w:tcPr>
            <w:tcW w:w="1197" w:type="dxa"/>
            <w:vAlign w:val="center"/>
          </w:tcPr>
          <w:p>
            <w:pPr>
              <w:jc w:val="center"/>
            </w:pPr>
            <w:r>
              <w:rPr>
                <w:rFonts w:hint="eastAsia"/>
              </w:rPr>
              <w:t>意外险</w:t>
            </w:r>
          </w:p>
        </w:tc>
        <w:tc>
          <w:tcPr>
            <w:tcW w:w="2064" w:type="dxa"/>
            <w:vAlign w:val="center"/>
          </w:tcPr>
          <w:p>
            <w:pPr>
              <w:jc w:val="center"/>
            </w:pPr>
            <w:r>
              <w:rPr>
                <w:rFonts w:hint="eastAsia"/>
              </w:rPr>
              <w:t>中国人民人寿保险股份有限公司</w:t>
            </w:r>
          </w:p>
        </w:tc>
        <w:tc>
          <w:tcPr>
            <w:tcW w:w="1187" w:type="dxa"/>
            <w:vAlign w:val="center"/>
          </w:tcPr>
          <w:p>
            <w:pPr>
              <w:jc w:val="center"/>
            </w:pPr>
            <w:r>
              <w:rPr>
                <w:rFonts w:hint="eastAsia"/>
              </w:rPr>
              <w:t>R1</w:t>
            </w:r>
          </w:p>
        </w:tc>
        <w:tc>
          <w:tcPr>
            <w:tcW w:w="2181" w:type="dxa"/>
            <w:vAlign w:val="center"/>
          </w:tcPr>
          <w:p>
            <w:pPr>
              <w:jc w:val="center"/>
            </w:pPr>
            <w:r>
              <w:rPr>
                <w:rFonts w:hint="eastAsia"/>
              </w:rPr>
              <w:t>18至65周岁</w:t>
            </w:r>
          </w:p>
        </w:tc>
        <w:tc>
          <w:tcPr>
            <w:tcW w:w="1560" w:type="dxa"/>
            <w:vAlign w:val="center"/>
          </w:tcPr>
          <w:p>
            <w:pPr>
              <w:jc w:val="center"/>
            </w:pPr>
            <w:r>
              <w:rPr>
                <w:rFonts w:hint="eastAsia"/>
              </w:rPr>
              <w:t>以保险公司核保规则为准</w:t>
            </w:r>
          </w:p>
        </w:tc>
        <w:tc>
          <w:tcPr>
            <w:tcW w:w="1275" w:type="dxa"/>
            <w:vAlign w:val="center"/>
          </w:tcPr>
          <w:p>
            <w:pPr>
              <w:jc w:val="center"/>
            </w:pPr>
            <w:r>
              <w:rPr>
                <w:rFonts w:hint="eastAsia"/>
              </w:rPr>
              <w:t>一次性缴</w:t>
            </w:r>
          </w:p>
        </w:tc>
        <w:tc>
          <w:tcPr>
            <w:tcW w:w="1418" w:type="dxa"/>
            <w:vAlign w:val="center"/>
          </w:tcPr>
          <w:p>
            <w:pPr>
              <w:jc w:val="center"/>
              <w:rPr>
                <w:rFonts w:hint="default" w:eastAsia="宋体"/>
                <w:lang w:val="en-US" w:eastAsia="zh-CN"/>
              </w:rPr>
            </w:pPr>
            <w:r>
              <w:rPr>
                <w:rFonts w:hint="eastAsia"/>
              </w:rPr>
              <w:t>2013年</w:t>
            </w:r>
            <w:r>
              <w:rPr>
                <w:rFonts w:hint="eastAsia"/>
                <w:lang w:val="en-US" w:eastAsia="zh-CN"/>
              </w:rPr>
              <w:t>1月至2019年12月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4" w:type="dxa"/>
            <w:vAlign w:val="center"/>
          </w:tcPr>
          <w:p>
            <w:pPr>
              <w:jc w:val="center"/>
              <w:rPr>
                <w:rFonts w:hint="eastAsia"/>
              </w:rPr>
            </w:pPr>
            <w:r>
              <w:rPr>
                <w:rFonts w:hint="eastAsia"/>
              </w:rPr>
              <w:t>人保寿险无忧人生重大疾病保险</w:t>
            </w:r>
          </w:p>
        </w:tc>
        <w:tc>
          <w:tcPr>
            <w:tcW w:w="1134" w:type="dxa"/>
            <w:vAlign w:val="center"/>
          </w:tcPr>
          <w:p>
            <w:pPr>
              <w:jc w:val="center"/>
              <w:rPr>
                <w:rFonts w:hint="eastAsia"/>
                <w:lang w:val="en-US" w:eastAsia="zh-CN"/>
              </w:rPr>
            </w:pPr>
            <w:r>
              <w:rPr>
                <w:rFonts w:hint="eastAsia"/>
                <w:lang w:val="en-US" w:eastAsia="zh-CN"/>
              </w:rPr>
              <w:t>6112205</w:t>
            </w:r>
          </w:p>
        </w:tc>
        <w:tc>
          <w:tcPr>
            <w:tcW w:w="1197" w:type="dxa"/>
            <w:vAlign w:val="center"/>
          </w:tcPr>
          <w:p>
            <w:pPr>
              <w:jc w:val="center"/>
              <w:rPr>
                <w:rFonts w:hint="eastAsia"/>
              </w:rPr>
            </w:pPr>
            <w:r>
              <w:rPr>
                <w:rFonts w:hint="eastAsia"/>
              </w:rPr>
              <w:t>健康险</w:t>
            </w:r>
          </w:p>
        </w:tc>
        <w:tc>
          <w:tcPr>
            <w:tcW w:w="2064" w:type="dxa"/>
            <w:vAlign w:val="center"/>
          </w:tcPr>
          <w:p>
            <w:pPr>
              <w:jc w:val="center"/>
            </w:pPr>
            <w:r>
              <w:rPr>
                <w:rFonts w:hint="eastAsia"/>
              </w:rPr>
              <w:t>中国人民人寿保险股份有限公司</w:t>
            </w:r>
          </w:p>
        </w:tc>
        <w:tc>
          <w:tcPr>
            <w:tcW w:w="1187" w:type="dxa"/>
            <w:vAlign w:val="center"/>
          </w:tcPr>
          <w:p>
            <w:pPr>
              <w:jc w:val="center"/>
            </w:pPr>
            <w:r>
              <w:rPr>
                <w:rFonts w:hint="eastAsia"/>
              </w:rPr>
              <w:t>R1</w:t>
            </w:r>
          </w:p>
        </w:tc>
        <w:tc>
          <w:tcPr>
            <w:tcW w:w="2181" w:type="dxa"/>
            <w:vAlign w:val="center"/>
          </w:tcPr>
          <w:p>
            <w:pPr>
              <w:jc w:val="center"/>
            </w:pPr>
            <w:r>
              <w:rPr>
                <w:rFonts w:hint="eastAsia"/>
                <w:szCs w:val="21"/>
              </w:rPr>
              <w:t>凡具有完全民事行为能力且对被保险人具有保险利益的人</w:t>
            </w:r>
          </w:p>
        </w:tc>
        <w:tc>
          <w:tcPr>
            <w:tcW w:w="1560" w:type="dxa"/>
            <w:vAlign w:val="center"/>
          </w:tcPr>
          <w:p>
            <w:pPr>
              <w:jc w:val="center"/>
            </w:pPr>
            <w:r>
              <w:rPr>
                <w:rFonts w:hint="eastAsia"/>
              </w:rPr>
              <w:t>以保险公司核保规则为准</w:t>
            </w:r>
          </w:p>
        </w:tc>
        <w:tc>
          <w:tcPr>
            <w:tcW w:w="1275" w:type="dxa"/>
            <w:vAlign w:val="center"/>
          </w:tcPr>
          <w:p>
            <w:pPr>
              <w:jc w:val="center"/>
            </w:pPr>
            <w:r>
              <w:rPr>
                <w:rFonts w:hint="eastAsia"/>
                <w:lang w:val="en-US" w:eastAsia="zh-CN"/>
              </w:rPr>
              <w:t>趸交、期交</w:t>
            </w:r>
          </w:p>
        </w:tc>
        <w:tc>
          <w:tcPr>
            <w:tcW w:w="1418" w:type="dxa"/>
            <w:vAlign w:val="center"/>
          </w:tcPr>
          <w:p>
            <w:pPr>
              <w:jc w:val="center"/>
              <w:rPr>
                <w:rFonts w:hint="default" w:eastAsia="宋体"/>
                <w:lang w:val="en-US" w:eastAsia="zh-CN"/>
              </w:rPr>
            </w:pPr>
            <w:r>
              <w:rPr>
                <w:rFonts w:hint="eastAsia"/>
              </w:rPr>
              <w:t>201</w:t>
            </w:r>
            <w:r>
              <w:rPr>
                <w:rFonts w:hint="eastAsia"/>
                <w:lang w:val="en-US" w:eastAsia="zh-CN"/>
              </w:rPr>
              <w:t>9</w:t>
            </w:r>
            <w:r>
              <w:rPr>
                <w:rFonts w:hint="eastAsia"/>
              </w:rPr>
              <w:t>年</w:t>
            </w:r>
            <w:r>
              <w:rPr>
                <w:rFonts w:hint="eastAsia"/>
                <w:lang w:val="en-US" w:eastAsia="zh-CN"/>
              </w:rPr>
              <w:t>6月至2019年12月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4" w:type="dxa"/>
            <w:vAlign w:val="center"/>
          </w:tcPr>
          <w:p>
            <w:pPr>
              <w:jc w:val="center"/>
              <w:rPr>
                <w:rFonts w:hint="eastAsia"/>
              </w:rPr>
            </w:pPr>
            <w:r>
              <w:rPr>
                <w:rFonts w:hint="eastAsia"/>
              </w:rPr>
              <w:t>中国人民财产保险股份有限公司财产综合险</w:t>
            </w:r>
          </w:p>
        </w:tc>
        <w:tc>
          <w:tcPr>
            <w:tcW w:w="1134" w:type="dxa"/>
            <w:vAlign w:val="center"/>
          </w:tcPr>
          <w:p>
            <w:pPr>
              <w:jc w:val="center"/>
              <w:rPr>
                <w:rFonts w:hint="eastAsia"/>
              </w:rPr>
            </w:pPr>
            <w:r>
              <w:rPr>
                <w:rFonts w:hint="eastAsia"/>
              </w:rPr>
              <w:t>QYCX</w:t>
            </w:r>
          </w:p>
        </w:tc>
        <w:tc>
          <w:tcPr>
            <w:tcW w:w="1197" w:type="dxa"/>
            <w:vAlign w:val="center"/>
          </w:tcPr>
          <w:p>
            <w:pPr>
              <w:jc w:val="center"/>
              <w:rPr>
                <w:rFonts w:hint="eastAsia"/>
              </w:rPr>
            </w:pPr>
            <w:r>
              <w:rPr>
                <w:rFonts w:hint="eastAsia"/>
              </w:rPr>
              <w:t>财产险</w:t>
            </w:r>
          </w:p>
        </w:tc>
        <w:tc>
          <w:tcPr>
            <w:tcW w:w="2064" w:type="dxa"/>
            <w:vAlign w:val="center"/>
          </w:tcPr>
          <w:p>
            <w:pPr>
              <w:jc w:val="center"/>
            </w:pPr>
            <w:r>
              <w:rPr>
                <w:rFonts w:hint="eastAsia"/>
              </w:rPr>
              <w:t>中国</w:t>
            </w:r>
            <w:r>
              <w:rPr>
                <w:rFonts w:hint="eastAsia"/>
                <w:lang w:val="en-US" w:eastAsia="zh-CN"/>
              </w:rPr>
              <w:t>人民</w:t>
            </w:r>
            <w:r>
              <w:rPr>
                <w:rFonts w:hint="eastAsia"/>
              </w:rPr>
              <w:t>财产保险股份有限公司</w:t>
            </w:r>
          </w:p>
        </w:tc>
        <w:tc>
          <w:tcPr>
            <w:tcW w:w="1187" w:type="dxa"/>
            <w:vAlign w:val="center"/>
          </w:tcPr>
          <w:p>
            <w:pPr>
              <w:jc w:val="center"/>
            </w:pPr>
            <w:r>
              <w:rPr>
                <w:rFonts w:hint="eastAsia"/>
              </w:rPr>
              <w:t>R1</w:t>
            </w:r>
          </w:p>
        </w:tc>
        <w:tc>
          <w:tcPr>
            <w:tcW w:w="2181" w:type="dxa"/>
            <w:vAlign w:val="center"/>
          </w:tcPr>
          <w:p>
            <w:pPr>
              <w:jc w:val="center"/>
            </w:pPr>
            <w:r>
              <w:rPr>
                <w:rFonts w:hint="eastAsia"/>
              </w:rPr>
              <w:t>企业、个人</w:t>
            </w:r>
          </w:p>
        </w:tc>
        <w:tc>
          <w:tcPr>
            <w:tcW w:w="1560" w:type="dxa"/>
            <w:vAlign w:val="center"/>
          </w:tcPr>
          <w:p>
            <w:pPr>
              <w:jc w:val="center"/>
            </w:pPr>
            <w:r>
              <w:rPr>
                <w:rFonts w:hint="eastAsia"/>
              </w:rPr>
              <w:t>以保险公司核保规则为准</w:t>
            </w:r>
          </w:p>
        </w:tc>
        <w:tc>
          <w:tcPr>
            <w:tcW w:w="1275" w:type="dxa"/>
            <w:vAlign w:val="center"/>
          </w:tcPr>
          <w:p>
            <w:pPr>
              <w:jc w:val="center"/>
            </w:pPr>
            <w:r>
              <w:rPr>
                <w:rFonts w:hint="eastAsia"/>
              </w:rPr>
              <w:t>一次性缴</w:t>
            </w:r>
          </w:p>
        </w:tc>
        <w:tc>
          <w:tcPr>
            <w:tcW w:w="1418" w:type="dxa"/>
            <w:vAlign w:val="center"/>
          </w:tcPr>
          <w:p>
            <w:pPr>
              <w:jc w:val="center"/>
              <w:rPr>
                <w:rFonts w:hint="default" w:eastAsia="宋体"/>
                <w:lang w:val="en-US" w:eastAsia="zh-CN"/>
              </w:rPr>
            </w:pPr>
            <w:r>
              <w:rPr>
                <w:rFonts w:hint="eastAsia"/>
              </w:rPr>
              <w:t>2013年</w:t>
            </w:r>
            <w:r>
              <w:rPr>
                <w:rFonts w:hint="eastAsia"/>
                <w:lang w:val="en-US" w:eastAsia="zh-CN"/>
              </w:rPr>
              <w:t>1月</w:t>
            </w:r>
            <w:r>
              <w:rPr>
                <w:rFonts w:hint="eastAsia"/>
              </w:rPr>
              <w:t>至</w:t>
            </w:r>
            <w:r>
              <w:rPr>
                <w:rFonts w:hint="eastAsia"/>
                <w:lang w:val="en-US" w:eastAsia="zh-CN"/>
              </w:rPr>
              <w:t>2017年12月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4" w:type="dxa"/>
            <w:vAlign w:val="center"/>
          </w:tcPr>
          <w:p>
            <w:pPr>
              <w:jc w:val="center"/>
              <w:rPr>
                <w:rFonts w:hint="default"/>
                <w:lang w:val="en-US" w:eastAsia="zh-CN"/>
              </w:rPr>
            </w:pPr>
            <w:r>
              <w:rPr>
                <w:rFonts w:hint="eastAsia"/>
              </w:rPr>
              <w:t>中国太平洋财产保险</w:t>
            </w:r>
            <w:r>
              <w:rPr>
                <w:rFonts w:hint="eastAsia"/>
                <w:lang w:val="en-US" w:eastAsia="zh-CN"/>
              </w:rPr>
              <w:t>财产综合险</w:t>
            </w:r>
          </w:p>
        </w:tc>
        <w:tc>
          <w:tcPr>
            <w:tcW w:w="1134" w:type="dxa"/>
            <w:vAlign w:val="center"/>
          </w:tcPr>
          <w:p>
            <w:pPr>
              <w:jc w:val="center"/>
              <w:rPr>
                <w:rFonts w:hint="eastAsia"/>
                <w:lang w:val="en-US" w:eastAsia="zh-CN"/>
              </w:rPr>
            </w:pPr>
            <w:r>
              <w:rPr>
                <w:rFonts w:hint="eastAsia"/>
                <w:lang w:val="en-US" w:eastAsia="zh-CN"/>
              </w:rPr>
              <w:t>11010200</w:t>
            </w:r>
          </w:p>
        </w:tc>
        <w:tc>
          <w:tcPr>
            <w:tcW w:w="1197" w:type="dxa"/>
            <w:vAlign w:val="center"/>
          </w:tcPr>
          <w:p>
            <w:pPr>
              <w:jc w:val="center"/>
              <w:rPr>
                <w:rFonts w:hint="eastAsia"/>
              </w:rPr>
            </w:pPr>
            <w:r>
              <w:rPr>
                <w:rFonts w:hint="eastAsia"/>
              </w:rPr>
              <w:t>财产险</w:t>
            </w:r>
          </w:p>
        </w:tc>
        <w:tc>
          <w:tcPr>
            <w:tcW w:w="2064" w:type="dxa"/>
            <w:vAlign w:val="center"/>
          </w:tcPr>
          <w:p>
            <w:pPr>
              <w:jc w:val="center"/>
              <w:rPr>
                <w:rFonts w:hint="eastAsia"/>
              </w:rPr>
            </w:pPr>
            <w:r>
              <w:rPr>
                <w:rFonts w:hint="eastAsia"/>
              </w:rPr>
              <w:t>中国太平洋财产保险股份有限公司</w:t>
            </w:r>
          </w:p>
        </w:tc>
        <w:tc>
          <w:tcPr>
            <w:tcW w:w="1187" w:type="dxa"/>
            <w:vAlign w:val="center"/>
          </w:tcPr>
          <w:p>
            <w:pPr>
              <w:jc w:val="center"/>
              <w:rPr>
                <w:rFonts w:hint="eastAsia"/>
              </w:rPr>
            </w:pPr>
            <w:r>
              <w:rPr>
                <w:rFonts w:hint="eastAsia"/>
              </w:rPr>
              <w:t>R1</w:t>
            </w:r>
          </w:p>
        </w:tc>
        <w:tc>
          <w:tcPr>
            <w:tcW w:w="2181" w:type="dxa"/>
            <w:vAlign w:val="center"/>
          </w:tcPr>
          <w:p>
            <w:pPr>
              <w:jc w:val="center"/>
              <w:rPr>
                <w:rFonts w:hint="eastAsia"/>
              </w:rPr>
            </w:pPr>
            <w:r>
              <w:rPr>
                <w:rFonts w:hint="eastAsia"/>
              </w:rPr>
              <w:t>企业、个人</w:t>
            </w:r>
          </w:p>
        </w:tc>
        <w:tc>
          <w:tcPr>
            <w:tcW w:w="1560" w:type="dxa"/>
            <w:vAlign w:val="center"/>
          </w:tcPr>
          <w:p>
            <w:pPr>
              <w:jc w:val="center"/>
              <w:rPr>
                <w:rFonts w:hint="eastAsia"/>
              </w:rPr>
            </w:pPr>
            <w:r>
              <w:rPr>
                <w:rFonts w:hint="eastAsia"/>
              </w:rPr>
              <w:t>以保险公司核保规则为准</w:t>
            </w:r>
          </w:p>
        </w:tc>
        <w:tc>
          <w:tcPr>
            <w:tcW w:w="1275" w:type="dxa"/>
            <w:vAlign w:val="center"/>
          </w:tcPr>
          <w:p>
            <w:pPr>
              <w:jc w:val="center"/>
              <w:rPr>
                <w:rFonts w:hint="eastAsia"/>
              </w:rPr>
            </w:pPr>
            <w:r>
              <w:rPr>
                <w:rFonts w:hint="eastAsia"/>
              </w:rPr>
              <w:t>一次性缴</w:t>
            </w:r>
          </w:p>
        </w:tc>
        <w:tc>
          <w:tcPr>
            <w:tcW w:w="1418" w:type="dxa"/>
            <w:vAlign w:val="center"/>
          </w:tcPr>
          <w:p>
            <w:pPr>
              <w:jc w:val="center"/>
              <w:rPr>
                <w:rFonts w:hint="default"/>
                <w:lang w:val="en-US"/>
              </w:rPr>
            </w:pPr>
            <w:r>
              <w:rPr>
                <w:rFonts w:hint="eastAsia"/>
              </w:rPr>
              <w:t>2013年</w:t>
            </w:r>
            <w:r>
              <w:rPr>
                <w:rFonts w:hint="eastAsia"/>
                <w:lang w:val="en-US" w:eastAsia="zh-CN"/>
              </w:rPr>
              <w:t>1月至今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4" w:type="dxa"/>
            <w:vAlign w:val="center"/>
          </w:tcPr>
          <w:p>
            <w:pPr>
              <w:jc w:val="center"/>
              <w:rPr>
                <w:rFonts w:hint="eastAsia"/>
              </w:rPr>
            </w:pPr>
            <w:r>
              <w:rPr>
                <w:rFonts w:hint="eastAsia"/>
              </w:rPr>
              <w:t>中国太平洋财产保险借款人意险2013版B款</w:t>
            </w:r>
          </w:p>
        </w:tc>
        <w:tc>
          <w:tcPr>
            <w:tcW w:w="1134" w:type="dxa"/>
            <w:vAlign w:val="center"/>
          </w:tcPr>
          <w:p>
            <w:pPr>
              <w:jc w:val="center"/>
              <w:rPr>
                <w:rFonts w:hint="eastAsia"/>
              </w:rPr>
            </w:pPr>
            <w:r>
              <w:rPr>
                <w:rFonts w:hint="eastAsia"/>
              </w:rPr>
              <w:t>23D69800</w:t>
            </w:r>
          </w:p>
        </w:tc>
        <w:tc>
          <w:tcPr>
            <w:tcW w:w="1197" w:type="dxa"/>
            <w:vAlign w:val="center"/>
          </w:tcPr>
          <w:p>
            <w:pPr>
              <w:jc w:val="center"/>
              <w:rPr>
                <w:rFonts w:hint="eastAsia"/>
              </w:rPr>
            </w:pPr>
            <w:r>
              <w:rPr>
                <w:rFonts w:hint="eastAsia"/>
              </w:rPr>
              <w:t>意外险</w:t>
            </w:r>
          </w:p>
        </w:tc>
        <w:tc>
          <w:tcPr>
            <w:tcW w:w="2064" w:type="dxa"/>
            <w:vAlign w:val="center"/>
          </w:tcPr>
          <w:p>
            <w:pPr>
              <w:jc w:val="center"/>
              <w:rPr>
                <w:rFonts w:hint="eastAsia"/>
              </w:rPr>
            </w:pPr>
            <w:r>
              <w:rPr>
                <w:rFonts w:hint="eastAsia"/>
              </w:rPr>
              <w:t>中国太平洋财产保险股份有限公司</w:t>
            </w:r>
          </w:p>
        </w:tc>
        <w:tc>
          <w:tcPr>
            <w:tcW w:w="1187" w:type="dxa"/>
            <w:vAlign w:val="center"/>
          </w:tcPr>
          <w:p>
            <w:pPr>
              <w:jc w:val="center"/>
              <w:rPr>
                <w:rFonts w:hint="eastAsia"/>
              </w:rPr>
            </w:pPr>
            <w:r>
              <w:rPr>
                <w:rFonts w:hint="eastAsia"/>
              </w:rPr>
              <w:t>R1</w:t>
            </w:r>
          </w:p>
        </w:tc>
        <w:tc>
          <w:tcPr>
            <w:tcW w:w="2181" w:type="dxa"/>
            <w:vAlign w:val="center"/>
          </w:tcPr>
          <w:p>
            <w:pPr>
              <w:jc w:val="center"/>
              <w:rPr>
                <w:rFonts w:hint="eastAsia"/>
              </w:rPr>
            </w:pPr>
            <w:r>
              <w:rPr>
                <w:rFonts w:hint="eastAsia"/>
              </w:rPr>
              <w:t>18至65周岁</w:t>
            </w:r>
          </w:p>
        </w:tc>
        <w:tc>
          <w:tcPr>
            <w:tcW w:w="1560" w:type="dxa"/>
            <w:vAlign w:val="center"/>
          </w:tcPr>
          <w:p>
            <w:pPr>
              <w:jc w:val="center"/>
              <w:rPr>
                <w:rFonts w:hint="eastAsia"/>
              </w:rPr>
            </w:pPr>
            <w:r>
              <w:rPr>
                <w:rFonts w:hint="eastAsia"/>
              </w:rPr>
              <w:t>以保险公司核保规则为准</w:t>
            </w:r>
          </w:p>
        </w:tc>
        <w:tc>
          <w:tcPr>
            <w:tcW w:w="1275" w:type="dxa"/>
            <w:vAlign w:val="center"/>
          </w:tcPr>
          <w:p>
            <w:pPr>
              <w:jc w:val="center"/>
              <w:rPr>
                <w:rFonts w:hint="eastAsia"/>
              </w:rPr>
            </w:pPr>
            <w:r>
              <w:rPr>
                <w:rFonts w:hint="eastAsia"/>
              </w:rPr>
              <w:t>一次性缴</w:t>
            </w:r>
          </w:p>
        </w:tc>
        <w:tc>
          <w:tcPr>
            <w:tcW w:w="1418" w:type="dxa"/>
            <w:vAlign w:val="center"/>
          </w:tcPr>
          <w:p>
            <w:pPr>
              <w:jc w:val="center"/>
              <w:rPr>
                <w:rFonts w:hint="eastAsia"/>
              </w:rPr>
            </w:pPr>
            <w:r>
              <w:rPr>
                <w:rFonts w:hint="eastAsia"/>
              </w:rPr>
              <w:t>20</w:t>
            </w:r>
            <w:r>
              <w:rPr>
                <w:rFonts w:hint="eastAsia"/>
                <w:lang w:val="en-US" w:eastAsia="zh-CN"/>
              </w:rPr>
              <w:t>17</w:t>
            </w:r>
            <w:r>
              <w:rPr>
                <w:rFonts w:hint="eastAsia"/>
              </w:rPr>
              <w:t>年</w:t>
            </w:r>
            <w:r>
              <w:rPr>
                <w:rFonts w:hint="eastAsia"/>
                <w:lang w:val="en-US" w:eastAsia="zh-CN"/>
              </w:rPr>
              <w:t>8月至2023年8月</w:t>
            </w:r>
          </w:p>
        </w:tc>
      </w:tr>
    </w:tbl>
    <w:p/>
    <w:bookmarkEnd w:id="1"/>
    <w:bookmarkEnd w:id="2"/>
    <w:bookmarkEnd w:id="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D53A3"/>
    <w:multiLevelType w:val="multilevel"/>
    <w:tmpl w:val="150D53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0C7A"/>
    <w:rsid w:val="001D5D2D"/>
    <w:rsid w:val="001F68C2"/>
    <w:rsid w:val="00292892"/>
    <w:rsid w:val="002D0FD6"/>
    <w:rsid w:val="004A1C29"/>
    <w:rsid w:val="004B0952"/>
    <w:rsid w:val="0055778C"/>
    <w:rsid w:val="005F247A"/>
    <w:rsid w:val="006472E9"/>
    <w:rsid w:val="006B6036"/>
    <w:rsid w:val="0070645F"/>
    <w:rsid w:val="0075108B"/>
    <w:rsid w:val="008269DB"/>
    <w:rsid w:val="008405A2"/>
    <w:rsid w:val="00867D9E"/>
    <w:rsid w:val="008930C4"/>
    <w:rsid w:val="00970E97"/>
    <w:rsid w:val="009872D1"/>
    <w:rsid w:val="00B8056D"/>
    <w:rsid w:val="00BD2A11"/>
    <w:rsid w:val="00C579FC"/>
    <w:rsid w:val="00C97AF0"/>
    <w:rsid w:val="00D67B58"/>
    <w:rsid w:val="00D96E8B"/>
    <w:rsid w:val="00E77D2A"/>
    <w:rsid w:val="00E8197E"/>
    <w:rsid w:val="00EC21F5"/>
    <w:rsid w:val="00F72574"/>
    <w:rsid w:val="00FC06EC"/>
    <w:rsid w:val="183A57E7"/>
    <w:rsid w:val="31A14228"/>
    <w:rsid w:val="4D0132ED"/>
    <w:rsid w:val="4FC77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Default"/>
    <w:unhideWhenUsed/>
    <w:uiPriority w:val="99"/>
    <w:pPr>
      <w:widowControl w:val="0"/>
      <w:autoSpaceDE w:val="0"/>
      <w:autoSpaceDN w:val="0"/>
      <w:adjustRightInd w:val="0"/>
      <w:spacing w:beforeLines="0" w:afterLines="0"/>
    </w:pPr>
    <w:rPr>
      <w:rFonts w:hint="default" w:ascii="楷体" w:hAnsi="楷体" w:eastAsia="楷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xmrcb</Company>
  <Pages>1</Pages>
  <Words>150</Words>
  <Characters>857</Characters>
  <Lines>7</Lines>
  <Paragraphs>2</Paragraphs>
  <TotalTime>3</TotalTime>
  <ScaleCrop>false</ScaleCrop>
  <LinksUpToDate>false</LinksUpToDate>
  <CharactersWithSpaces>1005</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2019-04-24T02:16:00Z</dcterms:created>
  <dc:creator>陈韡莹</dc:creator>
  <cp:lastModifiedBy>陈莹</cp:lastModifiedBy>
  <dcterms:modified xsi:type="dcterms:W3CDTF">2025-01-10T10:03:15Z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3A128DF39776494CA34BDF76CBE7FE00_12</vt:lpwstr>
  </property>
</Properties>
</file>