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泰宁县农村信用合作联社</w:t>
      </w:r>
      <w:r>
        <w:rPr>
          <w:rFonts w:hint="eastAsia" w:ascii="方正小标宋简体" w:hAnsi="方正小标宋简体" w:eastAsia="方正小标宋简体" w:cs="方正小标宋简体"/>
          <w:b w:val="0"/>
          <w:bCs w:val="0"/>
          <w:color w:val="auto"/>
          <w:sz w:val="44"/>
          <w:szCs w:val="44"/>
          <w:lang w:eastAsia="zh-CN"/>
        </w:rPr>
        <w:t>2024年度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环境信息披露报告</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一、关于本报告</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kern w:val="2"/>
          <w:sz w:val="32"/>
          <w:szCs w:val="32"/>
          <w:lang w:val="en-US" w:eastAsia="zh-CN" w:bidi="ar-SA"/>
          <w14:ligatures w14:val="standardContextual"/>
        </w:rPr>
      </w:pPr>
      <w:r>
        <w:rPr>
          <w:rFonts w:hint="eastAsia" w:ascii="仿宋_GB2312" w:hAnsi="仿宋_GB2312" w:eastAsia="仿宋_GB2312" w:cs="仿宋_GB2312"/>
          <w:kern w:val="2"/>
          <w:sz w:val="32"/>
          <w:szCs w:val="32"/>
          <w:lang w:val="en-US" w:eastAsia="zh-CN" w:bidi="ar-SA"/>
          <w14:ligatures w14:val="standardContextual"/>
        </w:rPr>
        <w:t>《泰宁县农村信用合作联社2024年度环境信息披露报告》（以下简称“本报告”），旨在披露泰宁县农村信用合作联社在环境保护、绿色金融及绿色运营等环境方面的相关信息。除特别说明外，本报告中“本社”指代泰宁县农村信用合作联社。</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（一）涵盖期间</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本报告涵盖期限为2024年1月1日至2024年12月31日。</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（二）报告周期</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本报告为年度报告。</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（三）报告范围</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本报告披露范围包含泰宁县农村信用合作联社及所辖分支机构。</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（四）报告数据说明</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报告中财务数据以2024年度为主，主要来自于本社内部统计数据及基于报告框架的定性与定量数据信息采集。本报告所涉及货币金额以人民币为计量单位。</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（五）编制依据</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本报告内容遵循人民银行福建省分行发布的《福建省金融机构环境信息披露工作安排》及信息披露工作安排等相关要求。</w:t>
      </w:r>
    </w:p>
    <w:p>
      <w:pPr>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二、总体概况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kern w:val="2"/>
          <w:sz w:val="32"/>
          <w:szCs w:val="32"/>
          <w:lang w:val="en-US" w:eastAsia="zh-CN" w:bidi="ar-SA"/>
          <w14:ligatures w14:val="standardContextual"/>
        </w:rPr>
        <w:t>（一）</w:t>
      </w:r>
      <w:r>
        <w:rPr>
          <w:rFonts w:hint="eastAsia" w:ascii="楷体" w:hAnsi="楷体" w:eastAsia="楷体" w:cs="楷体"/>
          <w:color w:val="auto"/>
          <w:sz w:val="32"/>
          <w:szCs w:val="32"/>
        </w:rPr>
        <w:t>年度总体概况、关键成果与绩效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14:ligatures w14:val="standardContextual"/>
        </w:rPr>
      </w:pPr>
      <w:r>
        <w:rPr>
          <w:rFonts w:hint="eastAsia" w:ascii="仿宋_GB2312" w:hAnsi="仿宋_GB2312" w:eastAsia="仿宋_GB2312" w:cs="仿宋_GB2312"/>
          <w:color w:val="auto"/>
          <w:kern w:val="2"/>
          <w:sz w:val="32"/>
          <w:szCs w:val="32"/>
          <w:lang w:val="en-US" w:eastAsia="zh-CN" w:bidi="ar-SA"/>
          <w14:ligatures w14:val="standardContextual"/>
        </w:rPr>
        <w:t>泰宁县农村信用合作联社成立于2006年11月，是由原泰宁县农村信用合作社联合社更名改制后组建的股份合作制地方性金融机构，下辖7个职能部门、1个营业部、10个信用社和3个分社，联社大楼位于泰宁县水南西街13号。</w:t>
      </w:r>
      <w:r>
        <w:rPr>
          <w:rFonts w:hint="eastAsia" w:ascii="仿宋_GB2312" w:hAnsi="仿宋_GB2312" w:eastAsia="仿宋_GB2312" w:cs="仿宋_GB2312"/>
          <w:color w:val="auto"/>
          <w:kern w:val="2"/>
          <w:sz w:val="32"/>
          <w:szCs w:val="32"/>
          <w:highlight w:val="none"/>
          <w:lang w:val="en-US" w:eastAsia="zh-CN" w:bidi="ar-SA"/>
          <w14:ligatures w14:val="standardContextual"/>
        </w:rPr>
        <w:t>至2024年末，各项存款余额39.07亿元，各项贷款余额26.15亿元，</w:t>
      </w:r>
      <w:r>
        <w:rPr>
          <w:rFonts w:hint="eastAsia" w:ascii="仿宋_GB2312" w:hAnsi="仿宋_GB2312" w:eastAsia="仿宋_GB2312" w:cs="仿宋_GB2312"/>
          <w:color w:val="auto"/>
          <w:kern w:val="2"/>
          <w:sz w:val="32"/>
          <w:szCs w:val="32"/>
          <w:lang w:val="en-US" w:eastAsia="zh-CN" w:bidi="ar-SA"/>
          <w14:ligatures w14:val="standardContextual"/>
        </w:rPr>
        <w:t>存贷款市场份额均居县域内金融机构首位，成为支持泰宁县域经济社会高质量发展的重要金融支撑。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14:ligatures w14:val="standardContextual"/>
        </w:rPr>
      </w:pPr>
      <w:r>
        <w:rPr>
          <w:rFonts w:hint="eastAsia" w:ascii="仿宋_GB2312" w:hAnsi="仿宋_GB2312" w:eastAsia="仿宋_GB2312" w:cs="仿宋_GB2312"/>
          <w:color w:val="auto"/>
          <w:kern w:val="2"/>
          <w:sz w:val="32"/>
          <w:szCs w:val="32"/>
          <w:lang w:val="en-US" w:eastAsia="zh-CN" w:bidi="ar-SA"/>
          <w14:ligatures w14:val="standardContextual"/>
        </w:rPr>
        <w:t>长期以来，泰宁县农村信用合作联社始终坚守服务三农、服务小微的战略定位，坚持“小额、流动、分散”的信贷原则，结合人缘、地缘以及商缘优势，充分发挥好“农村金融、普惠金融、绿色金融”主力军及乡村振兴主办银行作用，是县域内唯一一家乡镇网点全覆盖的金融机构。被授予“省级文明单位”、“纳税信用连续五年A级企业”“纳税突出贡献企业”等荣誉称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14:ligatures w14:val="standardContextual"/>
        </w:rPr>
      </w:pPr>
      <w:r>
        <w:rPr>
          <w:rFonts w:hint="eastAsia" w:ascii="仿宋_GB2312" w:hAnsi="仿宋_GB2312" w:eastAsia="仿宋_GB2312" w:cs="仿宋_GB2312"/>
          <w:color w:val="auto"/>
          <w:kern w:val="2"/>
          <w:sz w:val="32"/>
          <w:szCs w:val="32"/>
          <w:lang w:val="en-US" w:eastAsia="zh-CN" w:bidi="ar-SA"/>
          <w14:ligatures w14:val="standardContextual"/>
        </w:rPr>
        <w:t>本社始终将绿色金融作为核心发展理念，全面融入企业愿景、战略规划、信贷文化、政策制度、管理流程及产品服务各环节，立足三明绿色金融改革试验区建设契机，深耕县域生态优势。年度授信政策聚焦绿色文旅、低碳乡村与生态农业，创新推出“民宿贷”“福影贷”等特色产品，构建适配地方需求的绿色金融服务体系，</w:t>
      </w:r>
      <w:r>
        <w:rPr>
          <w:rFonts w:hint="eastAsia" w:ascii="仿宋_GB2312" w:hAnsi="仿宋_GB2312" w:eastAsia="仿宋_GB2312" w:cs="仿宋_GB2312"/>
          <w:color w:val="auto"/>
          <w:kern w:val="2"/>
          <w:sz w:val="32"/>
          <w:szCs w:val="32"/>
          <w:highlight w:val="none"/>
          <w:lang w:val="en-US" w:eastAsia="zh-CN" w:bidi="ar-SA"/>
          <w14:ligatures w14:val="standardContextual"/>
        </w:rPr>
        <w:t>截至2024年末绿色信贷余额12783.62万元。</w:t>
      </w:r>
      <w:r>
        <w:rPr>
          <w:rFonts w:hint="eastAsia" w:ascii="仿宋_GB2312" w:hAnsi="仿宋_GB2312" w:eastAsia="仿宋_GB2312" w:cs="仿宋_GB2312"/>
          <w:color w:val="auto"/>
          <w:kern w:val="2"/>
          <w:sz w:val="32"/>
          <w:szCs w:val="32"/>
          <w:lang w:val="en-US" w:eastAsia="zh-CN" w:bidi="ar-SA"/>
          <w14:ligatures w14:val="standardContextual"/>
        </w:rPr>
        <w:t>践行绿色办公理念，推进节能减排，同步打造智慧文旅支付场景，持续完善“双标杆、九特色”绿色银行体系，助力生态和谐共生。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kern w:val="2"/>
          <w:sz w:val="32"/>
          <w:szCs w:val="32"/>
          <w:lang w:val="en-US" w:eastAsia="zh-CN" w:bidi="ar-SA"/>
          <w14:ligatures w14:val="standardContextual"/>
        </w:rPr>
      </w:pPr>
      <w:r>
        <w:rPr>
          <w:rFonts w:hint="eastAsia" w:ascii="楷体" w:hAnsi="楷体" w:eastAsia="楷体" w:cs="楷体"/>
          <w:color w:val="auto"/>
          <w:kern w:val="2"/>
          <w:sz w:val="32"/>
          <w:szCs w:val="32"/>
          <w:lang w:val="en-US" w:eastAsia="zh-CN" w:bidi="ar-SA"/>
          <w14:ligatures w14:val="standardContextual"/>
        </w:rPr>
        <w:t>（二）下一年度规划与目标</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202</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年，泰宁农信联社将严格遵循监管部门绿色金融发展要求，结合县域生态优势与自身经营实际，以践行运营“碳中和”与投融资“碳中和”的“双中和”银行为核心愿景，从总量扩容、体系完善、产品创新三大维度精准发力，稳步推进年度绿色金融发展目标落地：</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3"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绿色信贷总量全面提升。</w:t>
      </w:r>
      <w:r>
        <w:rPr>
          <w:rFonts w:hint="eastAsia" w:ascii="仿宋_GB2312" w:hAnsi="仿宋_GB2312" w:eastAsia="仿宋_GB2312" w:cs="仿宋_GB2312"/>
          <w:b w:val="0"/>
          <w:bCs w:val="0"/>
          <w:color w:val="auto"/>
          <w:sz w:val="32"/>
          <w:szCs w:val="32"/>
          <w:lang w:eastAsia="zh-CN"/>
        </w:rPr>
        <w:t>持续优化信贷总量结构与投向布局，深耕生态农业、低碳文旅、循环经济、林下经济等县域重点绿色产业，细化任务分解与责任落实，确保达成“十四五”绿色信贷总量规划目标。主动对接县域新开工绿色项目、中小微绿色经营主体，提升融资对接覆盖率与精准度，强化绿色金融普惠属性，全力冲刺绿色信贷“四个不低于”考核要求，推动绿色信贷规模与占比同步稳步增长。</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3" w:firstLineChars="200"/>
        <w:jc w:val="left"/>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建立健全绿色金融服务体系</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1）健全绿色金融长效机制。将绿色金融深度融入公司治理、发展战略、信贷文化与管理流程，构建“党建+金融助理+绿色金融”协同模式。逐步培育专业化绿色金融专营团队、专项统计人才队伍，完善人才培养与激励机制，为绿色金融高质量发展提供坚实人才支撑。</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（2）优化经营绩效考核体系。将绿色金融业务纳入年度核心经营绩效考核，增设绿色信贷投放规模、产品创新成效、客户服务质量等加分指标，加大考核权重与正向激励力度，引导全员聚焦绿色金融业务发展。</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完善全流程管理机制。按行业、客户类型细分绿色信贷服务场景，针对县域生态农业、绿色文旅等细分领域客户定制专属信贷方案。在风险可控前提下，开辟绿色信贷审批绿色通道，简化办贷流程、压缩审批时限，提升服务效率，增强绿色产业客户融资获得感。</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4）强化绿色投向前瞻管控。严格对标国家产业政策与绿色金融标准体系，实行差别化、动态化授信管理，确保合规展业。严格落实贷款“三查”制度，细化贷前绿色资质审核、贷中资金用途监管、贷后生态风险监测，提升绿色信贷风险管理精细化水平。</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3" w:firstLineChars="200"/>
        <w:jc w:val="left"/>
        <w:textAlignment w:val="auto"/>
        <w:outlineLvl w:val="9"/>
        <w:rPr>
          <w:rFonts w:hint="eastAsia" w:ascii="黑体" w:hAnsi="黑体" w:eastAsia="黑体" w:cs="黑体"/>
          <w:b w:val="0"/>
          <w:bCs w:val="0"/>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绿色信贷产品创新提升。</w:t>
      </w:r>
      <w:r>
        <w:rPr>
          <w:rFonts w:hint="eastAsia" w:ascii="仿宋_GB2312" w:hAnsi="仿宋_GB2312" w:eastAsia="仿宋_GB2312" w:cs="仿宋_GB2312"/>
          <w:b w:val="0"/>
          <w:bCs w:val="0"/>
          <w:color w:val="auto"/>
          <w:sz w:val="32"/>
          <w:szCs w:val="32"/>
          <w:highlight w:val="none"/>
          <w:lang w:eastAsia="zh-CN"/>
        </w:rPr>
        <w:t>立足泰宁“绿水青山”生态资源禀赋，聚焦县域绿色产业发展需求，深化产品创新与场景适配。持续加大</w:t>
      </w:r>
      <w:r>
        <w:rPr>
          <w:rFonts w:hint="eastAsia" w:ascii="仿宋_GB2312" w:hAnsi="仿宋_GB2312" w:eastAsia="仿宋_GB2312" w:cs="仿宋_GB2312"/>
          <w:b w:val="0"/>
          <w:bCs w:val="0"/>
          <w:color w:val="auto"/>
          <w:sz w:val="32"/>
          <w:szCs w:val="32"/>
          <w:highlight w:val="none"/>
          <w:lang w:val="en-US" w:eastAsia="zh-CN"/>
        </w:rPr>
        <w:t>福林贷、民宿贷、绿色文明贷</w:t>
      </w:r>
      <w:r>
        <w:rPr>
          <w:rFonts w:hint="eastAsia" w:ascii="仿宋_GB2312" w:hAnsi="仿宋_GB2312" w:eastAsia="仿宋_GB2312" w:cs="仿宋_GB2312"/>
          <w:b w:val="0"/>
          <w:bCs w:val="0"/>
          <w:color w:val="auto"/>
          <w:sz w:val="32"/>
          <w:szCs w:val="32"/>
          <w:highlight w:val="none"/>
          <w:lang w:eastAsia="zh-CN"/>
        </w:rPr>
        <w:t>等特色产品推广力度，助力农业、林业生态价值转化；联动县域绿色产业龙头企业，探索产业链上下游绿色融资方案，覆盖中小微绿色经营主体融资需求；推动绿色金融政策与技术深度融合，对接生态产品价值实现机制，探索“绿色信贷+生态补偿”“绿色信贷+碳减排挂钩”等创新模式，为县域产业绿色转型注入金融动能。</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三、</w:t>
      </w:r>
      <w:r>
        <w:rPr>
          <w:rFonts w:hint="eastAsia" w:ascii="黑体" w:hAnsi="黑体" w:eastAsia="黑体" w:cs="黑体"/>
          <w:b w:val="0"/>
          <w:bCs w:val="0"/>
          <w:color w:val="auto"/>
          <w:sz w:val="32"/>
          <w:szCs w:val="32"/>
        </w:rPr>
        <w:t>治理结构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kern w:val="2"/>
          <w:sz w:val="32"/>
          <w:szCs w:val="32"/>
          <w:lang w:val="en-US" w:eastAsia="zh-CN" w:bidi="ar-SA"/>
          <w14:ligatures w14:val="standardContextual"/>
        </w:rPr>
      </w:pPr>
      <w:r>
        <w:rPr>
          <w:rFonts w:hint="eastAsia" w:ascii="楷体" w:hAnsi="楷体" w:eastAsia="楷体" w:cs="楷体"/>
          <w:color w:val="auto"/>
          <w:kern w:val="2"/>
          <w:sz w:val="32"/>
          <w:szCs w:val="32"/>
          <w:lang w:val="en-US" w:eastAsia="zh-CN" w:bidi="ar-SA"/>
          <w14:ligatures w14:val="standardContextual"/>
        </w:rPr>
        <w:t>（一）理事会层面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14:ligatures w14:val="standardContextual"/>
        </w:rPr>
      </w:pPr>
      <w:r>
        <w:rPr>
          <w:rFonts w:hint="eastAsia" w:ascii="仿宋_GB2312" w:hAnsi="仿宋_GB2312" w:eastAsia="仿宋_GB2312" w:cs="仿宋_GB2312"/>
          <w:color w:val="auto"/>
          <w:kern w:val="2"/>
          <w:sz w:val="32"/>
          <w:szCs w:val="32"/>
          <w:lang w:val="en-US" w:eastAsia="zh-CN" w:bidi="ar-SA"/>
          <w14:ligatures w14:val="standardContextual"/>
        </w:rPr>
        <w:t>理事会作为本社绿色金融管理的最高决策机构，负责审定“十四五”时期绿色金融发展战略规划，批准高级管理层提交的绿色金融发展目标及实施措施。在此基础上，明确绿色金融发展指导思想和总体方向，为全社绿色转型提供战略引领。高级管理层根据理事会决策要求，牵头制定具体工作举措，建立健全绿色金融服务机制及相关业务流程，确保政策部署有效落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kern w:val="2"/>
          <w:sz w:val="32"/>
          <w:szCs w:val="32"/>
          <w:lang w:val="en-US" w:eastAsia="zh-CN" w:bidi="ar-SA"/>
          <w14:ligatures w14:val="standardContextual"/>
        </w:rPr>
      </w:pPr>
      <w:r>
        <w:rPr>
          <w:rFonts w:hint="eastAsia" w:ascii="楷体" w:hAnsi="楷体" w:eastAsia="楷体" w:cs="楷体"/>
          <w:color w:val="auto"/>
          <w:kern w:val="2"/>
          <w:sz w:val="32"/>
          <w:szCs w:val="32"/>
          <w:lang w:val="en-US" w:eastAsia="zh-CN" w:bidi="ar-SA"/>
          <w14:ligatures w14:val="standardContextual"/>
        </w:rPr>
        <w:t>（二）联社部门层面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14:ligatures w14:val="standardContextual"/>
        </w:rPr>
      </w:pPr>
      <w:r>
        <w:rPr>
          <w:rFonts w:hint="eastAsia" w:ascii="仿宋_GB2312" w:hAnsi="仿宋_GB2312" w:eastAsia="仿宋_GB2312" w:cs="仿宋_GB2312"/>
          <w:color w:val="auto"/>
          <w:kern w:val="2"/>
          <w:sz w:val="32"/>
          <w:szCs w:val="32"/>
          <w:lang w:val="en-US" w:eastAsia="zh-CN" w:bidi="ar-SA"/>
          <w14:ligatures w14:val="standardContextual"/>
        </w:rPr>
        <w:t>本社设立绿色金融领导小组，并在普惠金融部设立领导小组办公室，承担绿色金融日常工作推进职能。</w:t>
      </w:r>
      <w:r>
        <w:rPr>
          <w:rFonts w:hint="eastAsia" w:ascii="仿宋_GB2312" w:hAnsi="Calibri" w:eastAsia="仿宋_GB2312" w:cs="仿宋_GB2312"/>
          <w:kern w:val="2"/>
          <w:sz w:val="32"/>
          <w:szCs w:val="32"/>
          <w:lang w:val="en-US" w:eastAsia="zh-CN" w:bidi="ar"/>
        </w:rPr>
        <w:t>领导小组负责统筹指导和协调管理全县的绿色金融业务，优化绿色信贷业务流程和制度体系建设，积极研究和创新绿色金融产品和服务，加强与外部相关部门进行协调及沟通，推进基础配套设施建设。同时，在联社普惠金融部下设绿色金融服务中心，绿色金融事业部与联社普惠金融部合署办公，各网点成立绿色金融服务点，设立专门绿色服务窗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kern w:val="2"/>
          <w:sz w:val="32"/>
          <w:szCs w:val="32"/>
          <w:lang w:val="en-US" w:eastAsia="zh-CN" w:bidi="ar-SA"/>
          <w14:ligatures w14:val="standardContextual"/>
        </w:rPr>
      </w:pPr>
      <w:r>
        <w:rPr>
          <w:rFonts w:hint="eastAsia" w:ascii="楷体" w:hAnsi="楷体" w:eastAsia="楷体" w:cs="楷体"/>
          <w:color w:val="auto"/>
          <w:kern w:val="2"/>
          <w:sz w:val="32"/>
          <w:szCs w:val="32"/>
          <w:lang w:val="en-US" w:eastAsia="zh-CN" w:bidi="ar-SA"/>
          <w14:ligatures w14:val="standardContextual"/>
        </w:rPr>
        <w:t>（三）基层网点层面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14:ligatures w14:val="standardContextual"/>
        </w:rPr>
      </w:pPr>
      <w:r>
        <w:rPr>
          <w:rFonts w:hint="eastAsia" w:ascii="仿宋_GB2312" w:hAnsi="仿宋_GB2312" w:eastAsia="仿宋_GB2312" w:cs="仿宋_GB2312"/>
          <w:color w:val="auto"/>
          <w:kern w:val="2"/>
          <w:sz w:val="32"/>
          <w:szCs w:val="32"/>
          <w:lang w:val="en-US" w:eastAsia="zh-CN" w:bidi="ar-SA"/>
          <w14:ligatures w14:val="standardContextual"/>
        </w:rPr>
        <w:t>各基层网点依据本社统一部署，承担绿色金融具体实施任务，负责辖区范围内绿色信贷客户拓展、项目对接及主题宣传活动组织。围绕所在区域重点支持的绿色产业领域，如生态农业、节能环保、林业碳汇等，加大营销组织力度，提升绿色金融服务覆盖面。同时，在日常经营活动中践行绿色运营理念，落实节能减排措施，规范资源使用行为，持续履行金融机构环境责任和社会价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四、</w:t>
      </w:r>
      <w:r>
        <w:rPr>
          <w:rFonts w:hint="eastAsia" w:ascii="黑体" w:hAnsi="黑体" w:eastAsia="黑体" w:cs="黑体"/>
          <w:b w:val="0"/>
          <w:bCs w:val="0"/>
          <w:color w:val="auto"/>
          <w:sz w:val="32"/>
          <w:szCs w:val="32"/>
        </w:rPr>
        <w:t>政策制度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（一）外部政策制度遵循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中共中央、国务院《关于加快推进生态文明建设的意见》《生态文明体制改革总体方案》以及中国人民银行等七部委联合发布的《关于构建绿色金融体系的指导意见》（银发〔2016〕228号）文件精神，本社坚持以</w:t>
      </w:r>
      <w:r>
        <w:rPr>
          <w:rFonts w:hint="eastAsia" w:ascii="仿宋_GB2312" w:hAnsi="仿宋_GB2312" w:eastAsia="仿宋_GB2312" w:cs="仿宋_GB2312"/>
          <w:color w:val="auto"/>
          <w:sz w:val="32"/>
          <w:szCs w:val="32"/>
          <w:lang w:val="en-US" w:eastAsia="zh-CN"/>
        </w:rPr>
        <w:t>习近平</w:t>
      </w:r>
      <w:r>
        <w:rPr>
          <w:rFonts w:hint="eastAsia" w:ascii="仿宋_GB2312" w:hAnsi="仿宋_GB2312" w:eastAsia="仿宋_GB2312" w:cs="仿宋_GB2312"/>
          <w:color w:val="auto"/>
          <w:sz w:val="32"/>
          <w:szCs w:val="32"/>
        </w:rPr>
        <w:t>新时代中国特色社会主义思想为指导，全面贯彻新发展理念，深入践行“绿水青山就是金山银山”的发展导向。在服务地方经济绿色转型过程中，持续加强绿色金融体系建设，重点推进绿色信贷业务发展，积极防范环境与气候相关金融风险，助力区域生态文明建设进程。本社严格依照《中华人民共和国环境保护法》《中华人民共和国节约能源法》《中华人民共和国固体废物污染环境防治法》等相关法律法规及监管规范性文件要求，落实环保合规管理责任。在日常运营中推行绿色办公模式，建立健全节能减排管理制度，制定并实施节能降耗措施，切实履行金融机构环境社会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（二）内部政策制度建设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为进一步贯彻落实国家绿色发展战略部署，支持实现碳达峰、碳中和目标，推动县域经济绿色低碳转型，本社结合区域资源禀赋与产业特点，制定</w:t>
      </w:r>
      <w:r>
        <w:rPr>
          <w:rFonts w:hint="eastAsia" w:ascii="仿宋_GB2312" w:hAnsi="仿宋_GB2312" w:eastAsia="仿宋_GB2312" w:cs="仿宋_GB2312"/>
          <w:color w:val="auto"/>
          <w:sz w:val="32"/>
          <w:szCs w:val="32"/>
          <w:highlight w:val="none"/>
          <w:lang w:eastAsia="zh-CN"/>
        </w:rPr>
        <w:t>《泰宁县农村信用合作联社“十四五”总体发展规划》</w:t>
      </w:r>
      <w:r>
        <w:rPr>
          <w:rFonts w:hint="eastAsia" w:ascii="仿宋_GB2312" w:hAnsi="仿宋_GB2312" w:eastAsia="仿宋_GB2312" w:cs="仿宋_GB2312"/>
          <w:color w:val="auto"/>
          <w:sz w:val="32"/>
          <w:szCs w:val="32"/>
        </w:rPr>
        <w:t>《泰宁县农村信用合作联社推进绿色金融发展实施方案》等内部制度文件。将绿色发展理念纳入公司治理框架，明确理事会、经营管理层在绿色金融工作中的职责分工，完善绿色信贷全流程管理机制，涵盖授信准入、尽职调查、审批决策、资金拨付、贷后管理等环节。围绕林业、生态农业、节能环保等重点领域绿色发展需求，持续优化金融服务供给结构，加大绿色金融产品创新力度，探索开展绿色信贷、绿色消费金融、碳汇质押融资等新型业务模式，不断提升绿色金融服务的专业化、精细化水平。</w:t>
      </w:r>
    </w:p>
    <w:p>
      <w:pPr>
        <w:pStyle w:val="11"/>
        <w:keepNext w:val="0"/>
        <w:keepLines w:val="0"/>
        <w:pageBreakBefore w:val="0"/>
        <w:widowControl w:val="0"/>
        <w:tabs>
          <w:tab w:val="left" w:pos="949"/>
        </w:tabs>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val="0"/>
          <w:color w:val="auto"/>
          <w:kern w:val="0"/>
          <w:sz w:val="28"/>
          <w:szCs w:val="28"/>
          <w:lang w:val="zh-TW"/>
        </w:rPr>
      </w:pPr>
      <w:r>
        <w:rPr>
          <w:rFonts w:hint="eastAsia" w:ascii="黑体" w:hAnsi="黑体" w:eastAsia="黑体" w:cs="黑体"/>
          <w:b w:val="0"/>
          <w:bCs w:val="0"/>
          <w:color w:val="auto"/>
          <w:kern w:val="0"/>
          <w:sz w:val="28"/>
          <w:szCs w:val="28"/>
          <w:lang w:val="zh-TW"/>
        </w:rPr>
        <w:t>表</w:t>
      </w:r>
      <w:r>
        <w:rPr>
          <w:rFonts w:hint="eastAsia" w:ascii="黑体" w:hAnsi="黑体" w:eastAsia="黑体" w:cs="黑体"/>
          <w:b w:val="0"/>
          <w:bCs w:val="0"/>
          <w:color w:val="auto"/>
          <w:kern w:val="0"/>
          <w:sz w:val="28"/>
          <w:szCs w:val="28"/>
        </w:rPr>
        <w:t>1</w:t>
      </w:r>
      <w:r>
        <w:rPr>
          <w:rFonts w:hint="eastAsia" w:ascii="黑体" w:hAnsi="黑体" w:eastAsia="黑体" w:cs="黑体"/>
          <w:b w:val="0"/>
          <w:bCs w:val="0"/>
          <w:color w:val="auto"/>
          <w:kern w:val="0"/>
          <w:sz w:val="28"/>
          <w:szCs w:val="28"/>
          <w:lang w:val="zh-TW"/>
        </w:rPr>
        <w:t xml:space="preserve"> 金融机构环境政策制度情况表</w:t>
      </w:r>
    </w:p>
    <w:tbl>
      <w:tblPr>
        <w:tblStyle w:val="9"/>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07"/>
        <w:gridCol w:w="1853"/>
        <w:gridCol w:w="1064"/>
        <w:gridCol w:w="1538"/>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921" w:type="pct"/>
          </w:tcPr>
          <w:p>
            <w:pPr>
              <w:pStyle w:val="11"/>
              <w:tabs>
                <w:tab w:val="left" w:pos="949"/>
              </w:tabs>
              <w:spacing w:line="520" w:lineRule="exact"/>
              <w:jc w:val="center"/>
              <w:rPr>
                <w:rFonts w:ascii="仿宋_GB2312" w:hAnsi="仿宋_GB2312" w:eastAsia="仿宋_GB2312" w:cs="仿宋_GB2312"/>
                <w:b/>
                <w:bCs/>
                <w:color w:val="auto"/>
                <w:sz w:val="24"/>
                <w:szCs w:val="28"/>
              </w:rPr>
            </w:pPr>
            <w:r>
              <w:rPr>
                <w:rFonts w:hint="eastAsia" w:ascii="仿宋_GB2312" w:hAnsi="仿宋_GB2312" w:eastAsia="仿宋_GB2312" w:cs="仿宋_GB2312"/>
                <w:b/>
                <w:bCs/>
                <w:color w:val="auto"/>
                <w:sz w:val="24"/>
                <w:szCs w:val="28"/>
              </w:rPr>
              <w:t>文件名称</w:t>
            </w:r>
          </w:p>
        </w:tc>
        <w:tc>
          <w:tcPr>
            <w:tcW w:w="1110" w:type="pct"/>
          </w:tcPr>
          <w:p>
            <w:pPr>
              <w:pStyle w:val="11"/>
              <w:tabs>
                <w:tab w:val="left" w:pos="949"/>
              </w:tabs>
              <w:spacing w:line="520" w:lineRule="exact"/>
              <w:jc w:val="center"/>
              <w:rPr>
                <w:rFonts w:ascii="仿宋_GB2312" w:hAnsi="仿宋_GB2312" w:eastAsia="仿宋_GB2312" w:cs="仿宋_GB2312"/>
                <w:b/>
                <w:bCs/>
                <w:color w:val="auto"/>
                <w:sz w:val="24"/>
                <w:szCs w:val="28"/>
              </w:rPr>
            </w:pPr>
            <w:r>
              <w:rPr>
                <w:rFonts w:hint="eastAsia" w:ascii="仿宋_GB2312" w:hAnsi="仿宋_GB2312" w:eastAsia="仿宋_GB2312" w:cs="仿宋_GB2312"/>
                <w:b/>
                <w:bCs/>
                <w:color w:val="auto"/>
                <w:sz w:val="24"/>
                <w:szCs w:val="28"/>
              </w:rPr>
              <w:t>发文字号</w:t>
            </w:r>
          </w:p>
        </w:tc>
        <w:tc>
          <w:tcPr>
            <w:tcW w:w="637" w:type="pct"/>
          </w:tcPr>
          <w:p>
            <w:pPr>
              <w:pStyle w:val="11"/>
              <w:tabs>
                <w:tab w:val="left" w:pos="949"/>
              </w:tabs>
              <w:spacing w:line="520" w:lineRule="exact"/>
              <w:jc w:val="center"/>
              <w:rPr>
                <w:rFonts w:ascii="仿宋_GB2312" w:hAnsi="仿宋_GB2312" w:eastAsia="仿宋_GB2312" w:cs="仿宋_GB2312"/>
                <w:b/>
                <w:bCs/>
                <w:color w:val="auto"/>
                <w:sz w:val="24"/>
                <w:szCs w:val="28"/>
              </w:rPr>
            </w:pPr>
            <w:r>
              <w:rPr>
                <w:rFonts w:hint="eastAsia" w:ascii="仿宋_GB2312" w:hAnsi="仿宋_GB2312" w:eastAsia="仿宋_GB2312" w:cs="仿宋_GB2312"/>
                <w:b/>
                <w:bCs/>
                <w:color w:val="auto"/>
                <w:sz w:val="24"/>
                <w:szCs w:val="28"/>
              </w:rPr>
              <w:t>文件类型</w:t>
            </w:r>
          </w:p>
        </w:tc>
        <w:tc>
          <w:tcPr>
            <w:tcW w:w="921" w:type="pct"/>
          </w:tcPr>
          <w:p>
            <w:pPr>
              <w:pStyle w:val="11"/>
              <w:tabs>
                <w:tab w:val="left" w:pos="949"/>
              </w:tabs>
              <w:spacing w:line="520" w:lineRule="exact"/>
              <w:jc w:val="center"/>
              <w:rPr>
                <w:rFonts w:ascii="仿宋_GB2312" w:hAnsi="仿宋_GB2312" w:eastAsia="仿宋_GB2312" w:cs="仿宋_GB2312"/>
                <w:b/>
                <w:bCs/>
                <w:color w:val="auto"/>
                <w:sz w:val="24"/>
                <w:szCs w:val="28"/>
              </w:rPr>
            </w:pPr>
            <w:r>
              <w:rPr>
                <w:rFonts w:hint="eastAsia" w:ascii="仿宋_GB2312" w:hAnsi="仿宋_GB2312" w:eastAsia="仿宋_GB2312" w:cs="仿宋_GB2312"/>
                <w:b/>
                <w:bCs/>
                <w:color w:val="auto"/>
                <w:sz w:val="24"/>
                <w:szCs w:val="28"/>
              </w:rPr>
              <w:t>文件主要内容</w:t>
            </w:r>
          </w:p>
        </w:tc>
        <w:tc>
          <w:tcPr>
            <w:tcW w:w="408" w:type="pct"/>
          </w:tcPr>
          <w:p>
            <w:pPr>
              <w:pStyle w:val="11"/>
              <w:tabs>
                <w:tab w:val="left" w:pos="949"/>
              </w:tabs>
              <w:spacing w:line="520" w:lineRule="exact"/>
              <w:jc w:val="center"/>
              <w:rPr>
                <w:rFonts w:ascii="仿宋_GB2312" w:hAnsi="仿宋_GB2312" w:eastAsia="仿宋_GB2312" w:cs="仿宋_GB2312"/>
                <w:b/>
                <w:bCs/>
                <w:color w:val="auto"/>
                <w:sz w:val="24"/>
                <w:szCs w:val="28"/>
              </w:rPr>
            </w:pPr>
            <w:r>
              <w:rPr>
                <w:rFonts w:hint="eastAsia" w:ascii="仿宋_GB2312" w:hAnsi="仿宋_GB2312" w:eastAsia="仿宋_GB2312" w:cs="仿宋_GB2312"/>
                <w:b/>
                <w:bCs/>
                <w:color w:val="auto"/>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4" w:hRule="exact"/>
          <w:jc w:val="center"/>
        </w:trPr>
        <w:tc>
          <w:tcPr>
            <w:tcW w:w="1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《中共中央国务院关于加快推进生态文明建设的意见》《生态文明体制改革总体方案》《中国人民银行银行财政部发展改革委环境保护部银监会证监会保监会关于构建绿色金融体系的指导意见》</w:t>
            </w:r>
          </w:p>
        </w:tc>
        <w:tc>
          <w:tcPr>
            <w:tcW w:w="1110" w:type="pct"/>
            <w:vAlign w:val="center"/>
          </w:tcPr>
          <w:p>
            <w:pPr>
              <w:spacing w:line="300" w:lineRule="exact"/>
              <w:jc w:val="center"/>
              <w:rPr>
                <w:rFonts w:ascii="仿宋_GB2312" w:hAnsi="仿宋_GB2312" w:eastAsia="仿宋_GB2312" w:cs="仿宋_GB2312"/>
                <w:sz w:val="22"/>
              </w:rPr>
            </w:pPr>
          </w:p>
        </w:tc>
        <w:tc>
          <w:tcPr>
            <w:tcW w:w="637"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外部政策</w:t>
            </w:r>
          </w:p>
        </w:tc>
        <w:tc>
          <w:tcPr>
            <w:tcW w:w="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有关生态文明建设的各项要求。</w:t>
            </w:r>
          </w:p>
        </w:tc>
        <w:tc>
          <w:tcPr>
            <w:tcW w:w="408" w:type="pct"/>
            <w:vAlign w:val="center"/>
          </w:tcPr>
          <w:p>
            <w:pPr>
              <w:pStyle w:val="11"/>
              <w:tabs>
                <w:tab w:val="left" w:pos="949"/>
              </w:tabs>
              <w:spacing w:line="520" w:lineRule="exact"/>
              <w:jc w:val="center"/>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exact"/>
          <w:jc w:val="center"/>
        </w:trPr>
        <w:tc>
          <w:tcPr>
            <w:tcW w:w="1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《中华人民共和国环境保护法》《中华人民共和国节约能源法》《中华人民共和国固体废物污染环境防治法》</w:t>
            </w:r>
          </w:p>
        </w:tc>
        <w:tc>
          <w:tcPr>
            <w:tcW w:w="1110" w:type="pct"/>
            <w:vAlign w:val="center"/>
          </w:tcPr>
          <w:p>
            <w:pPr>
              <w:spacing w:line="300" w:lineRule="exact"/>
              <w:jc w:val="center"/>
              <w:rPr>
                <w:rFonts w:ascii="仿宋_GB2312" w:hAnsi="仿宋_GB2312" w:eastAsia="仿宋_GB2312" w:cs="仿宋_GB2312"/>
                <w:sz w:val="22"/>
              </w:rPr>
            </w:pPr>
          </w:p>
        </w:tc>
        <w:tc>
          <w:tcPr>
            <w:tcW w:w="637"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外部政策</w:t>
            </w:r>
          </w:p>
        </w:tc>
        <w:tc>
          <w:tcPr>
            <w:tcW w:w="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有关节能环保的各项要求。</w:t>
            </w:r>
          </w:p>
        </w:tc>
        <w:tc>
          <w:tcPr>
            <w:tcW w:w="408" w:type="pct"/>
            <w:vAlign w:val="center"/>
          </w:tcPr>
          <w:p>
            <w:pPr>
              <w:pStyle w:val="11"/>
              <w:tabs>
                <w:tab w:val="left" w:pos="949"/>
              </w:tabs>
              <w:spacing w:line="520" w:lineRule="exact"/>
              <w:jc w:val="center"/>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6" w:hRule="exact"/>
          <w:jc w:val="center"/>
        </w:trPr>
        <w:tc>
          <w:tcPr>
            <w:tcW w:w="1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泰宁县农村信用合作联社“十四五”总体发展规划</w:t>
            </w:r>
          </w:p>
        </w:tc>
        <w:tc>
          <w:tcPr>
            <w:tcW w:w="1110"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泰农信〔2022〕43号</w:t>
            </w:r>
          </w:p>
        </w:tc>
        <w:tc>
          <w:tcPr>
            <w:tcW w:w="637"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内部政策</w:t>
            </w:r>
          </w:p>
        </w:tc>
        <w:tc>
          <w:tcPr>
            <w:tcW w:w="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lang w:eastAsia="zh-CN"/>
              </w:rPr>
              <w:t>泰宁</w:t>
            </w:r>
            <w:r>
              <w:rPr>
                <w:rFonts w:hint="eastAsia" w:ascii="仿宋_GB2312" w:hAnsi="仿宋_GB2312" w:eastAsia="仿宋_GB2312" w:cs="仿宋_GB2312"/>
                <w:sz w:val="22"/>
              </w:rPr>
              <w:t>农信联社“十四五”期间推进绿色金融发展重点任务。</w:t>
            </w:r>
          </w:p>
        </w:tc>
        <w:tc>
          <w:tcPr>
            <w:tcW w:w="408" w:type="pct"/>
            <w:vAlign w:val="center"/>
          </w:tcPr>
          <w:p>
            <w:pPr>
              <w:pStyle w:val="11"/>
              <w:tabs>
                <w:tab w:val="left" w:pos="949"/>
              </w:tabs>
              <w:spacing w:line="520" w:lineRule="exact"/>
              <w:jc w:val="center"/>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2" w:hRule="exact"/>
          <w:jc w:val="center"/>
        </w:trPr>
        <w:tc>
          <w:tcPr>
            <w:tcW w:w="1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《泰宁县农村信用合作联社推进绿色金融发展实施方案》</w:t>
            </w:r>
          </w:p>
        </w:tc>
        <w:tc>
          <w:tcPr>
            <w:tcW w:w="1110"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泰农信〔2021〕51号</w:t>
            </w:r>
          </w:p>
        </w:tc>
        <w:tc>
          <w:tcPr>
            <w:tcW w:w="637"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内部政策</w:t>
            </w:r>
          </w:p>
        </w:tc>
        <w:tc>
          <w:tcPr>
            <w:tcW w:w="921" w:type="pct"/>
            <w:vAlign w:val="center"/>
          </w:tcPr>
          <w:p>
            <w:pPr>
              <w:spacing w:line="300" w:lineRule="exact"/>
              <w:jc w:val="center"/>
              <w:rPr>
                <w:rFonts w:ascii="仿宋_GB2312" w:hAnsi="仿宋_GB2312" w:eastAsia="仿宋_GB2312" w:cs="仿宋_GB2312"/>
                <w:sz w:val="22"/>
              </w:rPr>
            </w:pPr>
            <w:r>
              <w:rPr>
                <w:rFonts w:hint="eastAsia" w:ascii="仿宋_GB2312" w:hAnsi="仿宋_GB2312" w:eastAsia="仿宋_GB2312" w:cs="仿宋_GB2312"/>
                <w:sz w:val="22"/>
              </w:rPr>
              <w:t>有关</w:t>
            </w:r>
            <w:r>
              <w:rPr>
                <w:rFonts w:hint="eastAsia" w:ascii="仿宋_GB2312" w:hAnsi="仿宋_GB2312" w:eastAsia="仿宋_GB2312" w:cs="仿宋_GB2312"/>
                <w:sz w:val="22"/>
                <w:lang w:val="en-US" w:eastAsia="zh-CN"/>
              </w:rPr>
              <w:t>推进</w:t>
            </w:r>
            <w:r>
              <w:rPr>
                <w:rFonts w:hint="eastAsia" w:ascii="仿宋_GB2312" w:hAnsi="仿宋_GB2312" w:eastAsia="仿宋_GB2312" w:cs="仿宋_GB2312"/>
                <w:sz w:val="22"/>
              </w:rPr>
              <w:t>绿色金融</w:t>
            </w:r>
            <w:r>
              <w:rPr>
                <w:rFonts w:hint="eastAsia" w:ascii="仿宋_GB2312" w:hAnsi="仿宋_GB2312" w:eastAsia="仿宋_GB2312" w:cs="仿宋_GB2312"/>
                <w:sz w:val="22"/>
                <w:lang w:val="en-US" w:eastAsia="zh-CN"/>
              </w:rPr>
              <w:t>发展实施方案的</w:t>
            </w:r>
            <w:r>
              <w:rPr>
                <w:rFonts w:hint="eastAsia" w:ascii="仿宋_GB2312" w:hAnsi="仿宋_GB2312" w:eastAsia="仿宋_GB2312" w:cs="仿宋_GB2312"/>
                <w:sz w:val="22"/>
              </w:rPr>
              <w:t>指导思想、工作目标、</w:t>
            </w:r>
            <w:r>
              <w:rPr>
                <w:rFonts w:hint="eastAsia" w:ascii="仿宋_GB2312" w:hAnsi="仿宋_GB2312" w:eastAsia="仿宋_GB2312" w:cs="仿宋_GB2312"/>
                <w:sz w:val="22"/>
                <w:lang w:val="en-US" w:eastAsia="zh-CN"/>
              </w:rPr>
              <w:t>工作重点、保障措施。</w:t>
            </w:r>
          </w:p>
        </w:tc>
        <w:tc>
          <w:tcPr>
            <w:tcW w:w="408" w:type="pct"/>
            <w:vAlign w:val="center"/>
          </w:tcPr>
          <w:p>
            <w:pPr>
              <w:pStyle w:val="11"/>
              <w:tabs>
                <w:tab w:val="left" w:pos="949"/>
              </w:tabs>
              <w:spacing w:line="520" w:lineRule="exact"/>
              <w:jc w:val="center"/>
              <w:rPr>
                <w:rFonts w:ascii="仿宋_GB2312" w:hAnsi="仿宋_GB2312" w:eastAsia="仿宋_GB2312" w:cs="仿宋_GB2312"/>
                <w:color w:val="auto"/>
                <w:sz w:val="24"/>
                <w:szCs w:val="24"/>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b w:val="0"/>
          <w:bCs w:val="0"/>
          <w:color w:val="FF0000"/>
          <w:sz w:val="32"/>
          <w:szCs w:val="32"/>
          <w:lang w:val="en-US" w:eastAsia="zh-CN"/>
        </w:rPr>
      </w:pP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产品创新与研究成果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（一）积极开展支持绿色特色产业发展行动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牢固树立绿色金融发展理念，积极开展支持绿色特色产业、绿色专业合作社、绿色家庭农场、绿色农产品品牌打造、绿色农产品销售、绿色产业带头人发展、绿色生产要素流转行动，为绿色金融改革试验区建设贡献农信力量。重点支持以下几个领域：</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1.支持绿色特色产业链。</w:t>
      </w:r>
      <w:r>
        <w:rPr>
          <w:rFonts w:hint="eastAsia" w:ascii="仿宋_GB2312" w:hAnsi="仿宋_GB2312" w:eastAsia="仿宋_GB2312" w:cs="仿宋_GB2312"/>
          <w:sz w:val="32"/>
          <w:szCs w:val="32"/>
        </w:rPr>
        <w:t>积极推广 “五福”系列贷款产品，按照市委、市政府大力发展高优粮食、绿色林业、精致园艺、生态养殖和现代烟草5大优势特色产业发展要求，立足泰宁县乡村资源禀赋特点，因地制宜支持打造“一村一品、一乡一业”特色产业发展格局，重点扶持发展高优粮食、现代烟草、种子产业、林下经济（中药材）、森林康养、民宿产业、茶叶产业、笋竹制品产业、金湖渔业等、电商产业等绿色特色产业，促进绿色特色产业发展壮大，加快乡村振兴步伐。</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2.支持绿色专业合作社。</w:t>
      </w:r>
      <w:r>
        <w:rPr>
          <w:rFonts w:hint="eastAsia" w:ascii="仿宋_GB2312" w:hAnsi="仿宋_GB2312" w:eastAsia="仿宋_GB2312" w:cs="仿宋_GB2312"/>
          <w:sz w:val="32"/>
          <w:szCs w:val="32"/>
        </w:rPr>
        <w:t>深入推进“党建+金融助理+多社融合”发展模式，积极加强与农业农村局、供销社等涉农单位合作，建立信息共享机制和工作联络机制，对全县专业合作社进行分类筛选，在全县优选10个绿色专业合作社进行重点扶持，促进绿色专业合作社发展壮大。并结合“农村信用工程”创建活动，对绿色专业合作社给予评级授信，对信用良好的绿色专业合作社授予“信用绿色专业合作社”，实行贷款优先、额度优先、利率优惠的“三优”服务，促进绿色专业合作社加快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3.支持绿色家庭农场。</w:t>
      </w:r>
      <w:r>
        <w:rPr>
          <w:rFonts w:hint="eastAsia" w:ascii="仿宋_GB2312" w:hAnsi="仿宋_GB2312" w:eastAsia="仿宋_GB2312" w:cs="仿宋_GB2312"/>
          <w:sz w:val="32"/>
          <w:szCs w:val="32"/>
        </w:rPr>
        <w:t>积极推广“福农e贷”“福商贷”等信贷产品，积极支持绿色家庭农场发展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全县优选10个绿色家庭农场进行重点扶持，促进绿色家庭农场发展壮大。因地制宜推广“龙头企业+家庭农场+农户”等产业链、供应链融资模式，支持农户与家庭农场、龙头企业组建农业产业化联合体，促进小农户与现代农业有机衔接，提升现代农业质效。并对信用良好的绿色家庭农场授予“信用绿色家庭农场”，实行贷款优先、额度优先、利率优惠的“三优”服务，促进绿色家庭农场加快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4.支持打造绿色农产品品牌。</w:t>
      </w:r>
      <w:r>
        <w:rPr>
          <w:rFonts w:hint="eastAsia" w:ascii="仿宋_GB2312" w:hAnsi="仿宋_GB2312" w:eastAsia="仿宋_GB2312" w:cs="仿宋_GB2312"/>
          <w:sz w:val="32"/>
          <w:szCs w:val="32"/>
        </w:rPr>
        <w:t>进一步丰富“福商贷”系列产品，对获得全国、省、市名特优农产品荣誉称号、农产品标识的绿色农产品进行重点支持，探索开展商标权等知识产权质押贷款，支持打造绿色农产品品牌，挖掘“老字号”，扶强“国字号”，培育“新字号”，助力农业特色品牌建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5.打造绿色农产品销售平台。</w:t>
      </w:r>
      <w:r>
        <w:rPr>
          <w:rFonts w:hint="eastAsia" w:ascii="仿宋_GB2312" w:hAnsi="仿宋_GB2312" w:eastAsia="仿宋_GB2312" w:cs="仿宋_GB2312"/>
          <w:sz w:val="32"/>
          <w:szCs w:val="32"/>
        </w:rPr>
        <w:t>充分利用福建农信“福农e购”线上平台作用，积极支持绿色农产品销售，拓宽农产品销售渠道，促进农民增收致富。充分发挥农信系统点多面广、客户众多的优势，加大“福农e购”线上平台宣传力度，提高“福农e购”线上平台的知晓度和利用率，扩大绿色农产品销售量。充分利用向各乡镇、各行政村派驻金融助理的作用，广泛收集绿色农产品信息，积极推荐上线“福农e购”平台进行销售，扩大绿色农产品销售品种。在全县优选10种绿色农产品进行重点推介销售，促进农产品更好“进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6.支持培育绿色产业带头人。</w:t>
      </w:r>
      <w:r>
        <w:rPr>
          <w:rFonts w:hint="eastAsia" w:ascii="仿宋_GB2312" w:hAnsi="仿宋_GB2312" w:eastAsia="仿宋_GB2312" w:cs="仿宋_GB2312"/>
          <w:sz w:val="32"/>
          <w:szCs w:val="32"/>
        </w:rPr>
        <w:t>积极推广“振兴贷”“创保贷”等信贷产品，重点支持绿色产业带头人发展，首期在全县优选10个绿色产业带头人进行重点扶持，并对信用良好的绿色产业带头人授予“信用绿色产业带头人”，实行贷款优先、额度优先、利率优惠的倾斜支持，为绿色产业带头人提供更加优质、更加优惠的金融服务，促进绿色产业带头人加快发展绿色产业，形成示范带动效应。</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7.促进农村绿色生产要素流转。</w:t>
      </w:r>
      <w:r>
        <w:rPr>
          <w:rFonts w:hint="eastAsia" w:ascii="仿宋_GB2312" w:hAnsi="仿宋_GB2312" w:eastAsia="仿宋_GB2312" w:cs="仿宋_GB2312"/>
          <w:sz w:val="32"/>
          <w:szCs w:val="32"/>
        </w:rPr>
        <w:t>持续加大“福林贷”“惠林贷”等林业普惠金融产品推广力度，不断进行优化升级，并积极配合林票制度改革，升级推出“福林贷”2.0版金融服务产品，即在信用评级的基础上，将林票质押作为增信条件,推广“惠林贷”林票质押类贷款产品,为林票制度改革提供配套信贷产品支持,促进林业生产要素流转。同时，积极跟进市政府 “房票”“地票”等政策，积极创新信贷产品，提供配套信贷支持，促进绿色生产要素流转，为绿色产业加快发展创造更有利条件。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sz w:val="32"/>
          <w:szCs w:val="32"/>
        </w:rPr>
      </w:pPr>
      <w:r>
        <w:rPr>
          <w:rFonts w:hint="eastAsia" w:ascii="楷体" w:hAnsi="楷体" w:eastAsia="楷体" w:cs="楷体"/>
          <w:sz w:val="32"/>
          <w:szCs w:val="32"/>
        </w:rPr>
        <w:t>（二）积极开展支持绿色消费行动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按照绿色标杆银行转型发展要求，积极开拓思路，加强探索创新，积极开展支持绿色消费行动，发挥典型引路作用。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1.开展绿色消费理念教育。</w:t>
      </w:r>
      <w:r>
        <w:rPr>
          <w:rFonts w:hint="eastAsia" w:ascii="仿宋_GB2312" w:hAnsi="仿宋_GB2312" w:eastAsia="仿宋_GB2312" w:cs="仿宋_GB2312"/>
          <w:sz w:val="32"/>
          <w:szCs w:val="32"/>
        </w:rPr>
        <w:t>联社成立绿色金融服务中心，设立绿色消费教育专区，加强对金融消费者绿色消费理念教育，积极引导广大市民参与步行、骑行、公交出行、垃圾分类、节能减排等低碳行动，最大限度节能、节地、节水、节材，形成绿色消费理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2.推出绿色消费专属产品。</w:t>
      </w:r>
      <w:r>
        <w:rPr>
          <w:rFonts w:hint="eastAsia" w:ascii="仿宋_GB2312" w:hAnsi="仿宋_GB2312" w:eastAsia="仿宋_GB2312" w:cs="仿宋_GB2312"/>
          <w:sz w:val="32"/>
          <w:szCs w:val="32"/>
        </w:rPr>
        <w:t>积极创新绿色信贷专属产品，加快创新推出“低碳贷”产品，以低碳积分方式提高信用额度和实现利率优惠，让广大客户享受绿色消费带来的实惠和好处，从而推动形成绿色消费理念。同时，积极支持绿色消费产品经营主体发展，对经营地理标志农特产品、提供绿色出行工具等绿色经营主体进行重点支持，促进绿色消费品产业发展壮大。</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3.推进绿色家庭创建。</w:t>
      </w:r>
      <w:r>
        <w:rPr>
          <w:rFonts w:hint="eastAsia" w:ascii="仿宋_GB2312" w:hAnsi="仿宋_GB2312" w:eastAsia="仿宋_GB2312" w:cs="仿宋_GB2312"/>
          <w:sz w:val="32"/>
          <w:szCs w:val="32"/>
        </w:rPr>
        <w:t>以创新推广“低碳贷”产品为契机，积极支持绿色家庭创建，以家庭为单位计算低碳积分，低碳积分越高，给予额度更高、利率更加优惠的贷款支持，促进家庭培育绿色消费理念，最大限度节能、节地、节水、节材，充分调动家庭为环节事业做贡献的积极性。</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4.制定绿色转型实施方案。</w:t>
      </w:r>
      <w:r>
        <w:rPr>
          <w:rFonts w:hint="eastAsia" w:ascii="仿宋_GB2312" w:hAnsi="仿宋_GB2312" w:eastAsia="仿宋_GB2312" w:cs="仿宋_GB2312"/>
          <w:sz w:val="32"/>
          <w:szCs w:val="32"/>
        </w:rPr>
        <w:t>按照绿色标杆银行转型发展要求，制定出台具体实施方案，通过采取“明确绿色发展定位、设立绿色专营机构、组建绿色专营团队、单列绿色信贷规模”等措施，致力打造成为专业化绿色标杆银行。</w:t>
      </w:r>
    </w:p>
    <w:p>
      <w:pPr>
        <w:keepNext w:val="0"/>
        <w:keepLines w:val="0"/>
        <w:pageBreakBefore w:val="0"/>
        <w:widowControl w:val="0"/>
        <w:kinsoku/>
        <w:wordWrap/>
        <w:overflowPunct/>
        <w:topLinePunct w:val="0"/>
        <w:autoSpaceDE/>
        <w:autoSpaceDN/>
        <w:bidi w:val="0"/>
        <w:adjustRightInd/>
        <w:snapToGrid/>
        <w:spacing w:line="580" w:lineRule="exact"/>
        <w:ind w:firstLine="672" w:firstLineChars="21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（三）绿色信贷案例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绿色金融赋能乡村旅游发展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走进下渠镇大坑村，远眺满目青翠如诗如画，近观白墙黛瓦错落有致。“大坑小院”四个字耸立在一片绿意之中。这座藏匿于乡间小路、凝聚着主人吴先生的乡愁与匠心的古风民宿，入选了2023年福建省绿色家庭，是木艺非遗传习点，是省内多所高校的实践基地。主人吴先生2019年从浙江回到家乡，决定将老宅修建成绿色民宿。泰宁农信联社金融助理在驻村工作中了解到这一情况后，积极对接，在长达一年多的设计与改建中，及时给予政策解读及信贷支持，陆续向其发放创业贴息贷款20万元，支持他经营民宿；向其公司发放纾困贷50万元，购买教学设备，建造大坑小院手工木艺坊。如今，庭院内诗情画意、生机盎然，木艺坊内“交响曲”此起彼伏，教学氛围浓厚。一座小小的庭院，美化了乡村环境，传播了非遗文化，推动了研学产业发展，带动了乡村振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黑体" w:hAnsi="黑体" w:eastAsia="黑体" w:cs="黑体"/>
          <w:b w:val="0"/>
          <w:bCs w:val="0"/>
          <w:color w:val="auto"/>
          <w:sz w:val="32"/>
          <w:szCs w:val="32"/>
        </w:rPr>
      </w:pPr>
      <w:bookmarkStart w:id="1" w:name="_GoBack"/>
      <w:bookmarkEnd w:id="1"/>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经营活动对气候与环境的影响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sz w:val="32"/>
          <w:szCs w:val="32"/>
        </w:rPr>
      </w:pPr>
      <w:r>
        <w:rPr>
          <w:rFonts w:hint="eastAsia" w:ascii="楷体" w:hAnsi="楷体" w:eastAsia="楷体" w:cs="楷体"/>
          <w:color w:val="auto"/>
          <w:kern w:val="2"/>
          <w:sz w:val="32"/>
          <w:szCs w:val="32"/>
          <w:lang w:val="en-US" w:eastAsia="zh-CN" w:bidi="ar-SA"/>
          <w14:ligatures w14:val="standardContextual"/>
        </w:rPr>
        <w:t>（一）</w:t>
      </w:r>
      <w:r>
        <w:rPr>
          <w:rFonts w:hint="eastAsia" w:ascii="楷体" w:hAnsi="楷体" w:eastAsia="楷体" w:cs="楷体"/>
          <w:color w:val="auto"/>
          <w:sz w:val="32"/>
          <w:szCs w:val="32"/>
        </w:rPr>
        <w:t>经营活动产生的资源消耗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报告期内，我联社本部及各营业网点经营活动产生的资源消耗主要集中在自有车辆消耗、营业办公用电、用水、纸张耗材等。</w:t>
      </w:r>
    </w:p>
    <w:p>
      <w:pPr>
        <w:keepNext w:val="0"/>
        <w:keepLines w:val="0"/>
        <w:pageBreakBefore w:val="0"/>
        <w:widowControl w:val="0"/>
        <w:kinsoku/>
        <w:wordWrap/>
        <w:overflowPunct/>
        <w:topLinePunct w:val="0"/>
        <w:autoSpaceDE/>
        <w:autoSpaceDN/>
        <w:bidi w:val="0"/>
        <w:adjustRightInd/>
        <w:snapToGrid/>
        <w:spacing w:line="480" w:lineRule="auto"/>
        <w:ind w:left="420" w:leftChars="200"/>
        <w:jc w:val="center"/>
        <w:textAlignment w:val="auto"/>
        <w:rPr>
          <w:rFonts w:hint="eastAsia" w:ascii="黑体" w:hAnsi="黑体" w:eastAsia="黑体" w:cs="黑体"/>
          <w:b w:val="0"/>
          <w:bCs w:val="0"/>
          <w:color w:val="auto"/>
          <w:kern w:val="0"/>
          <w:sz w:val="28"/>
          <w:szCs w:val="28"/>
          <w:u w:color="000000"/>
          <w:lang w:val="zh-TW" w:eastAsia="zh-CN" w:bidi="ar-SA"/>
        </w:rPr>
      </w:pPr>
      <w:r>
        <w:rPr>
          <w:rFonts w:hint="eastAsia" w:ascii="黑体" w:hAnsi="黑体" w:eastAsia="黑体" w:cs="黑体"/>
          <w:b w:val="0"/>
          <w:bCs w:val="0"/>
          <w:color w:val="auto"/>
          <w:kern w:val="0"/>
          <w:sz w:val="28"/>
          <w:szCs w:val="28"/>
          <w:u w:color="000000"/>
          <w:lang w:val="zh-TW" w:eastAsia="zh-CN" w:bidi="ar-SA"/>
        </w:rPr>
        <w:t>表2：经营活动产生的资源消耗</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3306"/>
        <w:gridCol w:w="1233"/>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0"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指标名称</w:t>
            </w:r>
          </w:p>
        </w:tc>
        <w:tc>
          <w:tcPr>
            <w:tcW w:w="330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披露细项</w:t>
            </w:r>
          </w:p>
        </w:tc>
        <w:tc>
          <w:tcPr>
            <w:tcW w:w="123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总量</w:t>
            </w:r>
          </w:p>
        </w:tc>
        <w:tc>
          <w:tcPr>
            <w:tcW w:w="185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人均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2130"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报告年度内经营活动产生的资源消耗</w:t>
            </w:r>
          </w:p>
        </w:tc>
        <w:tc>
          <w:tcPr>
            <w:tcW w:w="330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自有交通运输工具消耗燃油（升）</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4138</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lang w:val="en-US" w:eastAsia="zh-CN"/>
              </w:rPr>
            </w:pPr>
            <w:r>
              <w:rPr>
                <w:rFonts w:hint="eastAsia" w:ascii="仿宋" w:hAnsi="仿宋" w:eastAsia="仿宋" w:cs="仿宋"/>
                <w:sz w:val="28"/>
                <w:szCs w:val="28"/>
                <w:lang w:val="en-US" w:eastAsia="zh-CN"/>
              </w:rPr>
              <w:t>34.77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13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tc>
        <w:tc>
          <w:tcPr>
            <w:tcW w:w="330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营业办公消耗电力（万千瓦时）</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49.34</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exact"/>
        </w:trPr>
        <w:tc>
          <w:tcPr>
            <w:tcW w:w="213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tc>
        <w:tc>
          <w:tcPr>
            <w:tcW w:w="330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营业办公消耗水（吨）</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4625</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130"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p>
        </w:tc>
        <w:tc>
          <w:tcPr>
            <w:tcW w:w="3306"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营业办公消耗纸张（吨）</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2.62</w:t>
            </w:r>
          </w:p>
        </w:tc>
        <w:tc>
          <w:tcPr>
            <w:tcW w:w="185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0.02</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楷体" w:hAnsi="楷体" w:eastAsia="楷体" w:cs="楷体"/>
          <w:color w:val="auto"/>
          <w:kern w:val="2"/>
          <w:sz w:val="32"/>
          <w:szCs w:val="32"/>
          <w:lang w:val="en-US" w:eastAsia="zh-CN" w:bidi="ar-SA"/>
          <w14:ligatures w14:val="standardContextual"/>
        </w:rPr>
      </w:pPr>
      <w:r>
        <w:rPr>
          <w:rFonts w:hint="eastAsia" w:ascii="楷体" w:hAnsi="楷体" w:eastAsia="楷体" w:cs="楷体"/>
          <w:color w:val="auto"/>
          <w:kern w:val="2"/>
          <w:sz w:val="32"/>
          <w:szCs w:val="32"/>
          <w:lang w:val="en-US" w:eastAsia="zh-CN" w:bidi="ar-SA"/>
          <w14:ligatures w14:val="standardContextual"/>
        </w:rPr>
        <w:t>（二）环保措施及成果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社积极践行绿色低碳发展理念，围绕节能降耗目标加强日常运营管理，持续提升能源利用效率。通过规范办公场所用电、用水、用纸及车辆燃油管理，切实降低能源资源的直接与间接消耗，推动形成节约型办公运行机制。在管理过程中，严格落实环境保护相关法律法规要求，确保各项操作合规有序，助力实现降本增效与生态环境保护协调统一的可持续发展目标。同时，倡导全体员工参与绿色办公实践，增强节能环保意识，推动资源节约行为常态化、制度化。</w:t>
      </w:r>
    </w:p>
    <w:p>
      <w:pPr>
        <w:keepNext w:val="0"/>
        <w:keepLines w:val="0"/>
        <w:pageBreakBefore w:val="0"/>
        <w:widowControl w:val="0"/>
        <w:kinsoku/>
        <w:wordWrap/>
        <w:overflowPunct/>
        <w:topLinePunct w:val="0"/>
        <w:autoSpaceDE/>
        <w:autoSpaceDN/>
        <w:bidi w:val="0"/>
        <w:adjustRightInd/>
        <w:snapToGrid/>
        <w:spacing w:line="480" w:lineRule="auto"/>
        <w:ind w:left="420" w:leftChars="200"/>
        <w:jc w:val="center"/>
        <w:textAlignment w:val="auto"/>
        <w:rPr>
          <w:rFonts w:hint="eastAsia" w:ascii="黑体" w:hAnsi="黑体" w:eastAsia="黑体" w:cs="黑体"/>
          <w:b w:val="0"/>
          <w:bCs w:val="0"/>
          <w:color w:val="auto"/>
          <w:kern w:val="0"/>
          <w:sz w:val="28"/>
          <w:szCs w:val="28"/>
          <w:u w:color="000000"/>
          <w:lang w:val="zh-TW" w:eastAsia="zh-CN" w:bidi="ar-SA"/>
        </w:rPr>
      </w:pPr>
      <w:r>
        <w:rPr>
          <w:rFonts w:hint="eastAsia" w:ascii="黑体" w:hAnsi="黑体" w:eastAsia="黑体" w:cs="黑体"/>
          <w:b w:val="0"/>
          <w:bCs w:val="0"/>
          <w:color w:val="auto"/>
          <w:kern w:val="0"/>
          <w:sz w:val="28"/>
          <w:szCs w:val="28"/>
          <w:u w:color="000000"/>
          <w:lang w:val="zh-TW" w:eastAsia="zh-CN" w:bidi="ar-SA"/>
        </w:rPr>
        <w:t>表3：环保措施及成果</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671"/>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95" w:type="pct"/>
            <w:vAlign w:val="center"/>
          </w:tcPr>
          <w:p>
            <w:pPr>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管理内容</w:t>
            </w:r>
          </w:p>
        </w:tc>
        <w:tc>
          <w:tcPr>
            <w:tcW w:w="3326" w:type="pct"/>
            <w:vAlign w:val="center"/>
          </w:tcPr>
          <w:p>
            <w:pPr>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管理措施</w:t>
            </w:r>
          </w:p>
        </w:tc>
        <w:tc>
          <w:tcPr>
            <w:tcW w:w="777" w:type="pct"/>
            <w:vAlign w:val="center"/>
          </w:tcPr>
          <w:p>
            <w:pPr>
              <w:spacing w:line="52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执行效果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exac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sz w:val="24"/>
              </w:rPr>
              <w:t>节电管理</w:t>
            </w:r>
          </w:p>
        </w:tc>
        <w:tc>
          <w:tcPr>
            <w:tcW w:w="3326"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 w:eastAsia="仿宋_GB2312"/>
                <w:sz w:val="24"/>
              </w:rPr>
            </w:pPr>
            <w:r>
              <w:rPr>
                <w:rFonts w:hint="eastAsia" w:ascii="仿宋_GB2312" w:hAnsi="仿宋" w:eastAsia="仿宋_GB2312" w:cstheme="minorBidi"/>
                <w:kern w:val="2"/>
                <w:sz w:val="24"/>
                <w:szCs w:val="24"/>
                <w:lang w:val="en-US" w:eastAsia="zh-CN" w:bidi="ar-SA"/>
              </w:rPr>
              <w:t>加强对照明设备、空调、办公室设备等电器设备的运行管理，要求全体员工根据实际内外部环境条件按需启用相关设施，做到人离断电、合理控温、科学使用。同时持续推进老旧设备更新换代工作，优先采购能效等级较高的节能型办公设备，积极推广应用节电技术和产品。</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cstheme="minorBidi"/>
                <w:kern w:val="2"/>
                <w:sz w:val="24"/>
                <w:szCs w:val="24"/>
                <w:lang w:val="en-US" w:eastAsia="zh-CN" w:bidi="ar-SA"/>
              </w:rPr>
              <w:t>有效提升能源利用效率，实现用电环节的集约化管理。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exac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sz w:val="24"/>
              </w:rPr>
              <w:t>节水管理</w:t>
            </w:r>
          </w:p>
        </w:tc>
        <w:tc>
          <w:tcPr>
            <w:tcW w:w="3326"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 w:eastAsia="仿宋_GB2312"/>
                <w:sz w:val="24"/>
              </w:rPr>
            </w:pPr>
            <w:r>
              <w:rPr>
                <w:rFonts w:hint="eastAsia" w:ascii="仿宋_GB2312" w:hAnsi="仿宋" w:eastAsia="仿宋_GB2312" w:cstheme="minorBidi"/>
                <w:kern w:val="2"/>
                <w:sz w:val="24"/>
                <w:szCs w:val="24"/>
                <w:lang w:val="en-US" w:eastAsia="zh-CN" w:bidi="ar-SA"/>
              </w:rPr>
              <w:t>在日常运营管理中，进一步规范水龙头、饮用水系统及各类用水设备的使用流程，明确水资源节约责任分工，强化对用水行为的监督与引导。面向全行员工开展节水宣传教育，倡导按需取水、杜绝跑冒滴漏现象，切实落实合理用水要求。</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cstheme="minorBidi"/>
                <w:kern w:val="2"/>
                <w:sz w:val="24"/>
                <w:szCs w:val="24"/>
                <w:lang w:val="en-US" w:eastAsia="zh-CN" w:bidi="ar-SA"/>
              </w:rPr>
              <w:t>推动水资源使用更加精细化，显著减少非必要性水资源消耗。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exac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sz w:val="24"/>
              </w:rPr>
              <w:t>节材管理</w:t>
            </w:r>
          </w:p>
        </w:tc>
        <w:tc>
          <w:tcPr>
            <w:tcW w:w="3326"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 w:eastAsia="仿宋_GB2312"/>
                <w:sz w:val="24"/>
              </w:rPr>
            </w:pPr>
            <w:r>
              <w:rPr>
                <w:rFonts w:hint="eastAsia" w:ascii="仿宋_GB2312" w:hAnsi="仿宋" w:eastAsia="仿宋_GB2312" w:cstheme="minorBidi"/>
                <w:kern w:val="2"/>
                <w:sz w:val="24"/>
                <w:szCs w:val="24"/>
                <w:lang w:val="en-US" w:eastAsia="zh-CN" w:bidi="ar-SA"/>
              </w:rPr>
              <w:t>积极响应国家关于垃圾分类和可回收资源再利用的政策导向，全面推进绿色办公建设。大力推广无纸化办公模式，在公文流转、会议管理、档案存储等环节优先采用电子化方式处理。加强对纸张使用的统筹规划，倡导双面打印、非正式文件复用纸张等节约行为，降低一次性耗材使用频率。</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cstheme="minorBidi"/>
                <w:kern w:val="2"/>
                <w:sz w:val="24"/>
                <w:szCs w:val="24"/>
                <w:lang w:val="en-US" w:eastAsia="zh-CN" w:bidi="ar-SA"/>
              </w:rPr>
              <w:t>持续提高低值易耗品的使用效率和循环利用率。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exac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sz w:val="24"/>
              </w:rPr>
              <w:t>节油管理</w:t>
            </w:r>
          </w:p>
        </w:tc>
        <w:tc>
          <w:tcPr>
            <w:tcW w:w="3326"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 w:eastAsia="仿宋_GB2312"/>
                <w:sz w:val="24"/>
              </w:rPr>
            </w:pPr>
            <w:r>
              <w:rPr>
                <w:rFonts w:hint="eastAsia" w:ascii="仿宋_GB2312" w:hAnsi="仿宋" w:eastAsia="仿宋_GB2312" w:cstheme="minorBidi"/>
                <w:kern w:val="2"/>
                <w:sz w:val="24"/>
                <w:szCs w:val="24"/>
                <w:lang w:val="en-US" w:eastAsia="zh-CN" w:bidi="ar-SA"/>
              </w:rPr>
              <w:t>严格按照国家有关车辆管理和燃油使用的法规制度执行公务用车调度与油耗控制，健全车辆使用登记与燃油消耗台账管理体系。加强驾驶员安全节能驾驶培训，优化行车路线安排，减少无效出车频次。同时深入开展绿色出行宣传教育，鼓励员工优先选择公共交通、骑行或步行等方式通勤，减少私车依赖。</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cstheme="minorBidi"/>
                <w:kern w:val="2"/>
                <w:sz w:val="24"/>
                <w:szCs w:val="24"/>
                <w:lang w:val="en-US" w:eastAsia="zh-CN" w:bidi="ar-SA"/>
              </w:rPr>
              <w:t>有效提升交通领域的节能减排成效。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exact"/>
          <w:jc w:val="center"/>
        </w:trPr>
        <w:tc>
          <w:tcPr>
            <w:tcW w:w="895"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sz w:val="24"/>
              </w:rPr>
              <w:t>节粮管理</w:t>
            </w:r>
          </w:p>
        </w:tc>
        <w:tc>
          <w:tcPr>
            <w:tcW w:w="3326"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仿宋_GB2312" w:hAnsi="仿宋" w:eastAsia="仿宋_GB2312"/>
                <w:sz w:val="24"/>
              </w:rPr>
            </w:pPr>
            <w:r>
              <w:rPr>
                <w:rFonts w:hint="eastAsia" w:ascii="仿宋_GB2312" w:hAnsi="仿宋" w:eastAsia="仿宋_GB2312" w:cstheme="minorBidi"/>
                <w:kern w:val="2"/>
                <w:sz w:val="24"/>
                <w:szCs w:val="24"/>
                <w:lang w:val="en-US" w:eastAsia="zh-CN" w:bidi="ar-SA"/>
              </w:rPr>
              <w:t>持续开展“光盘行动”专项宣传引导，鼓励员工在食堂就餐及日常餐饮消费中践行文明用餐理念，树牢节约粮食意识。通过张贴提示标识、发布倡议书等形式弘扬勤俭节约风气，推动形成反对浪费、崇尚节俭的良好氛围。</w:t>
            </w:r>
          </w:p>
        </w:tc>
        <w:tc>
          <w:tcPr>
            <w:tcW w:w="777"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 w:eastAsia="仿宋_GB2312"/>
                <w:sz w:val="24"/>
              </w:rPr>
            </w:pPr>
            <w:r>
              <w:rPr>
                <w:rFonts w:hint="eastAsia" w:ascii="仿宋_GB2312" w:hAnsi="仿宋" w:eastAsia="仿宋_GB2312" w:cstheme="minorBidi"/>
                <w:kern w:val="2"/>
                <w:sz w:val="24"/>
                <w:szCs w:val="24"/>
                <w:lang w:val="en-US" w:eastAsia="zh-CN" w:bidi="ar-SA"/>
              </w:rPr>
              <w:t>全面增强员工节约意识和环保责任感</w:t>
            </w:r>
            <w:r>
              <w:rPr>
                <w:rFonts w:hint="eastAsia" w:ascii="仿宋_GB2312" w:hAnsi="仿宋" w:eastAsia="仿宋_GB2312"/>
                <w:sz w:val="24"/>
              </w:rPr>
              <w:t>。</w:t>
            </w:r>
          </w:p>
        </w:tc>
      </w:tr>
    </w:tbl>
    <w:p>
      <w:pPr>
        <w:keepNext w:val="0"/>
        <w:keepLines w:val="0"/>
        <w:pageBreakBefore w:val="0"/>
        <w:widowControl w:val="0"/>
        <w:kinsoku/>
        <w:wordWrap/>
        <w:overflowPunct/>
        <w:topLinePunct w:val="0"/>
        <w:autoSpaceDE/>
        <w:autoSpaceDN/>
        <w:bidi w:val="0"/>
        <w:adjustRightInd/>
        <w:snapToGrid/>
        <w:spacing w:line="480" w:lineRule="auto"/>
        <w:ind w:left="420" w:leftChars="200"/>
        <w:jc w:val="center"/>
        <w:textAlignment w:val="auto"/>
        <w:rPr>
          <w:rFonts w:hint="eastAsia" w:ascii="黑体" w:hAnsi="黑体" w:eastAsia="黑体" w:cs="黑体"/>
          <w:b w:val="0"/>
          <w:bCs w:val="0"/>
          <w:color w:val="auto"/>
          <w:kern w:val="0"/>
          <w:sz w:val="28"/>
          <w:szCs w:val="28"/>
          <w:u w:color="000000"/>
          <w:lang w:val="zh-TW" w:eastAsia="zh-CN" w:bidi="ar-SA"/>
        </w:rPr>
      </w:pPr>
      <w:r>
        <w:rPr>
          <w:rFonts w:hint="eastAsia" w:ascii="黑体" w:hAnsi="黑体" w:eastAsia="黑体" w:cs="黑体"/>
          <w:b w:val="0"/>
          <w:bCs w:val="0"/>
          <w:color w:val="auto"/>
          <w:kern w:val="0"/>
          <w:sz w:val="28"/>
          <w:szCs w:val="28"/>
          <w:u w:color="000000"/>
          <w:lang w:val="zh-TW" w:eastAsia="zh-CN" w:bidi="ar-SA"/>
        </w:rPr>
        <w:t>表4：环保活动开展情况</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1493"/>
        <w:gridCol w:w="1561"/>
        <w:gridCol w:w="1387"/>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5" w:type="pct"/>
          </w:tcPr>
          <w:p>
            <w:pPr>
              <w:spacing w:line="3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活动主题</w:t>
            </w:r>
          </w:p>
        </w:tc>
        <w:tc>
          <w:tcPr>
            <w:tcW w:w="876" w:type="pct"/>
          </w:tcPr>
          <w:p>
            <w:pPr>
              <w:spacing w:line="3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活动形式</w:t>
            </w:r>
          </w:p>
        </w:tc>
        <w:tc>
          <w:tcPr>
            <w:tcW w:w="916" w:type="pct"/>
          </w:tcPr>
          <w:p>
            <w:pPr>
              <w:spacing w:line="3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参与人数</w:t>
            </w:r>
          </w:p>
        </w:tc>
        <w:tc>
          <w:tcPr>
            <w:tcW w:w="814" w:type="pct"/>
          </w:tcPr>
          <w:p>
            <w:pPr>
              <w:spacing w:line="3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举办次数</w:t>
            </w:r>
          </w:p>
        </w:tc>
        <w:tc>
          <w:tcPr>
            <w:tcW w:w="1507" w:type="pct"/>
          </w:tcPr>
          <w:p>
            <w:pPr>
              <w:spacing w:line="360" w:lineRule="exact"/>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exact"/>
          <w:jc w:val="center"/>
        </w:trPr>
        <w:tc>
          <w:tcPr>
            <w:tcW w:w="885"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植树节活动</w:t>
            </w:r>
          </w:p>
        </w:tc>
        <w:tc>
          <w:tcPr>
            <w:tcW w:w="876"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现场</w:t>
            </w:r>
          </w:p>
        </w:tc>
        <w:tc>
          <w:tcPr>
            <w:tcW w:w="916" w:type="pct"/>
            <w:vAlign w:val="center"/>
          </w:tcPr>
          <w:p>
            <w:pPr>
              <w:spacing w:line="360" w:lineRule="exact"/>
              <w:jc w:val="center"/>
              <w:rPr>
                <w:rFonts w:hint="default"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15</w:t>
            </w:r>
          </w:p>
        </w:tc>
        <w:tc>
          <w:tcPr>
            <w:tcW w:w="814"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1</w:t>
            </w:r>
          </w:p>
        </w:tc>
        <w:tc>
          <w:tcPr>
            <w:tcW w:w="1507"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通过植树活动认识到生态保护的重要性，推动绿色理念传播。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exact"/>
          <w:jc w:val="center"/>
        </w:trPr>
        <w:tc>
          <w:tcPr>
            <w:tcW w:w="885"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绿色知识宣传活动</w:t>
            </w:r>
          </w:p>
        </w:tc>
        <w:tc>
          <w:tcPr>
            <w:tcW w:w="876"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现场</w:t>
            </w:r>
          </w:p>
        </w:tc>
        <w:tc>
          <w:tcPr>
            <w:tcW w:w="916" w:type="pct"/>
            <w:vAlign w:val="center"/>
          </w:tcPr>
          <w:p>
            <w:pPr>
              <w:spacing w:line="360" w:lineRule="exact"/>
              <w:jc w:val="center"/>
              <w:rPr>
                <w:rFonts w:hint="default" w:ascii="仿宋_GB2312" w:hAnsi="仿宋" w:eastAsia="仿宋_GB2312"/>
                <w:sz w:val="24"/>
                <w:highlight w:val="none"/>
                <w:lang w:val="en-US" w:eastAsia="zh-CN"/>
              </w:rPr>
            </w:pPr>
            <w:r>
              <w:rPr>
                <w:rFonts w:hint="eastAsia" w:ascii="仿宋_GB2312" w:hAnsi="仿宋" w:eastAsia="仿宋_GB2312"/>
                <w:sz w:val="24"/>
                <w:highlight w:val="none"/>
                <w:lang w:val="en-US" w:eastAsia="zh-CN"/>
              </w:rPr>
              <w:t>300</w:t>
            </w:r>
          </w:p>
        </w:tc>
        <w:tc>
          <w:tcPr>
            <w:tcW w:w="814"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3</w:t>
            </w:r>
          </w:p>
        </w:tc>
        <w:tc>
          <w:tcPr>
            <w:tcW w:w="1507" w:type="pct"/>
            <w:vAlign w:val="center"/>
          </w:tcPr>
          <w:p>
            <w:pPr>
              <w:spacing w:line="360" w:lineRule="exact"/>
              <w:jc w:val="center"/>
              <w:rPr>
                <w:rFonts w:ascii="仿宋_GB2312" w:hAnsi="仿宋" w:eastAsia="仿宋_GB2312"/>
                <w:sz w:val="24"/>
                <w:highlight w:val="none"/>
              </w:rPr>
            </w:pPr>
            <w:r>
              <w:rPr>
                <w:rFonts w:hint="eastAsia" w:ascii="仿宋_GB2312" w:hAnsi="仿宋" w:eastAsia="仿宋_GB2312"/>
                <w:sz w:val="24"/>
                <w:highlight w:val="none"/>
              </w:rPr>
              <w:t>通过宣传绿色金融知识，提高群众绿色低碳生活观念。</w:t>
            </w:r>
          </w:p>
        </w:tc>
      </w:tr>
    </w:tbl>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firstLine="640" w:firstLineChars="200"/>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投融资活动对气候与环境的影响</w:t>
      </w:r>
    </w:p>
    <w:p>
      <w:pPr>
        <w:spacing w:line="520" w:lineRule="exact"/>
        <w:ind w:firstLine="640" w:firstLineChars="200"/>
        <w:rPr>
          <w:rFonts w:hint="eastAsia" w:ascii="仿宋" w:hAnsi="仿宋" w:eastAsia="仿宋" w:cs="仿宋"/>
          <w:b/>
          <w:bCs/>
          <w:color w:val="auto"/>
          <w:sz w:val="30"/>
          <w:szCs w:val="30"/>
        </w:rPr>
      </w:pPr>
      <w:r>
        <w:rPr>
          <w:rFonts w:hint="eastAsia" w:ascii="仿宋_GB2312" w:hAnsi="仿宋_GB2312" w:eastAsia="仿宋_GB2312" w:cs="仿宋_GB2312"/>
          <w:sz w:val="32"/>
          <w:szCs w:val="32"/>
        </w:rPr>
        <w:t>自2024年起，本社在顶层设计、产品体系、管理配套与运营优化等核心领域加速推进布局，持续优化各项制度机制的构建，大力拓展业务规模并提升客户数量，同时显著增加绿色金融贷款的占比。</w:t>
      </w:r>
      <w:r>
        <w:rPr>
          <w:rFonts w:hint="eastAsia" w:ascii="仿宋_GB2312" w:hAnsi="仿宋_GB2312" w:eastAsia="仿宋_GB2312" w:cs="仿宋_GB2312"/>
          <w:sz w:val="32"/>
          <w:szCs w:val="32"/>
          <w:highlight w:val="none"/>
        </w:rPr>
        <w:t>截至2024年末，本社绿色信贷余额达127</w:t>
      </w:r>
      <w:r>
        <w:rPr>
          <w:rFonts w:hint="eastAsia" w:ascii="仿宋_GB2312" w:hAnsi="仿宋_GB2312" w:eastAsia="仿宋_GB2312" w:cs="仿宋_GB2312"/>
          <w:sz w:val="32"/>
          <w:szCs w:val="32"/>
          <w:highlight w:val="none"/>
          <w:lang w:val="en-US" w:eastAsia="zh-CN"/>
        </w:rPr>
        <w:t>83.62</w:t>
      </w:r>
      <w:r>
        <w:rPr>
          <w:rFonts w:hint="eastAsia" w:ascii="仿宋_GB2312" w:hAnsi="仿宋_GB2312" w:eastAsia="仿宋_GB2312" w:cs="仿宋_GB2312"/>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480" w:lineRule="auto"/>
        <w:ind w:left="420" w:leftChars="200"/>
        <w:jc w:val="center"/>
        <w:textAlignment w:val="auto"/>
        <w:rPr>
          <w:rFonts w:hint="eastAsia" w:ascii="黑体" w:hAnsi="黑体" w:eastAsia="黑体" w:cs="黑体"/>
          <w:b w:val="0"/>
          <w:bCs w:val="0"/>
          <w:color w:val="auto"/>
          <w:kern w:val="0"/>
          <w:sz w:val="28"/>
          <w:szCs w:val="28"/>
          <w:u w:color="000000"/>
          <w:lang w:val="zh-TW" w:eastAsia="zh-CN" w:bidi="ar-SA"/>
        </w:rPr>
      </w:pPr>
      <w:r>
        <w:rPr>
          <w:rFonts w:hint="eastAsia" w:ascii="黑体" w:hAnsi="黑体" w:eastAsia="黑体" w:cs="黑体"/>
          <w:b w:val="0"/>
          <w:bCs w:val="0"/>
          <w:color w:val="auto"/>
          <w:kern w:val="0"/>
          <w:sz w:val="28"/>
          <w:szCs w:val="28"/>
          <w:u w:color="000000"/>
          <w:lang w:val="zh-TW" w:eastAsia="zh-CN" w:bidi="ar-SA"/>
        </w:rPr>
        <w:t>表5：投融资活动对气候与环境的影响（银行业金融机构参考）</w:t>
      </w:r>
    </w:p>
    <w:tbl>
      <w:tblPr>
        <w:tblStyle w:val="9"/>
        <w:tblW w:w="5004"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2662"/>
        <w:gridCol w:w="3113"/>
        <w:gridCol w:w="1612"/>
        <w:gridCol w:w="936"/>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0" w:hRule="exact"/>
        </w:trPr>
        <w:tc>
          <w:tcPr>
            <w:tcW w:w="1598" w:type="pct"/>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color w:val="auto"/>
                <w:sz w:val="28"/>
                <w:szCs w:val="28"/>
                <w:highlight w:val="none"/>
              </w:rPr>
            </w:pPr>
            <w:bookmarkStart w:id="0" w:name="RANGE!A1"/>
            <w:r>
              <w:rPr>
                <w:rFonts w:hint="eastAsia" w:ascii="仿宋_GB2312" w:hAnsi="仿宋_GB2312" w:eastAsia="仿宋_GB2312" w:cs="仿宋_GB2312"/>
                <w:b/>
                <w:bCs/>
                <w:color w:val="auto"/>
                <w:sz w:val="28"/>
                <w:szCs w:val="28"/>
                <w:highlight w:val="none"/>
                <w:lang w:eastAsia="zh-TW"/>
              </w:rPr>
              <w:t>指标名称</w:t>
            </w:r>
            <w:bookmarkEnd w:id="0"/>
          </w:p>
        </w:tc>
        <w:tc>
          <w:tcPr>
            <w:tcW w:w="1869" w:type="pct"/>
            <w:tcBorders>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eastAsia="zh-TW"/>
              </w:rPr>
              <w:t>披露细项</w:t>
            </w:r>
          </w:p>
        </w:tc>
        <w:tc>
          <w:tcPr>
            <w:tcW w:w="968" w:type="pct"/>
            <w:tcBorders>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披露数据</w:t>
            </w:r>
          </w:p>
        </w:tc>
        <w:tc>
          <w:tcPr>
            <w:tcW w:w="562" w:type="pct"/>
            <w:tcBorders>
              <w:left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lang w:eastAsia="zh-TW"/>
              </w:rPr>
              <w:t>备注</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0" w:hRule="exact"/>
        </w:trPr>
        <w:tc>
          <w:tcPr>
            <w:tcW w:w="1598" w:type="pct"/>
            <w:vMerge w:val="restart"/>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绿色</w:t>
            </w:r>
            <w:r>
              <w:rPr>
                <w:rFonts w:hint="eastAsia" w:ascii="仿宋_GB2312" w:hAnsi="仿宋_GB2312" w:eastAsia="仿宋_GB2312" w:cs="仿宋_GB2312"/>
                <w:color w:val="auto"/>
                <w:sz w:val="28"/>
                <w:szCs w:val="28"/>
                <w:highlight w:val="none"/>
              </w:rPr>
              <w:t>贷款</w:t>
            </w:r>
            <w:r>
              <w:rPr>
                <w:rFonts w:hint="eastAsia" w:ascii="仿宋_GB2312" w:hAnsi="仿宋_GB2312" w:eastAsia="仿宋_GB2312" w:cs="仿宋_GB2312"/>
                <w:color w:val="auto"/>
                <w:sz w:val="28"/>
                <w:szCs w:val="28"/>
                <w:highlight w:val="none"/>
                <w:lang w:eastAsia="zh-TW"/>
              </w:rPr>
              <w:t>余额及占比</w:t>
            </w:r>
          </w:p>
        </w:tc>
        <w:tc>
          <w:tcPr>
            <w:tcW w:w="186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绿色</w:t>
            </w:r>
            <w:r>
              <w:rPr>
                <w:rFonts w:hint="eastAsia" w:ascii="仿宋_GB2312" w:hAnsi="仿宋_GB2312" w:eastAsia="仿宋_GB2312" w:cs="仿宋_GB2312"/>
                <w:color w:val="auto"/>
                <w:sz w:val="28"/>
                <w:szCs w:val="28"/>
                <w:highlight w:val="none"/>
              </w:rPr>
              <w:t>贷款</w:t>
            </w:r>
            <w:r>
              <w:rPr>
                <w:rFonts w:hint="eastAsia" w:ascii="仿宋_GB2312" w:hAnsi="仿宋_GB2312" w:eastAsia="仿宋_GB2312" w:cs="仿宋_GB2312"/>
                <w:color w:val="auto"/>
                <w:sz w:val="28"/>
                <w:szCs w:val="28"/>
                <w:highlight w:val="none"/>
                <w:lang w:eastAsia="zh-TW"/>
              </w:rPr>
              <w:t>余额（万元）</w:t>
            </w:r>
          </w:p>
        </w:tc>
        <w:tc>
          <w:tcPr>
            <w:tcW w:w="968"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12783.62</w:t>
            </w:r>
          </w:p>
        </w:tc>
        <w:tc>
          <w:tcPr>
            <w:tcW w:w="562" w:type="pct"/>
            <w:tcBorders>
              <w:top w:val="nil"/>
              <w:left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0" w:hRule="exact"/>
        </w:trPr>
        <w:tc>
          <w:tcPr>
            <w:tcW w:w="1598" w:type="pct"/>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8"/>
                <w:szCs w:val="28"/>
                <w:highlight w:val="none"/>
              </w:rPr>
            </w:pPr>
          </w:p>
        </w:tc>
        <w:tc>
          <w:tcPr>
            <w:tcW w:w="186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各项贷款余额（万元）</w:t>
            </w:r>
          </w:p>
        </w:tc>
        <w:tc>
          <w:tcPr>
            <w:tcW w:w="968"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261526.41</w:t>
            </w:r>
          </w:p>
        </w:tc>
        <w:tc>
          <w:tcPr>
            <w:tcW w:w="562" w:type="pct"/>
            <w:tcBorders>
              <w:top w:val="nil"/>
              <w:left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10" w:hRule="exact"/>
        </w:trPr>
        <w:tc>
          <w:tcPr>
            <w:tcW w:w="1598" w:type="pct"/>
            <w:vMerge w:val="continue"/>
            <w:tcBorders>
              <w:top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8"/>
                <w:szCs w:val="28"/>
                <w:highlight w:val="none"/>
              </w:rPr>
            </w:pPr>
          </w:p>
        </w:tc>
        <w:tc>
          <w:tcPr>
            <w:tcW w:w="186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TW"/>
              </w:rPr>
              <w:t>绿色</w:t>
            </w:r>
            <w:r>
              <w:rPr>
                <w:rFonts w:hint="eastAsia" w:ascii="仿宋_GB2312" w:hAnsi="仿宋_GB2312" w:eastAsia="仿宋_GB2312" w:cs="仿宋_GB2312"/>
                <w:color w:val="auto"/>
                <w:sz w:val="28"/>
                <w:szCs w:val="28"/>
                <w:highlight w:val="none"/>
              </w:rPr>
              <w:t>贷款</w:t>
            </w:r>
            <w:r>
              <w:rPr>
                <w:rFonts w:hint="eastAsia" w:ascii="仿宋_GB2312" w:hAnsi="仿宋_GB2312" w:eastAsia="仿宋_GB2312" w:cs="仿宋_GB2312"/>
                <w:color w:val="auto"/>
                <w:sz w:val="28"/>
                <w:szCs w:val="28"/>
                <w:highlight w:val="none"/>
                <w:lang w:eastAsia="zh-TW"/>
              </w:rPr>
              <w:t>占比（</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TW"/>
              </w:rPr>
              <w:t>）</w:t>
            </w:r>
          </w:p>
        </w:tc>
        <w:tc>
          <w:tcPr>
            <w:tcW w:w="968" w:type="pct"/>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4.89</w:t>
            </w:r>
          </w:p>
        </w:tc>
        <w:tc>
          <w:tcPr>
            <w:tcW w:w="562" w:type="pct"/>
            <w:tcBorders>
              <w:top w:val="nil"/>
              <w:left w:val="nil"/>
              <w:bottom w:val="single" w:color="auto" w:sz="4" w:space="0"/>
            </w:tcBorders>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b/>
                <w:bCs/>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05" w:hRule="exact"/>
        </w:trPr>
        <w:tc>
          <w:tcPr>
            <w:tcW w:w="1598" w:type="pct"/>
            <w:tcBorders>
              <w:top w:val="nil"/>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8"/>
                <w:szCs w:val="28"/>
                <w:highlight w:val="none"/>
                <w:lang w:eastAsia="zh-TW"/>
              </w:rPr>
            </w:pPr>
            <w:r>
              <w:rPr>
                <w:rFonts w:hint="eastAsia" w:ascii="仿宋_GB2312" w:hAnsi="仿宋_GB2312" w:eastAsia="仿宋_GB2312" w:cs="仿宋_GB2312"/>
                <w:color w:val="auto"/>
                <w:sz w:val="28"/>
                <w:szCs w:val="28"/>
                <w:highlight w:val="none"/>
              </w:rPr>
              <w:t>持有绿色债券余额及</w:t>
            </w:r>
            <w:r>
              <w:rPr>
                <w:rFonts w:hint="eastAsia" w:ascii="仿宋_GB2312" w:hAnsi="仿宋_GB2312" w:eastAsia="仿宋_GB2312" w:cs="仿宋_GB2312"/>
                <w:color w:val="auto"/>
                <w:sz w:val="28"/>
                <w:szCs w:val="28"/>
                <w:highlight w:val="none"/>
                <w:lang w:eastAsia="zh-TW"/>
              </w:rPr>
              <w:t>折合减排情况</w:t>
            </w:r>
          </w:p>
        </w:tc>
        <w:tc>
          <w:tcPr>
            <w:tcW w:w="1869" w:type="pc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持有</w:t>
            </w:r>
            <w:r>
              <w:rPr>
                <w:rFonts w:hint="eastAsia" w:ascii="仿宋_GB2312" w:hAnsi="仿宋_GB2312" w:eastAsia="仿宋_GB2312" w:cs="仿宋_GB2312"/>
                <w:color w:val="auto"/>
                <w:sz w:val="28"/>
                <w:szCs w:val="28"/>
                <w:highlight w:val="none"/>
                <w:lang w:eastAsia="zh-TW"/>
              </w:rPr>
              <w:t>绿色</w:t>
            </w:r>
            <w:r>
              <w:rPr>
                <w:rFonts w:hint="eastAsia" w:ascii="仿宋_GB2312" w:hAnsi="仿宋_GB2312" w:eastAsia="仿宋_GB2312" w:cs="仿宋_GB2312"/>
                <w:color w:val="auto"/>
                <w:sz w:val="28"/>
                <w:szCs w:val="28"/>
                <w:highlight w:val="none"/>
              </w:rPr>
              <w:t>债券</w:t>
            </w:r>
            <w:r>
              <w:rPr>
                <w:rFonts w:hint="eastAsia" w:ascii="仿宋_GB2312" w:hAnsi="仿宋_GB2312" w:eastAsia="仿宋_GB2312" w:cs="仿宋_GB2312"/>
                <w:color w:val="auto"/>
                <w:sz w:val="28"/>
                <w:szCs w:val="28"/>
                <w:highlight w:val="none"/>
                <w:lang w:eastAsia="zh-TW"/>
              </w:rPr>
              <w:t>余额（万元）</w:t>
            </w:r>
          </w:p>
        </w:tc>
        <w:tc>
          <w:tcPr>
            <w:tcW w:w="968" w:type="pc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1000</w:t>
            </w:r>
          </w:p>
        </w:tc>
        <w:tc>
          <w:tcPr>
            <w:tcW w:w="562" w:type="pct"/>
            <w:tcBorders>
              <w:top w:val="nil"/>
              <w:left w:val="nil"/>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_GB2312" w:hAnsi="仿宋_GB2312" w:eastAsia="仿宋_GB2312" w:cs="仿宋_GB2312"/>
                <w:color w:val="auto"/>
                <w:sz w:val="28"/>
                <w:szCs w:val="28"/>
                <w:highlight w:val="none"/>
              </w:rPr>
            </w:pPr>
          </w:p>
        </w:tc>
      </w:tr>
    </w:tbl>
    <w:p>
      <w:pPr>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zh-TW" w:eastAsia="zh-CN"/>
        </w:rPr>
        <w:t>八</w:t>
      </w:r>
      <w:r>
        <w:rPr>
          <w:rFonts w:hint="eastAsia" w:ascii="黑体" w:hAnsi="黑体" w:eastAsia="黑体" w:cs="黑体"/>
          <w:b w:val="0"/>
          <w:bCs/>
          <w:color w:val="auto"/>
          <w:sz w:val="32"/>
          <w:szCs w:val="32"/>
          <w:lang w:val="zh-TW"/>
        </w:rPr>
        <w:t>、未来展望</w:t>
      </w:r>
    </w:p>
    <w:p>
      <w:p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（一）锚定战略定位，强化绿色发展引领。</w:t>
      </w:r>
      <w:r>
        <w:rPr>
          <w:rFonts w:hint="eastAsia" w:ascii="仿宋_GB2312" w:hAnsi="仿宋_GB2312" w:eastAsia="仿宋_GB2312" w:cs="仿宋_GB2312"/>
          <w:sz w:val="32"/>
          <w:szCs w:val="32"/>
          <w:lang w:val="en-US" w:eastAsia="zh-CN"/>
        </w:rPr>
        <w:t>将绿色发展理念全面融入本社中长期发展规划中，明确制定绿色金融目标及考核指标体系，持续优化完善，确保绿色业务规模稳步增长与发展质量不断提升。</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（二）聚焦产业创新，激活绿色经济动能。</w:t>
      </w:r>
      <w:r>
        <w:rPr>
          <w:rFonts w:hint="eastAsia" w:ascii="仿宋_GB2312" w:hAnsi="仿宋_GB2312" w:eastAsia="仿宋_GB2312" w:cs="仿宋_GB2312"/>
          <w:sz w:val="32"/>
          <w:szCs w:val="32"/>
          <w:lang w:val="en-US" w:eastAsia="zh-CN"/>
        </w:rPr>
        <w:t>加大对绿色科技企业的金融扶持力度，针对新能源、节能环保、生态修复等新兴技术与产业，提供专业化、定制化的金融服务。积极与科技企业、科研机构合作，共同构建绿色科技金融服务平台，为绿色创新项目提供涵盖融资、咨询、孵化的全方位支持。</w:t>
      </w:r>
    </w:p>
    <w:p>
      <w:pPr>
        <w:spacing w:line="520" w:lineRule="exact"/>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（三）建强人才队伍，夯实绿色金融支撑。</w:t>
      </w:r>
      <w:r>
        <w:rPr>
          <w:rFonts w:hint="eastAsia" w:ascii="仿宋_GB2312" w:hAnsi="仿宋_GB2312" w:eastAsia="仿宋_GB2312" w:cs="仿宋_GB2312"/>
          <w:sz w:val="32"/>
          <w:szCs w:val="32"/>
          <w:lang w:val="en-US" w:eastAsia="zh-CN"/>
        </w:rPr>
        <w:t>强化绿色金融专业人才的培养与引进，着力打造高素质、专业化的团队。组织开展绿色金融专题培训，提升员工绿色金融理论水平与实践能力。积极引进环境科学、气候变化、金融工程等复合背景人才，为绿色金融发展提供坚实人才基础。</w:t>
      </w:r>
    </w:p>
    <w:p>
      <w:pPr>
        <w:spacing w:line="520" w:lineRule="exact"/>
        <w:ind w:firstLine="640" w:firstLineChars="200"/>
        <w:rPr>
          <w:rFonts w:hint="eastAsia" w:ascii="仿宋_GB2312" w:hAnsi="仿宋_GB2312" w:eastAsia="仿宋_GB2312" w:cs="仿宋_GB2312"/>
          <w:sz w:val="32"/>
          <w:szCs w:val="32"/>
        </w:rPr>
      </w:pPr>
      <w:r>
        <w:rPr>
          <w:rFonts w:hint="eastAsia" w:ascii="楷体" w:hAnsi="楷体" w:eastAsia="楷体" w:cs="楷体"/>
          <w:sz w:val="32"/>
          <w:szCs w:val="32"/>
          <w:lang w:val="en-US" w:eastAsia="zh-CN"/>
        </w:rPr>
        <w:t>（四）深化理念传播，凝聚绿色发展共识。</w:t>
      </w:r>
      <w:r>
        <w:rPr>
          <w:rFonts w:hint="eastAsia" w:ascii="仿宋_GB2312" w:hAnsi="仿宋_GB2312" w:eastAsia="仿宋_GB2312" w:cs="仿宋_GB2312"/>
          <w:sz w:val="32"/>
          <w:szCs w:val="32"/>
          <w:lang w:val="en-US" w:eastAsia="zh-CN"/>
        </w:rPr>
        <w:t>深入开展绿色金融宣传教育活动，向企业与公众普及绿色金融知识及理念，提升全社会绿色金融意识与接受度。通过举办绿色金融研讨会、培训交流等形式，加强与政府部门、企业单位、社会组织的协作，共同推动绿色金融事业健康有序发展。</w:t>
      </w:r>
    </w:p>
    <w:sectPr>
      <w:headerReference r:id="rId3" w:type="default"/>
      <w:footerReference r:id="rId4" w:type="default"/>
      <w:pgSz w:w="11906" w:h="16838"/>
      <w:pgMar w:top="1440" w:right="1800" w:bottom="1440" w:left="1800" w:header="851" w:footer="992" w:gutter="0"/>
      <w:pgNumType w:fmt="decimal"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pStyle w:val="5"/>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r>
                      <w:rPr>
                        <w:rFonts w:hint="eastAsia" w:ascii="宋体" w:hAnsi="宋体" w:cs="宋体"/>
                        <w:sz w:val="28"/>
                        <w:szCs w:val="28"/>
                        <w:lang w:eastAsia="zh-CN"/>
                      </w:rPr>
                      <w:t>－</w:t>
                    </w:r>
                  </w:p>
                  <w:p>
                    <w:pPr>
                      <w:pStyle w:val="5"/>
                      <w:rPr>
                        <w:rFonts w:hint="eastAsia" w:eastAsiaTheme="minor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340" w:firstLine="0"/>
      </w:pPr>
      <w:rPr>
        <w:rFonts w:hint="eastAsia" w:ascii="黑体" w:hAnsi="Times New Roman" w:eastAsia="黑体" w:cs="Times New Roman"/>
        <w:b w:val="0"/>
        <w:bCs w:val="0"/>
        <w:i w:val="0"/>
        <w:iCs w:val="0"/>
        <w:caps w:val="0"/>
        <w:strike w:val="0"/>
        <w:dstrike w:val="0"/>
        <w:spacing w:val="0"/>
        <w:kern w:val="0"/>
        <w:position w:val="0"/>
        <w:sz w:val="21"/>
        <w:szCs w:val="21"/>
        <w:u w:val="none"/>
      </w:rPr>
    </w:lvl>
    <w:lvl w:ilvl="2" w:tentative="0">
      <w:start w:val="1"/>
      <w:numFmt w:val="decimal"/>
      <w:pStyle w:val="12"/>
      <w:suff w:val="nothing"/>
      <w:lvlText w:val="%1.%2.%3　"/>
      <w:lvlJc w:val="left"/>
      <w:pPr>
        <w:ind w:left="3828" w:firstLine="0"/>
      </w:pPr>
      <w:rPr>
        <w:rFonts w:hint="eastAsia" w:ascii="黑体" w:hAnsi="Times New Roman" w:eastAsia="黑体"/>
        <w:b w:val="0"/>
        <w:i w:val="0"/>
        <w:sz w:val="21"/>
        <w:lang w:eastAsia="zh-TW"/>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82AF4"/>
    <w:rsid w:val="00116005"/>
    <w:rsid w:val="002037BB"/>
    <w:rsid w:val="0034732F"/>
    <w:rsid w:val="00432674"/>
    <w:rsid w:val="00471A94"/>
    <w:rsid w:val="005D4766"/>
    <w:rsid w:val="00757174"/>
    <w:rsid w:val="00783FB7"/>
    <w:rsid w:val="00865121"/>
    <w:rsid w:val="0087507D"/>
    <w:rsid w:val="009961D5"/>
    <w:rsid w:val="00A367D2"/>
    <w:rsid w:val="00A504F6"/>
    <w:rsid w:val="00AE5DE8"/>
    <w:rsid w:val="00BC2ED2"/>
    <w:rsid w:val="00BF5E13"/>
    <w:rsid w:val="00C12C1E"/>
    <w:rsid w:val="00C22D07"/>
    <w:rsid w:val="00C30CFD"/>
    <w:rsid w:val="00E07603"/>
    <w:rsid w:val="00F15228"/>
    <w:rsid w:val="00F61F36"/>
    <w:rsid w:val="01065755"/>
    <w:rsid w:val="010C09C3"/>
    <w:rsid w:val="01106553"/>
    <w:rsid w:val="0115373B"/>
    <w:rsid w:val="011F0595"/>
    <w:rsid w:val="012A3F5D"/>
    <w:rsid w:val="01325F03"/>
    <w:rsid w:val="01482486"/>
    <w:rsid w:val="01546386"/>
    <w:rsid w:val="0155658E"/>
    <w:rsid w:val="015C7D61"/>
    <w:rsid w:val="015E4CCD"/>
    <w:rsid w:val="0166041C"/>
    <w:rsid w:val="0170535F"/>
    <w:rsid w:val="01711CDA"/>
    <w:rsid w:val="017D165F"/>
    <w:rsid w:val="01884911"/>
    <w:rsid w:val="019617FB"/>
    <w:rsid w:val="019903A0"/>
    <w:rsid w:val="01A12429"/>
    <w:rsid w:val="01AC18DB"/>
    <w:rsid w:val="01B74B6F"/>
    <w:rsid w:val="01BC16B5"/>
    <w:rsid w:val="01C54465"/>
    <w:rsid w:val="01C661FD"/>
    <w:rsid w:val="01C96CB9"/>
    <w:rsid w:val="01CD001F"/>
    <w:rsid w:val="01D103D2"/>
    <w:rsid w:val="01D2457F"/>
    <w:rsid w:val="01D40A74"/>
    <w:rsid w:val="01D947E7"/>
    <w:rsid w:val="020B37E7"/>
    <w:rsid w:val="02136CF3"/>
    <w:rsid w:val="02176641"/>
    <w:rsid w:val="02194D69"/>
    <w:rsid w:val="02335579"/>
    <w:rsid w:val="023C0BD3"/>
    <w:rsid w:val="023C575F"/>
    <w:rsid w:val="024C5314"/>
    <w:rsid w:val="02580F6A"/>
    <w:rsid w:val="026639A1"/>
    <w:rsid w:val="027C1F65"/>
    <w:rsid w:val="02A317D1"/>
    <w:rsid w:val="02A52421"/>
    <w:rsid w:val="02CD7F1E"/>
    <w:rsid w:val="02DD43CC"/>
    <w:rsid w:val="02E73FF2"/>
    <w:rsid w:val="02EA7A71"/>
    <w:rsid w:val="02F91A37"/>
    <w:rsid w:val="02FC7A59"/>
    <w:rsid w:val="031C5C73"/>
    <w:rsid w:val="03221F39"/>
    <w:rsid w:val="03430C07"/>
    <w:rsid w:val="034664DC"/>
    <w:rsid w:val="037318E8"/>
    <w:rsid w:val="038A7608"/>
    <w:rsid w:val="038E63F5"/>
    <w:rsid w:val="039166A3"/>
    <w:rsid w:val="039A5B42"/>
    <w:rsid w:val="03A02602"/>
    <w:rsid w:val="03A23EDC"/>
    <w:rsid w:val="03AD3C87"/>
    <w:rsid w:val="03B6008F"/>
    <w:rsid w:val="03CD2621"/>
    <w:rsid w:val="03D15FC6"/>
    <w:rsid w:val="03D40838"/>
    <w:rsid w:val="03D80013"/>
    <w:rsid w:val="03D962AE"/>
    <w:rsid w:val="03F20C4F"/>
    <w:rsid w:val="03F41A8B"/>
    <w:rsid w:val="040A4799"/>
    <w:rsid w:val="0411437A"/>
    <w:rsid w:val="04187BC9"/>
    <w:rsid w:val="041C79AD"/>
    <w:rsid w:val="042539D0"/>
    <w:rsid w:val="042D25CD"/>
    <w:rsid w:val="04396FE0"/>
    <w:rsid w:val="044E6C0B"/>
    <w:rsid w:val="04501676"/>
    <w:rsid w:val="04531D07"/>
    <w:rsid w:val="045A257F"/>
    <w:rsid w:val="046131C7"/>
    <w:rsid w:val="04686D66"/>
    <w:rsid w:val="046A1327"/>
    <w:rsid w:val="046F1AE3"/>
    <w:rsid w:val="04716471"/>
    <w:rsid w:val="04826753"/>
    <w:rsid w:val="04967C46"/>
    <w:rsid w:val="04994346"/>
    <w:rsid w:val="04A73313"/>
    <w:rsid w:val="04AA3543"/>
    <w:rsid w:val="04AB2541"/>
    <w:rsid w:val="04AC3AF7"/>
    <w:rsid w:val="04B533DA"/>
    <w:rsid w:val="04B7521B"/>
    <w:rsid w:val="04BE720B"/>
    <w:rsid w:val="04D20158"/>
    <w:rsid w:val="04E409AA"/>
    <w:rsid w:val="04E91F60"/>
    <w:rsid w:val="04F162C6"/>
    <w:rsid w:val="04F8680D"/>
    <w:rsid w:val="05085C9E"/>
    <w:rsid w:val="0519323B"/>
    <w:rsid w:val="052A0CC4"/>
    <w:rsid w:val="052A7C30"/>
    <w:rsid w:val="05484F3D"/>
    <w:rsid w:val="0548703F"/>
    <w:rsid w:val="054D4522"/>
    <w:rsid w:val="05581581"/>
    <w:rsid w:val="055C686A"/>
    <w:rsid w:val="05635946"/>
    <w:rsid w:val="05656C9F"/>
    <w:rsid w:val="05744854"/>
    <w:rsid w:val="05746700"/>
    <w:rsid w:val="05815E82"/>
    <w:rsid w:val="05900440"/>
    <w:rsid w:val="05981F69"/>
    <w:rsid w:val="05A12C8D"/>
    <w:rsid w:val="05B059AD"/>
    <w:rsid w:val="05B80C5D"/>
    <w:rsid w:val="05C22C53"/>
    <w:rsid w:val="05D46462"/>
    <w:rsid w:val="05D52EB8"/>
    <w:rsid w:val="05F31EC9"/>
    <w:rsid w:val="05F44D6B"/>
    <w:rsid w:val="05F574ED"/>
    <w:rsid w:val="05FB68CB"/>
    <w:rsid w:val="06163ED5"/>
    <w:rsid w:val="061708FE"/>
    <w:rsid w:val="061A5B0D"/>
    <w:rsid w:val="062441FE"/>
    <w:rsid w:val="062620F2"/>
    <w:rsid w:val="062C604B"/>
    <w:rsid w:val="063670E4"/>
    <w:rsid w:val="063B11B5"/>
    <w:rsid w:val="0641621D"/>
    <w:rsid w:val="064E57CA"/>
    <w:rsid w:val="06512EC9"/>
    <w:rsid w:val="065B244C"/>
    <w:rsid w:val="065C6AC9"/>
    <w:rsid w:val="06897E47"/>
    <w:rsid w:val="06B47573"/>
    <w:rsid w:val="06BC2E36"/>
    <w:rsid w:val="06BE7240"/>
    <w:rsid w:val="06FB4ACB"/>
    <w:rsid w:val="07035853"/>
    <w:rsid w:val="071E2109"/>
    <w:rsid w:val="071E7ED1"/>
    <w:rsid w:val="071F06AF"/>
    <w:rsid w:val="071F6CFF"/>
    <w:rsid w:val="07314EF4"/>
    <w:rsid w:val="07341683"/>
    <w:rsid w:val="073D74BF"/>
    <w:rsid w:val="07421105"/>
    <w:rsid w:val="07690946"/>
    <w:rsid w:val="077646BE"/>
    <w:rsid w:val="079F419C"/>
    <w:rsid w:val="07A11C35"/>
    <w:rsid w:val="07AE0E1A"/>
    <w:rsid w:val="07B54BC7"/>
    <w:rsid w:val="07B66E19"/>
    <w:rsid w:val="07B71966"/>
    <w:rsid w:val="07CF06EF"/>
    <w:rsid w:val="07E17D06"/>
    <w:rsid w:val="0804348C"/>
    <w:rsid w:val="080C3054"/>
    <w:rsid w:val="080F7A19"/>
    <w:rsid w:val="080F7FEA"/>
    <w:rsid w:val="081F27D0"/>
    <w:rsid w:val="0820496F"/>
    <w:rsid w:val="08233BBA"/>
    <w:rsid w:val="083D5A4C"/>
    <w:rsid w:val="087A4FC9"/>
    <w:rsid w:val="088F7887"/>
    <w:rsid w:val="08904471"/>
    <w:rsid w:val="08907FC0"/>
    <w:rsid w:val="089975B8"/>
    <w:rsid w:val="08AC55C7"/>
    <w:rsid w:val="08AE56D6"/>
    <w:rsid w:val="08C07416"/>
    <w:rsid w:val="08C07E2D"/>
    <w:rsid w:val="08CC363B"/>
    <w:rsid w:val="08CD3B31"/>
    <w:rsid w:val="08CE595C"/>
    <w:rsid w:val="090C767D"/>
    <w:rsid w:val="090F473B"/>
    <w:rsid w:val="09154A56"/>
    <w:rsid w:val="092377CF"/>
    <w:rsid w:val="092A6563"/>
    <w:rsid w:val="092F581F"/>
    <w:rsid w:val="093C1B24"/>
    <w:rsid w:val="0942672E"/>
    <w:rsid w:val="096614FB"/>
    <w:rsid w:val="09731664"/>
    <w:rsid w:val="097C606B"/>
    <w:rsid w:val="098E5CEC"/>
    <w:rsid w:val="099B6880"/>
    <w:rsid w:val="099B73D6"/>
    <w:rsid w:val="09A91C5B"/>
    <w:rsid w:val="09B50CF3"/>
    <w:rsid w:val="09B96A4E"/>
    <w:rsid w:val="09CA6354"/>
    <w:rsid w:val="09CB60C9"/>
    <w:rsid w:val="0A064812"/>
    <w:rsid w:val="0A092BE7"/>
    <w:rsid w:val="0A131979"/>
    <w:rsid w:val="0A151444"/>
    <w:rsid w:val="0A182F7E"/>
    <w:rsid w:val="0A20151F"/>
    <w:rsid w:val="0A327E9F"/>
    <w:rsid w:val="0A406AD0"/>
    <w:rsid w:val="0A563214"/>
    <w:rsid w:val="0A6432A6"/>
    <w:rsid w:val="0A6572F3"/>
    <w:rsid w:val="0A707B77"/>
    <w:rsid w:val="0A775BF9"/>
    <w:rsid w:val="0A882BE7"/>
    <w:rsid w:val="0A91152B"/>
    <w:rsid w:val="0AA25782"/>
    <w:rsid w:val="0AA47063"/>
    <w:rsid w:val="0AAA0638"/>
    <w:rsid w:val="0AAA1684"/>
    <w:rsid w:val="0ABA780B"/>
    <w:rsid w:val="0ABB338F"/>
    <w:rsid w:val="0AC56994"/>
    <w:rsid w:val="0AC64F1E"/>
    <w:rsid w:val="0AE17B3A"/>
    <w:rsid w:val="0AE43B54"/>
    <w:rsid w:val="0AE97643"/>
    <w:rsid w:val="0AF07E17"/>
    <w:rsid w:val="0AFA6716"/>
    <w:rsid w:val="0AFB5911"/>
    <w:rsid w:val="0B0A3F9C"/>
    <w:rsid w:val="0B135D23"/>
    <w:rsid w:val="0B1937B0"/>
    <w:rsid w:val="0B2A227D"/>
    <w:rsid w:val="0B305476"/>
    <w:rsid w:val="0B31200E"/>
    <w:rsid w:val="0B380F39"/>
    <w:rsid w:val="0B544B83"/>
    <w:rsid w:val="0B5F1515"/>
    <w:rsid w:val="0B727FF3"/>
    <w:rsid w:val="0B7C3B76"/>
    <w:rsid w:val="0B9F4700"/>
    <w:rsid w:val="0BC539A9"/>
    <w:rsid w:val="0BFA18B6"/>
    <w:rsid w:val="0C187398"/>
    <w:rsid w:val="0C1A3206"/>
    <w:rsid w:val="0C1D6282"/>
    <w:rsid w:val="0C264AE0"/>
    <w:rsid w:val="0C404654"/>
    <w:rsid w:val="0C4268B5"/>
    <w:rsid w:val="0C4639FF"/>
    <w:rsid w:val="0C4B62CC"/>
    <w:rsid w:val="0C52015E"/>
    <w:rsid w:val="0C543921"/>
    <w:rsid w:val="0C744D5D"/>
    <w:rsid w:val="0C8F5CB4"/>
    <w:rsid w:val="0C984773"/>
    <w:rsid w:val="0CA01B5B"/>
    <w:rsid w:val="0CB10DB8"/>
    <w:rsid w:val="0CB21F82"/>
    <w:rsid w:val="0CB7033B"/>
    <w:rsid w:val="0CD33C30"/>
    <w:rsid w:val="0CE40C34"/>
    <w:rsid w:val="0CEE7354"/>
    <w:rsid w:val="0CFA68C8"/>
    <w:rsid w:val="0D00359A"/>
    <w:rsid w:val="0D017DC2"/>
    <w:rsid w:val="0D087DFB"/>
    <w:rsid w:val="0D0C0FC5"/>
    <w:rsid w:val="0D147A35"/>
    <w:rsid w:val="0D1B0DD4"/>
    <w:rsid w:val="0D297A10"/>
    <w:rsid w:val="0D331432"/>
    <w:rsid w:val="0D3B6B2E"/>
    <w:rsid w:val="0D3D1675"/>
    <w:rsid w:val="0D46759E"/>
    <w:rsid w:val="0D4E69C0"/>
    <w:rsid w:val="0D527259"/>
    <w:rsid w:val="0D597884"/>
    <w:rsid w:val="0D624307"/>
    <w:rsid w:val="0D646703"/>
    <w:rsid w:val="0D697480"/>
    <w:rsid w:val="0D6A10DC"/>
    <w:rsid w:val="0D885240"/>
    <w:rsid w:val="0D991B74"/>
    <w:rsid w:val="0DA2545A"/>
    <w:rsid w:val="0DA63278"/>
    <w:rsid w:val="0DA97B74"/>
    <w:rsid w:val="0DBA4C81"/>
    <w:rsid w:val="0DC52DC2"/>
    <w:rsid w:val="0DC9189A"/>
    <w:rsid w:val="0DCA21FC"/>
    <w:rsid w:val="0DD203B5"/>
    <w:rsid w:val="0DDF4E84"/>
    <w:rsid w:val="0DE5136F"/>
    <w:rsid w:val="0DED157F"/>
    <w:rsid w:val="0E286F79"/>
    <w:rsid w:val="0E2D19F4"/>
    <w:rsid w:val="0E362DEA"/>
    <w:rsid w:val="0E386CDB"/>
    <w:rsid w:val="0E4A3F0F"/>
    <w:rsid w:val="0E525DB1"/>
    <w:rsid w:val="0E551FAA"/>
    <w:rsid w:val="0E680EDD"/>
    <w:rsid w:val="0E782451"/>
    <w:rsid w:val="0E9344A7"/>
    <w:rsid w:val="0E992079"/>
    <w:rsid w:val="0EAB0C13"/>
    <w:rsid w:val="0EBE7BAA"/>
    <w:rsid w:val="0EC62DE1"/>
    <w:rsid w:val="0ED55AF5"/>
    <w:rsid w:val="0EE67D62"/>
    <w:rsid w:val="0EE928FC"/>
    <w:rsid w:val="0EF006DB"/>
    <w:rsid w:val="0EF105BD"/>
    <w:rsid w:val="0EF10800"/>
    <w:rsid w:val="0F047474"/>
    <w:rsid w:val="0F063049"/>
    <w:rsid w:val="0F0B13BE"/>
    <w:rsid w:val="0F172017"/>
    <w:rsid w:val="0F283B0C"/>
    <w:rsid w:val="0F3D2CB3"/>
    <w:rsid w:val="0F414C13"/>
    <w:rsid w:val="0F420BF8"/>
    <w:rsid w:val="0F424788"/>
    <w:rsid w:val="0F480D97"/>
    <w:rsid w:val="0F486D6A"/>
    <w:rsid w:val="0F5D119A"/>
    <w:rsid w:val="0F63641C"/>
    <w:rsid w:val="0F670614"/>
    <w:rsid w:val="0F6C1994"/>
    <w:rsid w:val="0F732383"/>
    <w:rsid w:val="0F8E036E"/>
    <w:rsid w:val="0F9D36BB"/>
    <w:rsid w:val="0F9F4EE7"/>
    <w:rsid w:val="0FB21652"/>
    <w:rsid w:val="0FB36630"/>
    <w:rsid w:val="0FB756F3"/>
    <w:rsid w:val="0FC2086C"/>
    <w:rsid w:val="0FC75D0C"/>
    <w:rsid w:val="0FCA1219"/>
    <w:rsid w:val="0FD80320"/>
    <w:rsid w:val="0FFF2606"/>
    <w:rsid w:val="100D2702"/>
    <w:rsid w:val="10153EC8"/>
    <w:rsid w:val="101F0197"/>
    <w:rsid w:val="101F3B9C"/>
    <w:rsid w:val="1021475F"/>
    <w:rsid w:val="1029269B"/>
    <w:rsid w:val="1041216C"/>
    <w:rsid w:val="104345CB"/>
    <w:rsid w:val="104A76AC"/>
    <w:rsid w:val="105231C9"/>
    <w:rsid w:val="1054684B"/>
    <w:rsid w:val="105A74FA"/>
    <w:rsid w:val="10891437"/>
    <w:rsid w:val="108C3DC2"/>
    <w:rsid w:val="10957F92"/>
    <w:rsid w:val="1098122D"/>
    <w:rsid w:val="109D2ACA"/>
    <w:rsid w:val="10A435D8"/>
    <w:rsid w:val="10B24ED9"/>
    <w:rsid w:val="10CE68F5"/>
    <w:rsid w:val="10F35B76"/>
    <w:rsid w:val="10FE619E"/>
    <w:rsid w:val="110D1ECC"/>
    <w:rsid w:val="110D28F1"/>
    <w:rsid w:val="11210EF8"/>
    <w:rsid w:val="11244500"/>
    <w:rsid w:val="11275B05"/>
    <w:rsid w:val="113C14BF"/>
    <w:rsid w:val="114630F2"/>
    <w:rsid w:val="11486DFB"/>
    <w:rsid w:val="114A6608"/>
    <w:rsid w:val="116D457B"/>
    <w:rsid w:val="116E6DF1"/>
    <w:rsid w:val="116F406E"/>
    <w:rsid w:val="118351F4"/>
    <w:rsid w:val="118E62DF"/>
    <w:rsid w:val="119A1218"/>
    <w:rsid w:val="119E4D52"/>
    <w:rsid w:val="11A2589B"/>
    <w:rsid w:val="11A3134C"/>
    <w:rsid w:val="11A928EF"/>
    <w:rsid w:val="11AE1530"/>
    <w:rsid w:val="11B346EF"/>
    <w:rsid w:val="11D20B58"/>
    <w:rsid w:val="11D503E0"/>
    <w:rsid w:val="11E56FC1"/>
    <w:rsid w:val="11ED4501"/>
    <w:rsid w:val="11FD6745"/>
    <w:rsid w:val="120B24E3"/>
    <w:rsid w:val="121F704E"/>
    <w:rsid w:val="122B20B5"/>
    <w:rsid w:val="12585909"/>
    <w:rsid w:val="126301F0"/>
    <w:rsid w:val="127E3C6D"/>
    <w:rsid w:val="1284036F"/>
    <w:rsid w:val="128E25CE"/>
    <w:rsid w:val="12A4073F"/>
    <w:rsid w:val="12B223FF"/>
    <w:rsid w:val="12BB4142"/>
    <w:rsid w:val="12C4120F"/>
    <w:rsid w:val="12D43090"/>
    <w:rsid w:val="12F657F2"/>
    <w:rsid w:val="12FE3C27"/>
    <w:rsid w:val="131077F3"/>
    <w:rsid w:val="13151D8F"/>
    <w:rsid w:val="13265C36"/>
    <w:rsid w:val="132D10C1"/>
    <w:rsid w:val="133A2010"/>
    <w:rsid w:val="134166C2"/>
    <w:rsid w:val="134F66D9"/>
    <w:rsid w:val="1361069A"/>
    <w:rsid w:val="136276EE"/>
    <w:rsid w:val="137B66D0"/>
    <w:rsid w:val="13883368"/>
    <w:rsid w:val="138873AC"/>
    <w:rsid w:val="138E44E2"/>
    <w:rsid w:val="13B811E2"/>
    <w:rsid w:val="13C80AE3"/>
    <w:rsid w:val="13CE5358"/>
    <w:rsid w:val="13DF0544"/>
    <w:rsid w:val="13DF7204"/>
    <w:rsid w:val="13FB12A3"/>
    <w:rsid w:val="140078E0"/>
    <w:rsid w:val="14085F83"/>
    <w:rsid w:val="143956AF"/>
    <w:rsid w:val="14417113"/>
    <w:rsid w:val="1460335C"/>
    <w:rsid w:val="14606AF5"/>
    <w:rsid w:val="146C4AD1"/>
    <w:rsid w:val="1472048E"/>
    <w:rsid w:val="14802997"/>
    <w:rsid w:val="149C4192"/>
    <w:rsid w:val="14A16124"/>
    <w:rsid w:val="14AB45A5"/>
    <w:rsid w:val="14BB0202"/>
    <w:rsid w:val="14C96B41"/>
    <w:rsid w:val="14D04DB0"/>
    <w:rsid w:val="14D92BDB"/>
    <w:rsid w:val="14EF2620"/>
    <w:rsid w:val="14F63B57"/>
    <w:rsid w:val="14FD70E6"/>
    <w:rsid w:val="1508600E"/>
    <w:rsid w:val="1512701C"/>
    <w:rsid w:val="15155722"/>
    <w:rsid w:val="15214823"/>
    <w:rsid w:val="152458C5"/>
    <w:rsid w:val="15367886"/>
    <w:rsid w:val="153C70CF"/>
    <w:rsid w:val="155B77E1"/>
    <w:rsid w:val="15626847"/>
    <w:rsid w:val="156437E8"/>
    <w:rsid w:val="1568404A"/>
    <w:rsid w:val="15756DB5"/>
    <w:rsid w:val="157C0C5B"/>
    <w:rsid w:val="158F537F"/>
    <w:rsid w:val="15915604"/>
    <w:rsid w:val="15985DA7"/>
    <w:rsid w:val="15AE29E0"/>
    <w:rsid w:val="15AF428F"/>
    <w:rsid w:val="15B206C1"/>
    <w:rsid w:val="15BE7B31"/>
    <w:rsid w:val="15C20855"/>
    <w:rsid w:val="15C611C4"/>
    <w:rsid w:val="15CA2581"/>
    <w:rsid w:val="15D61711"/>
    <w:rsid w:val="15E76147"/>
    <w:rsid w:val="15EC5EEC"/>
    <w:rsid w:val="15FA1FE6"/>
    <w:rsid w:val="15FC1904"/>
    <w:rsid w:val="15FD0FD3"/>
    <w:rsid w:val="16155AD6"/>
    <w:rsid w:val="16313757"/>
    <w:rsid w:val="16465890"/>
    <w:rsid w:val="16512540"/>
    <w:rsid w:val="16532EED"/>
    <w:rsid w:val="165B6A1B"/>
    <w:rsid w:val="165C7328"/>
    <w:rsid w:val="166D12AC"/>
    <w:rsid w:val="16793DC7"/>
    <w:rsid w:val="167978AA"/>
    <w:rsid w:val="167A5CBA"/>
    <w:rsid w:val="16A33FD9"/>
    <w:rsid w:val="16A649EB"/>
    <w:rsid w:val="16B03BCA"/>
    <w:rsid w:val="16BA1A88"/>
    <w:rsid w:val="16C14002"/>
    <w:rsid w:val="16C5357F"/>
    <w:rsid w:val="16C767D9"/>
    <w:rsid w:val="16DD2671"/>
    <w:rsid w:val="16E31CDF"/>
    <w:rsid w:val="16E8229B"/>
    <w:rsid w:val="16F158DA"/>
    <w:rsid w:val="16F877A3"/>
    <w:rsid w:val="16FB0186"/>
    <w:rsid w:val="17097FA0"/>
    <w:rsid w:val="17100CDF"/>
    <w:rsid w:val="171D1CB8"/>
    <w:rsid w:val="17216C66"/>
    <w:rsid w:val="172175A1"/>
    <w:rsid w:val="17231819"/>
    <w:rsid w:val="172C3F0B"/>
    <w:rsid w:val="173A6B51"/>
    <w:rsid w:val="173E4CE9"/>
    <w:rsid w:val="173E6B72"/>
    <w:rsid w:val="17402C7D"/>
    <w:rsid w:val="1740305E"/>
    <w:rsid w:val="17447B01"/>
    <w:rsid w:val="174C0CFC"/>
    <w:rsid w:val="174E3D63"/>
    <w:rsid w:val="1756437F"/>
    <w:rsid w:val="177B5804"/>
    <w:rsid w:val="178D783D"/>
    <w:rsid w:val="179F0E12"/>
    <w:rsid w:val="17AB2BA1"/>
    <w:rsid w:val="17B027FE"/>
    <w:rsid w:val="17BA3805"/>
    <w:rsid w:val="17BF5E3D"/>
    <w:rsid w:val="17C535ED"/>
    <w:rsid w:val="17E54F1C"/>
    <w:rsid w:val="17F2030C"/>
    <w:rsid w:val="17F85EC3"/>
    <w:rsid w:val="17F8714F"/>
    <w:rsid w:val="18254305"/>
    <w:rsid w:val="183901E6"/>
    <w:rsid w:val="184A1221"/>
    <w:rsid w:val="184A1FAC"/>
    <w:rsid w:val="185572ED"/>
    <w:rsid w:val="18670C49"/>
    <w:rsid w:val="186F3664"/>
    <w:rsid w:val="18737B72"/>
    <w:rsid w:val="18887A36"/>
    <w:rsid w:val="188C6FEB"/>
    <w:rsid w:val="189D6FBE"/>
    <w:rsid w:val="189E7CA0"/>
    <w:rsid w:val="18A6109D"/>
    <w:rsid w:val="18AE0BAD"/>
    <w:rsid w:val="18CB2B0F"/>
    <w:rsid w:val="18CD6C00"/>
    <w:rsid w:val="18D77030"/>
    <w:rsid w:val="18DF50BF"/>
    <w:rsid w:val="18DF76C3"/>
    <w:rsid w:val="18F74DD9"/>
    <w:rsid w:val="190004D5"/>
    <w:rsid w:val="1902154A"/>
    <w:rsid w:val="190D7722"/>
    <w:rsid w:val="19251607"/>
    <w:rsid w:val="19277623"/>
    <w:rsid w:val="19295F7A"/>
    <w:rsid w:val="19324C0A"/>
    <w:rsid w:val="194C4E24"/>
    <w:rsid w:val="195C68A1"/>
    <w:rsid w:val="196627C7"/>
    <w:rsid w:val="19697A8B"/>
    <w:rsid w:val="1977314F"/>
    <w:rsid w:val="199C3940"/>
    <w:rsid w:val="19B2409F"/>
    <w:rsid w:val="19C37A90"/>
    <w:rsid w:val="19CC29DF"/>
    <w:rsid w:val="19D1038F"/>
    <w:rsid w:val="19E3737A"/>
    <w:rsid w:val="19EB33E9"/>
    <w:rsid w:val="19F153A9"/>
    <w:rsid w:val="19FD7610"/>
    <w:rsid w:val="1A083D99"/>
    <w:rsid w:val="1A1E2F3B"/>
    <w:rsid w:val="1A262B94"/>
    <w:rsid w:val="1A2827C9"/>
    <w:rsid w:val="1A3908AB"/>
    <w:rsid w:val="1A393222"/>
    <w:rsid w:val="1A4E4FBA"/>
    <w:rsid w:val="1A4E6DF4"/>
    <w:rsid w:val="1A7074C7"/>
    <w:rsid w:val="1A7D7774"/>
    <w:rsid w:val="1A7E0DA3"/>
    <w:rsid w:val="1AAD166A"/>
    <w:rsid w:val="1ABA1D04"/>
    <w:rsid w:val="1ACE4A80"/>
    <w:rsid w:val="1AD5642A"/>
    <w:rsid w:val="1ADE0138"/>
    <w:rsid w:val="1AFC06C3"/>
    <w:rsid w:val="1AFD3A06"/>
    <w:rsid w:val="1B085462"/>
    <w:rsid w:val="1B0B3A8E"/>
    <w:rsid w:val="1B273CA8"/>
    <w:rsid w:val="1B4E075E"/>
    <w:rsid w:val="1B4E5EAF"/>
    <w:rsid w:val="1B6D4806"/>
    <w:rsid w:val="1B6E6FCA"/>
    <w:rsid w:val="1B7D7675"/>
    <w:rsid w:val="1B7F43B3"/>
    <w:rsid w:val="1B8205F4"/>
    <w:rsid w:val="1B866E7D"/>
    <w:rsid w:val="1B9F1F5B"/>
    <w:rsid w:val="1BAE146B"/>
    <w:rsid w:val="1BB10AB3"/>
    <w:rsid w:val="1BBB4451"/>
    <w:rsid w:val="1BBC1860"/>
    <w:rsid w:val="1BD058CE"/>
    <w:rsid w:val="1BE60128"/>
    <w:rsid w:val="1BFD51A8"/>
    <w:rsid w:val="1C060425"/>
    <w:rsid w:val="1C377F17"/>
    <w:rsid w:val="1C390E07"/>
    <w:rsid w:val="1C487A81"/>
    <w:rsid w:val="1C4E01D9"/>
    <w:rsid w:val="1C57006C"/>
    <w:rsid w:val="1C6A3A9F"/>
    <w:rsid w:val="1C743928"/>
    <w:rsid w:val="1C774243"/>
    <w:rsid w:val="1C8E11EA"/>
    <w:rsid w:val="1C8F5E48"/>
    <w:rsid w:val="1C8F7F46"/>
    <w:rsid w:val="1C9913CC"/>
    <w:rsid w:val="1CA02511"/>
    <w:rsid w:val="1CA612F6"/>
    <w:rsid w:val="1CA65669"/>
    <w:rsid w:val="1CAE6BCE"/>
    <w:rsid w:val="1CC026E5"/>
    <w:rsid w:val="1CCB2CAD"/>
    <w:rsid w:val="1CD236E1"/>
    <w:rsid w:val="1CE359D9"/>
    <w:rsid w:val="1CE7657F"/>
    <w:rsid w:val="1CE769AE"/>
    <w:rsid w:val="1CEC3F41"/>
    <w:rsid w:val="1D031CC8"/>
    <w:rsid w:val="1D720295"/>
    <w:rsid w:val="1D7E7DD8"/>
    <w:rsid w:val="1D84656A"/>
    <w:rsid w:val="1DA65640"/>
    <w:rsid w:val="1DBC49F9"/>
    <w:rsid w:val="1DCF691B"/>
    <w:rsid w:val="1DE10B4E"/>
    <w:rsid w:val="1DE4114E"/>
    <w:rsid w:val="1DEA6ABD"/>
    <w:rsid w:val="1E1169D7"/>
    <w:rsid w:val="1E134BE1"/>
    <w:rsid w:val="1E26515C"/>
    <w:rsid w:val="1E2746CE"/>
    <w:rsid w:val="1E3E5F94"/>
    <w:rsid w:val="1E4A00A6"/>
    <w:rsid w:val="1E4F334D"/>
    <w:rsid w:val="1E5147D0"/>
    <w:rsid w:val="1E583BE4"/>
    <w:rsid w:val="1E58495B"/>
    <w:rsid w:val="1E684179"/>
    <w:rsid w:val="1E6E5A98"/>
    <w:rsid w:val="1E742D70"/>
    <w:rsid w:val="1E7B74F1"/>
    <w:rsid w:val="1EA97E0D"/>
    <w:rsid w:val="1EBF6CA2"/>
    <w:rsid w:val="1EC87D1D"/>
    <w:rsid w:val="1ECC1383"/>
    <w:rsid w:val="1EE01DE8"/>
    <w:rsid w:val="1EED7778"/>
    <w:rsid w:val="1EF248B8"/>
    <w:rsid w:val="1EF51F12"/>
    <w:rsid w:val="1EF55112"/>
    <w:rsid w:val="1EF82C5B"/>
    <w:rsid w:val="1F023BAE"/>
    <w:rsid w:val="1F1F0C86"/>
    <w:rsid w:val="1F273DDC"/>
    <w:rsid w:val="1F296657"/>
    <w:rsid w:val="1F297F1C"/>
    <w:rsid w:val="1F444EAF"/>
    <w:rsid w:val="1F525D0C"/>
    <w:rsid w:val="1F5A2C50"/>
    <w:rsid w:val="1F740B35"/>
    <w:rsid w:val="1F7748B5"/>
    <w:rsid w:val="1F7B7286"/>
    <w:rsid w:val="1F9E3BF2"/>
    <w:rsid w:val="1FA81046"/>
    <w:rsid w:val="1FAF5172"/>
    <w:rsid w:val="1FB24E9D"/>
    <w:rsid w:val="1FB653F7"/>
    <w:rsid w:val="1FCE30A3"/>
    <w:rsid w:val="1FD81A05"/>
    <w:rsid w:val="1FE42087"/>
    <w:rsid w:val="1FF16708"/>
    <w:rsid w:val="1FF613E6"/>
    <w:rsid w:val="1FFF0655"/>
    <w:rsid w:val="200C6B50"/>
    <w:rsid w:val="20153118"/>
    <w:rsid w:val="201D32FA"/>
    <w:rsid w:val="202C0240"/>
    <w:rsid w:val="202C2FAE"/>
    <w:rsid w:val="203D12B0"/>
    <w:rsid w:val="203D64D6"/>
    <w:rsid w:val="203E462D"/>
    <w:rsid w:val="204071A8"/>
    <w:rsid w:val="20417FC0"/>
    <w:rsid w:val="204E6068"/>
    <w:rsid w:val="205C5764"/>
    <w:rsid w:val="20771859"/>
    <w:rsid w:val="2079530F"/>
    <w:rsid w:val="207B047E"/>
    <w:rsid w:val="20856BEC"/>
    <w:rsid w:val="208A2889"/>
    <w:rsid w:val="209A2980"/>
    <w:rsid w:val="20A130FC"/>
    <w:rsid w:val="20B42146"/>
    <w:rsid w:val="20B63CB2"/>
    <w:rsid w:val="20BA2869"/>
    <w:rsid w:val="20BE34F8"/>
    <w:rsid w:val="20CA51B1"/>
    <w:rsid w:val="20CF600C"/>
    <w:rsid w:val="20E536E6"/>
    <w:rsid w:val="21050B3F"/>
    <w:rsid w:val="210A025A"/>
    <w:rsid w:val="21406631"/>
    <w:rsid w:val="2158260E"/>
    <w:rsid w:val="216655F5"/>
    <w:rsid w:val="218D6B9C"/>
    <w:rsid w:val="219C396B"/>
    <w:rsid w:val="219E2AB6"/>
    <w:rsid w:val="21B26A3D"/>
    <w:rsid w:val="21BC5442"/>
    <w:rsid w:val="21C171A9"/>
    <w:rsid w:val="21C71F20"/>
    <w:rsid w:val="21D10DEF"/>
    <w:rsid w:val="21EA2144"/>
    <w:rsid w:val="21F33E8C"/>
    <w:rsid w:val="21F3752F"/>
    <w:rsid w:val="21FC5F9D"/>
    <w:rsid w:val="22193AFB"/>
    <w:rsid w:val="222A7905"/>
    <w:rsid w:val="22345384"/>
    <w:rsid w:val="224909A5"/>
    <w:rsid w:val="22575569"/>
    <w:rsid w:val="22644035"/>
    <w:rsid w:val="226B1D22"/>
    <w:rsid w:val="2274233F"/>
    <w:rsid w:val="229A6A01"/>
    <w:rsid w:val="22A61D3D"/>
    <w:rsid w:val="22A95613"/>
    <w:rsid w:val="22AC26F6"/>
    <w:rsid w:val="22AF3F1D"/>
    <w:rsid w:val="22B91D6D"/>
    <w:rsid w:val="22D76C47"/>
    <w:rsid w:val="22E00D2E"/>
    <w:rsid w:val="22F1403B"/>
    <w:rsid w:val="22F66F00"/>
    <w:rsid w:val="23026477"/>
    <w:rsid w:val="23041B3C"/>
    <w:rsid w:val="23052E30"/>
    <w:rsid w:val="230B3F80"/>
    <w:rsid w:val="232010D9"/>
    <w:rsid w:val="23211058"/>
    <w:rsid w:val="232968A0"/>
    <w:rsid w:val="232B362D"/>
    <w:rsid w:val="233547D7"/>
    <w:rsid w:val="233550C7"/>
    <w:rsid w:val="23381291"/>
    <w:rsid w:val="233C7BEA"/>
    <w:rsid w:val="234B7BFE"/>
    <w:rsid w:val="2354731B"/>
    <w:rsid w:val="235604E4"/>
    <w:rsid w:val="23611F51"/>
    <w:rsid w:val="2362676A"/>
    <w:rsid w:val="23656FB2"/>
    <w:rsid w:val="23712AC8"/>
    <w:rsid w:val="23716002"/>
    <w:rsid w:val="238B0A34"/>
    <w:rsid w:val="238E20C7"/>
    <w:rsid w:val="239D6050"/>
    <w:rsid w:val="23A80240"/>
    <w:rsid w:val="23A87EED"/>
    <w:rsid w:val="23C75A29"/>
    <w:rsid w:val="23C86B9D"/>
    <w:rsid w:val="23CB3668"/>
    <w:rsid w:val="23E241DF"/>
    <w:rsid w:val="23EA5A65"/>
    <w:rsid w:val="23EB527B"/>
    <w:rsid w:val="23F67452"/>
    <w:rsid w:val="240631BD"/>
    <w:rsid w:val="240B414A"/>
    <w:rsid w:val="2411084C"/>
    <w:rsid w:val="24162C2F"/>
    <w:rsid w:val="24182666"/>
    <w:rsid w:val="24194A76"/>
    <w:rsid w:val="241B6D1A"/>
    <w:rsid w:val="241F012B"/>
    <w:rsid w:val="2420564C"/>
    <w:rsid w:val="24471547"/>
    <w:rsid w:val="24591CE9"/>
    <w:rsid w:val="245C54AE"/>
    <w:rsid w:val="245D2A42"/>
    <w:rsid w:val="24682422"/>
    <w:rsid w:val="24695C76"/>
    <w:rsid w:val="248E4C52"/>
    <w:rsid w:val="24912349"/>
    <w:rsid w:val="249628A3"/>
    <w:rsid w:val="249A3AD7"/>
    <w:rsid w:val="24A126C7"/>
    <w:rsid w:val="24A9125B"/>
    <w:rsid w:val="24AE2058"/>
    <w:rsid w:val="24DB4D8A"/>
    <w:rsid w:val="24E73CD0"/>
    <w:rsid w:val="24E93D31"/>
    <w:rsid w:val="24F17D22"/>
    <w:rsid w:val="24FD533E"/>
    <w:rsid w:val="24FD76FF"/>
    <w:rsid w:val="250634F3"/>
    <w:rsid w:val="251F7C85"/>
    <w:rsid w:val="252D6F58"/>
    <w:rsid w:val="253E562C"/>
    <w:rsid w:val="254A4968"/>
    <w:rsid w:val="2552045A"/>
    <w:rsid w:val="25536433"/>
    <w:rsid w:val="25577E4D"/>
    <w:rsid w:val="2558274E"/>
    <w:rsid w:val="25640486"/>
    <w:rsid w:val="25710C2D"/>
    <w:rsid w:val="257C1E57"/>
    <w:rsid w:val="25955DFC"/>
    <w:rsid w:val="25AF3F1C"/>
    <w:rsid w:val="25B73672"/>
    <w:rsid w:val="25E43E53"/>
    <w:rsid w:val="2608263C"/>
    <w:rsid w:val="26152ED8"/>
    <w:rsid w:val="262038DA"/>
    <w:rsid w:val="26295B89"/>
    <w:rsid w:val="262D71EB"/>
    <w:rsid w:val="262E18CC"/>
    <w:rsid w:val="26386107"/>
    <w:rsid w:val="26577A5E"/>
    <w:rsid w:val="26614686"/>
    <w:rsid w:val="26617E31"/>
    <w:rsid w:val="266904DB"/>
    <w:rsid w:val="26AA2057"/>
    <w:rsid w:val="26BB7B1F"/>
    <w:rsid w:val="26BE2EA2"/>
    <w:rsid w:val="26C46C33"/>
    <w:rsid w:val="26D3041E"/>
    <w:rsid w:val="26DB5457"/>
    <w:rsid w:val="26E30133"/>
    <w:rsid w:val="26F51062"/>
    <w:rsid w:val="26FC7433"/>
    <w:rsid w:val="27035BC0"/>
    <w:rsid w:val="2711667D"/>
    <w:rsid w:val="272C36F7"/>
    <w:rsid w:val="273F0027"/>
    <w:rsid w:val="274A16F4"/>
    <w:rsid w:val="275B2841"/>
    <w:rsid w:val="276C5FF1"/>
    <w:rsid w:val="277B76E5"/>
    <w:rsid w:val="27862845"/>
    <w:rsid w:val="2790393E"/>
    <w:rsid w:val="279D1216"/>
    <w:rsid w:val="27A8244D"/>
    <w:rsid w:val="27B376AD"/>
    <w:rsid w:val="27C14F7B"/>
    <w:rsid w:val="27DA5920"/>
    <w:rsid w:val="27DD20F5"/>
    <w:rsid w:val="27DE7810"/>
    <w:rsid w:val="281232F2"/>
    <w:rsid w:val="28146CD6"/>
    <w:rsid w:val="282A3B0D"/>
    <w:rsid w:val="28397CDC"/>
    <w:rsid w:val="283F6FCF"/>
    <w:rsid w:val="284A7425"/>
    <w:rsid w:val="284D1801"/>
    <w:rsid w:val="286042C2"/>
    <w:rsid w:val="28653430"/>
    <w:rsid w:val="287E2189"/>
    <w:rsid w:val="28856B5C"/>
    <w:rsid w:val="288C291F"/>
    <w:rsid w:val="288C4DC0"/>
    <w:rsid w:val="2895501C"/>
    <w:rsid w:val="28B315BF"/>
    <w:rsid w:val="28BE21FE"/>
    <w:rsid w:val="28CE1081"/>
    <w:rsid w:val="28CF1DC8"/>
    <w:rsid w:val="28D51D72"/>
    <w:rsid w:val="28D81E15"/>
    <w:rsid w:val="28D9488E"/>
    <w:rsid w:val="28DE7C94"/>
    <w:rsid w:val="28E0273C"/>
    <w:rsid w:val="28E46404"/>
    <w:rsid w:val="28E60B79"/>
    <w:rsid w:val="28EE494D"/>
    <w:rsid w:val="28F66E6F"/>
    <w:rsid w:val="29067C81"/>
    <w:rsid w:val="290E5417"/>
    <w:rsid w:val="29152345"/>
    <w:rsid w:val="29224247"/>
    <w:rsid w:val="292C7A74"/>
    <w:rsid w:val="292D776F"/>
    <w:rsid w:val="293A28D3"/>
    <w:rsid w:val="2946785B"/>
    <w:rsid w:val="294B640C"/>
    <w:rsid w:val="294E777D"/>
    <w:rsid w:val="29523E13"/>
    <w:rsid w:val="29526DB8"/>
    <w:rsid w:val="295633F7"/>
    <w:rsid w:val="29770432"/>
    <w:rsid w:val="297805BE"/>
    <w:rsid w:val="297E7A1D"/>
    <w:rsid w:val="298A3962"/>
    <w:rsid w:val="29B24654"/>
    <w:rsid w:val="29B50231"/>
    <w:rsid w:val="29B52A1C"/>
    <w:rsid w:val="29B63D07"/>
    <w:rsid w:val="29B806EE"/>
    <w:rsid w:val="29BF7DDF"/>
    <w:rsid w:val="29C21F07"/>
    <w:rsid w:val="29CA62D5"/>
    <w:rsid w:val="29D66EB4"/>
    <w:rsid w:val="29DB6E00"/>
    <w:rsid w:val="29DE02A1"/>
    <w:rsid w:val="29DF26C1"/>
    <w:rsid w:val="29F536FC"/>
    <w:rsid w:val="29F56960"/>
    <w:rsid w:val="2A077BAD"/>
    <w:rsid w:val="2A0823A1"/>
    <w:rsid w:val="2A14050B"/>
    <w:rsid w:val="2A2531DC"/>
    <w:rsid w:val="2A2F228D"/>
    <w:rsid w:val="2A3978E0"/>
    <w:rsid w:val="2A436932"/>
    <w:rsid w:val="2A4B4F6F"/>
    <w:rsid w:val="2A552A97"/>
    <w:rsid w:val="2A6137D0"/>
    <w:rsid w:val="2A663843"/>
    <w:rsid w:val="2A6F2CFB"/>
    <w:rsid w:val="2A7B6D75"/>
    <w:rsid w:val="2A7E1D8A"/>
    <w:rsid w:val="2A992470"/>
    <w:rsid w:val="2AB31341"/>
    <w:rsid w:val="2ACA58ED"/>
    <w:rsid w:val="2ACB7844"/>
    <w:rsid w:val="2AD4153E"/>
    <w:rsid w:val="2AFB3077"/>
    <w:rsid w:val="2B0A2435"/>
    <w:rsid w:val="2B1228F4"/>
    <w:rsid w:val="2B1F0109"/>
    <w:rsid w:val="2B206A31"/>
    <w:rsid w:val="2B226E08"/>
    <w:rsid w:val="2B260D2A"/>
    <w:rsid w:val="2B313BAD"/>
    <w:rsid w:val="2B3473A4"/>
    <w:rsid w:val="2B3857DC"/>
    <w:rsid w:val="2B444CC1"/>
    <w:rsid w:val="2B4C1320"/>
    <w:rsid w:val="2B5753B5"/>
    <w:rsid w:val="2B5B7BDD"/>
    <w:rsid w:val="2B5F2715"/>
    <w:rsid w:val="2B6F0AA3"/>
    <w:rsid w:val="2BA45939"/>
    <w:rsid w:val="2BA969F7"/>
    <w:rsid w:val="2BAC08BB"/>
    <w:rsid w:val="2BAF5C3B"/>
    <w:rsid w:val="2BB433EE"/>
    <w:rsid w:val="2BB96B9D"/>
    <w:rsid w:val="2BBC7D08"/>
    <w:rsid w:val="2BC77D83"/>
    <w:rsid w:val="2BDE2626"/>
    <w:rsid w:val="2BE73148"/>
    <w:rsid w:val="2BEE5C37"/>
    <w:rsid w:val="2BF45413"/>
    <w:rsid w:val="2C0C2FA7"/>
    <w:rsid w:val="2C144F41"/>
    <w:rsid w:val="2C197956"/>
    <w:rsid w:val="2C241061"/>
    <w:rsid w:val="2C685447"/>
    <w:rsid w:val="2C7C40CA"/>
    <w:rsid w:val="2C993F2E"/>
    <w:rsid w:val="2CBD3BF2"/>
    <w:rsid w:val="2CBE301F"/>
    <w:rsid w:val="2CC36FC5"/>
    <w:rsid w:val="2CC51665"/>
    <w:rsid w:val="2CCC43B5"/>
    <w:rsid w:val="2CCF55AD"/>
    <w:rsid w:val="2CD8765C"/>
    <w:rsid w:val="2CDD0CC6"/>
    <w:rsid w:val="2CDF2E17"/>
    <w:rsid w:val="2CE03EE7"/>
    <w:rsid w:val="2CF16167"/>
    <w:rsid w:val="2CFA4C96"/>
    <w:rsid w:val="2D0264D9"/>
    <w:rsid w:val="2D0A3459"/>
    <w:rsid w:val="2D2D4B3D"/>
    <w:rsid w:val="2D451E8F"/>
    <w:rsid w:val="2D4957C4"/>
    <w:rsid w:val="2D4D3E94"/>
    <w:rsid w:val="2D4E4834"/>
    <w:rsid w:val="2D525DE8"/>
    <w:rsid w:val="2D6D2438"/>
    <w:rsid w:val="2D7056EB"/>
    <w:rsid w:val="2D77137D"/>
    <w:rsid w:val="2D777D8B"/>
    <w:rsid w:val="2D7A21F3"/>
    <w:rsid w:val="2D7C0B32"/>
    <w:rsid w:val="2D882F81"/>
    <w:rsid w:val="2D940660"/>
    <w:rsid w:val="2D942DB8"/>
    <w:rsid w:val="2D986D13"/>
    <w:rsid w:val="2DB161E8"/>
    <w:rsid w:val="2DB54286"/>
    <w:rsid w:val="2DC45FC6"/>
    <w:rsid w:val="2DC64AD4"/>
    <w:rsid w:val="2DC65C85"/>
    <w:rsid w:val="2DDB2899"/>
    <w:rsid w:val="2DDC26A0"/>
    <w:rsid w:val="2DE9788F"/>
    <w:rsid w:val="2E000267"/>
    <w:rsid w:val="2E03007F"/>
    <w:rsid w:val="2E0E1F5D"/>
    <w:rsid w:val="2E185155"/>
    <w:rsid w:val="2E291A98"/>
    <w:rsid w:val="2E2D17B6"/>
    <w:rsid w:val="2E34106A"/>
    <w:rsid w:val="2E3F5841"/>
    <w:rsid w:val="2E56743D"/>
    <w:rsid w:val="2E58499B"/>
    <w:rsid w:val="2E6447B4"/>
    <w:rsid w:val="2E707DB3"/>
    <w:rsid w:val="2E7553B7"/>
    <w:rsid w:val="2E783B30"/>
    <w:rsid w:val="2E7A6209"/>
    <w:rsid w:val="2E7B0B45"/>
    <w:rsid w:val="2E7B161F"/>
    <w:rsid w:val="2E82398D"/>
    <w:rsid w:val="2E9F3010"/>
    <w:rsid w:val="2EAA1120"/>
    <w:rsid w:val="2ECF2B15"/>
    <w:rsid w:val="2EE35B44"/>
    <w:rsid w:val="2EEF5717"/>
    <w:rsid w:val="2EF953CF"/>
    <w:rsid w:val="2F004A1A"/>
    <w:rsid w:val="2F005996"/>
    <w:rsid w:val="2F017FD3"/>
    <w:rsid w:val="2F02361D"/>
    <w:rsid w:val="2F200A9C"/>
    <w:rsid w:val="2F242D0F"/>
    <w:rsid w:val="2F30397A"/>
    <w:rsid w:val="2F324309"/>
    <w:rsid w:val="2F3962A8"/>
    <w:rsid w:val="2F451C41"/>
    <w:rsid w:val="2F4D4900"/>
    <w:rsid w:val="2F4E2573"/>
    <w:rsid w:val="2F795B0C"/>
    <w:rsid w:val="2F88180E"/>
    <w:rsid w:val="2F96351C"/>
    <w:rsid w:val="2F986D88"/>
    <w:rsid w:val="2FA3646A"/>
    <w:rsid w:val="2FAA0584"/>
    <w:rsid w:val="2FBF6AEC"/>
    <w:rsid w:val="2FDE32E2"/>
    <w:rsid w:val="2FEE23F3"/>
    <w:rsid w:val="2FFA6D5B"/>
    <w:rsid w:val="2FFB57EE"/>
    <w:rsid w:val="30034812"/>
    <w:rsid w:val="30225147"/>
    <w:rsid w:val="30257B4C"/>
    <w:rsid w:val="302668B8"/>
    <w:rsid w:val="302B2A24"/>
    <w:rsid w:val="30333ADC"/>
    <w:rsid w:val="303415F3"/>
    <w:rsid w:val="30355E9A"/>
    <w:rsid w:val="30382AC8"/>
    <w:rsid w:val="303C55B1"/>
    <w:rsid w:val="306049E4"/>
    <w:rsid w:val="307142B9"/>
    <w:rsid w:val="307C6EDB"/>
    <w:rsid w:val="3086365A"/>
    <w:rsid w:val="308A42DF"/>
    <w:rsid w:val="30972B12"/>
    <w:rsid w:val="30A51428"/>
    <w:rsid w:val="30A8293B"/>
    <w:rsid w:val="30AD6470"/>
    <w:rsid w:val="30CE7920"/>
    <w:rsid w:val="30D13992"/>
    <w:rsid w:val="30DC67B3"/>
    <w:rsid w:val="30EC7F91"/>
    <w:rsid w:val="30F3528B"/>
    <w:rsid w:val="30FB042C"/>
    <w:rsid w:val="31091ED4"/>
    <w:rsid w:val="310D6979"/>
    <w:rsid w:val="3111175C"/>
    <w:rsid w:val="31373D2D"/>
    <w:rsid w:val="314516FC"/>
    <w:rsid w:val="315A2E5B"/>
    <w:rsid w:val="316111F4"/>
    <w:rsid w:val="31740D5C"/>
    <w:rsid w:val="317E5A3D"/>
    <w:rsid w:val="318071DD"/>
    <w:rsid w:val="31905CC7"/>
    <w:rsid w:val="319E338C"/>
    <w:rsid w:val="31A24500"/>
    <w:rsid w:val="31A43411"/>
    <w:rsid w:val="31A95279"/>
    <w:rsid w:val="31AF7F96"/>
    <w:rsid w:val="31B31C90"/>
    <w:rsid w:val="31B84433"/>
    <w:rsid w:val="31BA7B43"/>
    <w:rsid w:val="31BD63A2"/>
    <w:rsid w:val="31C33E0D"/>
    <w:rsid w:val="31CC33F7"/>
    <w:rsid w:val="31D85F95"/>
    <w:rsid w:val="31DC11EC"/>
    <w:rsid w:val="31F939B3"/>
    <w:rsid w:val="32016C1C"/>
    <w:rsid w:val="32084887"/>
    <w:rsid w:val="320E1F87"/>
    <w:rsid w:val="3216516A"/>
    <w:rsid w:val="32341F0A"/>
    <w:rsid w:val="323B2F7B"/>
    <w:rsid w:val="323F23C0"/>
    <w:rsid w:val="32431816"/>
    <w:rsid w:val="324478BE"/>
    <w:rsid w:val="32696FFF"/>
    <w:rsid w:val="32715FCE"/>
    <w:rsid w:val="32764DF9"/>
    <w:rsid w:val="327C1434"/>
    <w:rsid w:val="327D5F21"/>
    <w:rsid w:val="32823F58"/>
    <w:rsid w:val="329C41F7"/>
    <w:rsid w:val="32B04495"/>
    <w:rsid w:val="32BB37F2"/>
    <w:rsid w:val="32BB5358"/>
    <w:rsid w:val="32C024BA"/>
    <w:rsid w:val="32C3522A"/>
    <w:rsid w:val="32C94339"/>
    <w:rsid w:val="32E271A8"/>
    <w:rsid w:val="32E47419"/>
    <w:rsid w:val="32EA3765"/>
    <w:rsid w:val="32EB44D9"/>
    <w:rsid w:val="32FC461F"/>
    <w:rsid w:val="330F0910"/>
    <w:rsid w:val="332D4F48"/>
    <w:rsid w:val="333C4C17"/>
    <w:rsid w:val="33593160"/>
    <w:rsid w:val="335C72F3"/>
    <w:rsid w:val="336D0277"/>
    <w:rsid w:val="336F0398"/>
    <w:rsid w:val="337421FA"/>
    <w:rsid w:val="33766AF4"/>
    <w:rsid w:val="33777D3B"/>
    <w:rsid w:val="3389727A"/>
    <w:rsid w:val="33A3378F"/>
    <w:rsid w:val="33B2127F"/>
    <w:rsid w:val="33B34CDA"/>
    <w:rsid w:val="33C7348E"/>
    <w:rsid w:val="33CD1705"/>
    <w:rsid w:val="33D12268"/>
    <w:rsid w:val="33DA7CE2"/>
    <w:rsid w:val="33DD7662"/>
    <w:rsid w:val="33ED3971"/>
    <w:rsid w:val="33F574A4"/>
    <w:rsid w:val="340D7320"/>
    <w:rsid w:val="341026E8"/>
    <w:rsid w:val="342C20AE"/>
    <w:rsid w:val="343017D8"/>
    <w:rsid w:val="344F095B"/>
    <w:rsid w:val="34577A82"/>
    <w:rsid w:val="345B2986"/>
    <w:rsid w:val="346076ED"/>
    <w:rsid w:val="346D7025"/>
    <w:rsid w:val="346F7229"/>
    <w:rsid w:val="34913721"/>
    <w:rsid w:val="34992878"/>
    <w:rsid w:val="349977AB"/>
    <w:rsid w:val="349B0E19"/>
    <w:rsid w:val="349C1CC4"/>
    <w:rsid w:val="34A11A9A"/>
    <w:rsid w:val="34AA36C0"/>
    <w:rsid w:val="34B37E88"/>
    <w:rsid w:val="34B85AD7"/>
    <w:rsid w:val="34B96A4F"/>
    <w:rsid w:val="34CA49E8"/>
    <w:rsid w:val="34F665C1"/>
    <w:rsid w:val="35261533"/>
    <w:rsid w:val="353A1B18"/>
    <w:rsid w:val="354C2C3B"/>
    <w:rsid w:val="35572713"/>
    <w:rsid w:val="35692E6D"/>
    <w:rsid w:val="35722C58"/>
    <w:rsid w:val="3583712C"/>
    <w:rsid w:val="35856899"/>
    <w:rsid w:val="35873DAE"/>
    <w:rsid w:val="358D0911"/>
    <w:rsid w:val="35934261"/>
    <w:rsid w:val="35957937"/>
    <w:rsid w:val="3596267D"/>
    <w:rsid w:val="35A9148C"/>
    <w:rsid w:val="35AB0A07"/>
    <w:rsid w:val="35B62C70"/>
    <w:rsid w:val="35BD73FE"/>
    <w:rsid w:val="35C27B34"/>
    <w:rsid w:val="35E83FC4"/>
    <w:rsid w:val="35F31664"/>
    <w:rsid w:val="35F45EF9"/>
    <w:rsid w:val="35F90C0A"/>
    <w:rsid w:val="35F92F17"/>
    <w:rsid w:val="36042DAC"/>
    <w:rsid w:val="360D6A07"/>
    <w:rsid w:val="36137C38"/>
    <w:rsid w:val="361E4E48"/>
    <w:rsid w:val="36214063"/>
    <w:rsid w:val="3641170F"/>
    <w:rsid w:val="3643697F"/>
    <w:rsid w:val="364B5CB9"/>
    <w:rsid w:val="366046C9"/>
    <w:rsid w:val="366A2ECD"/>
    <w:rsid w:val="3673648D"/>
    <w:rsid w:val="368B0FC5"/>
    <w:rsid w:val="36A04025"/>
    <w:rsid w:val="36A54457"/>
    <w:rsid w:val="36B015E9"/>
    <w:rsid w:val="36B62651"/>
    <w:rsid w:val="36C537EA"/>
    <w:rsid w:val="36C95DD5"/>
    <w:rsid w:val="36EA3104"/>
    <w:rsid w:val="36EE21CA"/>
    <w:rsid w:val="37024F97"/>
    <w:rsid w:val="371A1749"/>
    <w:rsid w:val="372455B0"/>
    <w:rsid w:val="3733273A"/>
    <w:rsid w:val="37383ACE"/>
    <w:rsid w:val="373A0343"/>
    <w:rsid w:val="37611538"/>
    <w:rsid w:val="377707B5"/>
    <w:rsid w:val="377A1FE2"/>
    <w:rsid w:val="377F1433"/>
    <w:rsid w:val="37875C97"/>
    <w:rsid w:val="37882677"/>
    <w:rsid w:val="378D1AC6"/>
    <w:rsid w:val="37903E9C"/>
    <w:rsid w:val="3794612A"/>
    <w:rsid w:val="37AC416A"/>
    <w:rsid w:val="37BA5D3E"/>
    <w:rsid w:val="37C87A40"/>
    <w:rsid w:val="37D71F24"/>
    <w:rsid w:val="37DA5792"/>
    <w:rsid w:val="37E45005"/>
    <w:rsid w:val="37EA324B"/>
    <w:rsid w:val="37F15D1E"/>
    <w:rsid w:val="37F53D24"/>
    <w:rsid w:val="37F735B2"/>
    <w:rsid w:val="380170BC"/>
    <w:rsid w:val="380F63C1"/>
    <w:rsid w:val="38351A5C"/>
    <w:rsid w:val="38397B55"/>
    <w:rsid w:val="383D3C87"/>
    <w:rsid w:val="38551162"/>
    <w:rsid w:val="387E36D7"/>
    <w:rsid w:val="38A83BA1"/>
    <w:rsid w:val="38E63461"/>
    <w:rsid w:val="38EB076F"/>
    <w:rsid w:val="38F14C78"/>
    <w:rsid w:val="38FB0113"/>
    <w:rsid w:val="39040355"/>
    <w:rsid w:val="390B0026"/>
    <w:rsid w:val="39193D95"/>
    <w:rsid w:val="39196536"/>
    <w:rsid w:val="39201C4D"/>
    <w:rsid w:val="392A5886"/>
    <w:rsid w:val="3938006B"/>
    <w:rsid w:val="393866BE"/>
    <w:rsid w:val="393C7471"/>
    <w:rsid w:val="3943262C"/>
    <w:rsid w:val="394422C1"/>
    <w:rsid w:val="39522B95"/>
    <w:rsid w:val="39562A36"/>
    <w:rsid w:val="39593FF7"/>
    <w:rsid w:val="39653F57"/>
    <w:rsid w:val="396F16D0"/>
    <w:rsid w:val="39735FBB"/>
    <w:rsid w:val="39884445"/>
    <w:rsid w:val="39960BFA"/>
    <w:rsid w:val="399B40CC"/>
    <w:rsid w:val="399B4C7D"/>
    <w:rsid w:val="39C44FEB"/>
    <w:rsid w:val="39DE1F21"/>
    <w:rsid w:val="39E31520"/>
    <w:rsid w:val="39E6019E"/>
    <w:rsid w:val="39E948BD"/>
    <w:rsid w:val="39EB2473"/>
    <w:rsid w:val="39F54CA6"/>
    <w:rsid w:val="3A2B620C"/>
    <w:rsid w:val="3A312E1F"/>
    <w:rsid w:val="3A3404B2"/>
    <w:rsid w:val="3A3643F6"/>
    <w:rsid w:val="3A4306DC"/>
    <w:rsid w:val="3A435A2E"/>
    <w:rsid w:val="3A4B30AC"/>
    <w:rsid w:val="3A53237E"/>
    <w:rsid w:val="3A622577"/>
    <w:rsid w:val="3A697432"/>
    <w:rsid w:val="3A810A9F"/>
    <w:rsid w:val="3A9024DB"/>
    <w:rsid w:val="3AA212B8"/>
    <w:rsid w:val="3AA65457"/>
    <w:rsid w:val="3AB65CE5"/>
    <w:rsid w:val="3AB8403C"/>
    <w:rsid w:val="3ABA6902"/>
    <w:rsid w:val="3ABC0F9C"/>
    <w:rsid w:val="3ABD4E67"/>
    <w:rsid w:val="3AD04884"/>
    <w:rsid w:val="3AD150E3"/>
    <w:rsid w:val="3AD672A9"/>
    <w:rsid w:val="3AD86F68"/>
    <w:rsid w:val="3ADC1D4A"/>
    <w:rsid w:val="3AF17EF6"/>
    <w:rsid w:val="3AFA395C"/>
    <w:rsid w:val="3B062709"/>
    <w:rsid w:val="3B1F4E57"/>
    <w:rsid w:val="3B2B2385"/>
    <w:rsid w:val="3B2B603B"/>
    <w:rsid w:val="3B3672F3"/>
    <w:rsid w:val="3B477303"/>
    <w:rsid w:val="3B4843EA"/>
    <w:rsid w:val="3B5C7945"/>
    <w:rsid w:val="3B682B1F"/>
    <w:rsid w:val="3B704EE7"/>
    <w:rsid w:val="3B750150"/>
    <w:rsid w:val="3B8443F8"/>
    <w:rsid w:val="3B874C3E"/>
    <w:rsid w:val="3B9675B6"/>
    <w:rsid w:val="3B982991"/>
    <w:rsid w:val="3B9F27B7"/>
    <w:rsid w:val="3BBE6E0D"/>
    <w:rsid w:val="3BD074C7"/>
    <w:rsid w:val="3BDE5AA3"/>
    <w:rsid w:val="3BE257A7"/>
    <w:rsid w:val="3BED3414"/>
    <w:rsid w:val="3C0B11DB"/>
    <w:rsid w:val="3C236CFC"/>
    <w:rsid w:val="3C2566DC"/>
    <w:rsid w:val="3C5E2E15"/>
    <w:rsid w:val="3C7437C1"/>
    <w:rsid w:val="3C753EEC"/>
    <w:rsid w:val="3C837FF1"/>
    <w:rsid w:val="3C843B7F"/>
    <w:rsid w:val="3C8A3411"/>
    <w:rsid w:val="3C8B0F55"/>
    <w:rsid w:val="3C8B613D"/>
    <w:rsid w:val="3C9800DA"/>
    <w:rsid w:val="3C9904CC"/>
    <w:rsid w:val="3C9D2364"/>
    <w:rsid w:val="3CA15BA6"/>
    <w:rsid w:val="3CA72180"/>
    <w:rsid w:val="3CAA1CBC"/>
    <w:rsid w:val="3CBE6720"/>
    <w:rsid w:val="3CD16445"/>
    <w:rsid w:val="3CE3730D"/>
    <w:rsid w:val="3CE517D1"/>
    <w:rsid w:val="3CE57354"/>
    <w:rsid w:val="3CEC4885"/>
    <w:rsid w:val="3D0A5300"/>
    <w:rsid w:val="3D0F6134"/>
    <w:rsid w:val="3D1A4C6C"/>
    <w:rsid w:val="3D223828"/>
    <w:rsid w:val="3D224AD8"/>
    <w:rsid w:val="3D292DE6"/>
    <w:rsid w:val="3D2A427B"/>
    <w:rsid w:val="3D3142A8"/>
    <w:rsid w:val="3D320ECF"/>
    <w:rsid w:val="3D4A4399"/>
    <w:rsid w:val="3D4D17BD"/>
    <w:rsid w:val="3D662F1C"/>
    <w:rsid w:val="3D6E26D1"/>
    <w:rsid w:val="3D7A57A4"/>
    <w:rsid w:val="3D82227F"/>
    <w:rsid w:val="3D8848EB"/>
    <w:rsid w:val="3D9C060A"/>
    <w:rsid w:val="3DA53E58"/>
    <w:rsid w:val="3DB96C4B"/>
    <w:rsid w:val="3DC2039A"/>
    <w:rsid w:val="3DCA2EB1"/>
    <w:rsid w:val="3DDA79AF"/>
    <w:rsid w:val="3DDD7803"/>
    <w:rsid w:val="3DE97168"/>
    <w:rsid w:val="3DEF78D1"/>
    <w:rsid w:val="3DFE2B1E"/>
    <w:rsid w:val="3E0B2510"/>
    <w:rsid w:val="3E0B51C2"/>
    <w:rsid w:val="3E134D0E"/>
    <w:rsid w:val="3E2750F4"/>
    <w:rsid w:val="3E2A79DA"/>
    <w:rsid w:val="3E321749"/>
    <w:rsid w:val="3E3B497E"/>
    <w:rsid w:val="3E490864"/>
    <w:rsid w:val="3E58782F"/>
    <w:rsid w:val="3E674406"/>
    <w:rsid w:val="3E840707"/>
    <w:rsid w:val="3EA049AC"/>
    <w:rsid w:val="3EA73914"/>
    <w:rsid w:val="3EAA3BD5"/>
    <w:rsid w:val="3EAB7043"/>
    <w:rsid w:val="3EB23F41"/>
    <w:rsid w:val="3EB4403F"/>
    <w:rsid w:val="3EB86EE9"/>
    <w:rsid w:val="3EBB765F"/>
    <w:rsid w:val="3ED87DE1"/>
    <w:rsid w:val="3EF52573"/>
    <w:rsid w:val="3F070E17"/>
    <w:rsid w:val="3F0B7DA8"/>
    <w:rsid w:val="3F0D3E1D"/>
    <w:rsid w:val="3F137400"/>
    <w:rsid w:val="3F3C659E"/>
    <w:rsid w:val="3F412772"/>
    <w:rsid w:val="3F4656A5"/>
    <w:rsid w:val="3F474984"/>
    <w:rsid w:val="3F4B5E54"/>
    <w:rsid w:val="3F5A18A9"/>
    <w:rsid w:val="3F611562"/>
    <w:rsid w:val="3F690740"/>
    <w:rsid w:val="3F7513D1"/>
    <w:rsid w:val="3F77720C"/>
    <w:rsid w:val="3F7F6446"/>
    <w:rsid w:val="3F90051E"/>
    <w:rsid w:val="3F9105BC"/>
    <w:rsid w:val="3F924D1A"/>
    <w:rsid w:val="3F9E2862"/>
    <w:rsid w:val="3FA0663F"/>
    <w:rsid w:val="3FA27422"/>
    <w:rsid w:val="3FA709D6"/>
    <w:rsid w:val="3FAB3138"/>
    <w:rsid w:val="3FB17DEA"/>
    <w:rsid w:val="3FB20A64"/>
    <w:rsid w:val="3FC0586B"/>
    <w:rsid w:val="3FC80AFB"/>
    <w:rsid w:val="3FCA1248"/>
    <w:rsid w:val="3FDA20F7"/>
    <w:rsid w:val="3FDB67B0"/>
    <w:rsid w:val="3FDB7F5E"/>
    <w:rsid w:val="3FDD3901"/>
    <w:rsid w:val="3FE00D14"/>
    <w:rsid w:val="3FE23221"/>
    <w:rsid w:val="3FEC38CF"/>
    <w:rsid w:val="3FF55EE4"/>
    <w:rsid w:val="3FFD39D8"/>
    <w:rsid w:val="3FFF200A"/>
    <w:rsid w:val="401B2A86"/>
    <w:rsid w:val="402922D5"/>
    <w:rsid w:val="402923F3"/>
    <w:rsid w:val="402A78E7"/>
    <w:rsid w:val="402C52F5"/>
    <w:rsid w:val="40377B91"/>
    <w:rsid w:val="4050133F"/>
    <w:rsid w:val="40513614"/>
    <w:rsid w:val="40595BA5"/>
    <w:rsid w:val="40596025"/>
    <w:rsid w:val="40640AFD"/>
    <w:rsid w:val="40681EC4"/>
    <w:rsid w:val="40683210"/>
    <w:rsid w:val="40C2098A"/>
    <w:rsid w:val="40C35595"/>
    <w:rsid w:val="40CB2AEE"/>
    <w:rsid w:val="40CF1772"/>
    <w:rsid w:val="40DF313C"/>
    <w:rsid w:val="40E240E7"/>
    <w:rsid w:val="40EA336A"/>
    <w:rsid w:val="40F24B62"/>
    <w:rsid w:val="40F53396"/>
    <w:rsid w:val="41100D70"/>
    <w:rsid w:val="41106FBB"/>
    <w:rsid w:val="411F52B8"/>
    <w:rsid w:val="412117A9"/>
    <w:rsid w:val="412723DB"/>
    <w:rsid w:val="41277B20"/>
    <w:rsid w:val="412C28DB"/>
    <w:rsid w:val="414D514B"/>
    <w:rsid w:val="415E3462"/>
    <w:rsid w:val="415F10AC"/>
    <w:rsid w:val="416E7B36"/>
    <w:rsid w:val="41751D88"/>
    <w:rsid w:val="418A32E7"/>
    <w:rsid w:val="418B5FAC"/>
    <w:rsid w:val="418C1F01"/>
    <w:rsid w:val="41980158"/>
    <w:rsid w:val="41A5330E"/>
    <w:rsid w:val="41B30ED4"/>
    <w:rsid w:val="41B47E99"/>
    <w:rsid w:val="41B67145"/>
    <w:rsid w:val="41B700B9"/>
    <w:rsid w:val="41CC1CB6"/>
    <w:rsid w:val="41D70AD6"/>
    <w:rsid w:val="41DA0C20"/>
    <w:rsid w:val="41E160F5"/>
    <w:rsid w:val="41E52F7B"/>
    <w:rsid w:val="41EC307F"/>
    <w:rsid w:val="42027FB7"/>
    <w:rsid w:val="4207746F"/>
    <w:rsid w:val="420E7196"/>
    <w:rsid w:val="42173C7C"/>
    <w:rsid w:val="42181765"/>
    <w:rsid w:val="422E33C5"/>
    <w:rsid w:val="423930C5"/>
    <w:rsid w:val="424C7BE6"/>
    <w:rsid w:val="424F6DF1"/>
    <w:rsid w:val="42565E08"/>
    <w:rsid w:val="42630CDB"/>
    <w:rsid w:val="426A0F8B"/>
    <w:rsid w:val="427C2D97"/>
    <w:rsid w:val="42C94B8E"/>
    <w:rsid w:val="42CB777F"/>
    <w:rsid w:val="42D37180"/>
    <w:rsid w:val="42E33622"/>
    <w:rsid w:val="42E95201"/>
    <w:rsid w:val="42F83A28"/>
    <w:rsid w:val="42FC3768"/>
    <w:rsid w:val="4316227D"/>
    <w:rsid w:val="431C06D2"/>
    <w:rsid w:val="431E36D3"/>
    <w:rsid w:val="43396C74"/>
    <w:rsid w:val="43396F97"/>
    <w:rsid w:val="433E53E4"/>
    <w:rsid w:val="436720CB"/>
    <w:rsid w:val="436D2170"/>
    <w:rsid w:val="43786331"/>
    <w:rsid w:val="439829BE"/>
    <w:rsid w:val="43A54C16"/>
    <w:rsid w:val="43A764A9"/>
    <w:rsid w:val="43A824C2"/>
    <w:rsid w:val="43A83F7A"/>
    <w:rsid w:val="43A951D2"/>
    <w:rsid w:val="43AA31B1"/>
    <w:rsid w:val="43AE1D11"/>
    <w:rsid w:val="43B16222"/>
    <w:rsid w:val="43B21BDD"/>
    <w:rsid w:val="43B8519D"/>
    <w:rsid w:val="43D36EA3"/>
    <w:rsid w:val="43E87F5E"/>
    <w:rsid w:val="43ED5704"/>
    <w:rsid w:val="43EE47D3"/>
    <w:rsid w:val="43F41115"/>
    <w:rsid w:val="43FC531B"/>
    <w:rsid w:val="43FD5DF0"/>
    <w:rsid w:val="44026192"/>
    <w:rsid w:val="44026D7F"/>
    <w:rsid w:val="440C1F2C"/>
    <w:rsid w:val="44113553"/>
    <w:rsid w:val="44152CDE"/>
    <w:rsid w:val="44272E60"/>
    <w:rsid w:val="443D5242"/>
    <w:rsid w:val="443F2B55"/>
    <w:rsid w:val="4442460F"/>
    <w:rsid w:val="44491596"/>
    <w:rsid w:val="445C0429"/>
    <w:rsid w:val="445F4D17"/>
    <w:rsid w:val="446253A4"/>
    <w:rsid w:val="44784308"/>
    <w:rsid w:val="447C0068"/>
    <w:rsid w:val="448A2542"/>
    <w:rsid w:val="44906B80"/>
    <w:rsid w:val="4492631E"/>
    <w:rsid w:val="44947521"/>
    <w:rsid w:val="449B6C22"/>
    <w:rsid w:val="44C23A91"/>
    <w:rsid w:val="44C32172"/>
    <w:rsid w:val="44E6795C"/>
    <w:rsid w:val="44EB359A"/>
    <w:rsid w:val="44EC73D3"/>
    <w:rsid w:val="44FA6FBA"/>
    <w:rsid w:val="4510734A"/>
    <w:rsid w:val="451618DD"/>
    <w:rsid w:val="45235A60"/>
    <w:rsid w:val="453628BB"/>
    <w:rsid w:val="4537018B"/>
    <w:rsid w:val="45494846"/>
    <w:rsid w:val="4584605D"/>
    <w:rsid w:val="45865D0B"/>
    <w:rsid w:val="45947C45"/>
    <w:rsid w:val="45963430"/>
    <w:rsid w:val="45A14E2D"/>
    <w:rsid w:val="45C83181"/>
    <w:rsid w:val="45CC34AF"/>
    <w:rsid w:val="45D35FF5"/>
    <w:rsid w:val="45D537A4"/>
    <w:rsid w:val="45DA7B75"/>
    <w:rsid w:val="45E228BE"/>
    <w:rsid w:val="45EF4B09"/>
    <w:rsid w:val="45F2492A"/>
    <w:rsid w:val="45F84C1F"/>
    <w:rsid w:val="4619120F"/>
    <w:rsid w:val="46202274"/>
    <w:rsid w:val="46220887"/>
    <w:rsid w:val="46366F6B"/>
    <w:rsid w:val="463E75F2"/>
    <w:rsid w:val="465B6AA5"/>
    <w:rsid w:val="466660C3"/>
    <w:rsid w:val="46884616"/>
    <w:rsid w:val="468D4E2F"/>
    <w:rsid w:val="46A50B48"/>
    <w:rsid w:val="46D03E08"/>
    <w:rsid w:val="46E47528"/>
    <w:rsid w:val="47014842"/>
    <w:rsid w:val="471C257D"/>
    <w:rsid w:val="47302CB9"/>
    <w:rsid w:val="47330F0A"/>
    <w:rsid w:val="4743493E"/>
    <w:rsid w:val="474438FD"/>
    <w:rsid w:val="47540097"/>
    <w:rsid w:val="47545C88"/>
    <w:rsid w:val="476A0984"/>
    <w:rsid w:val="476A4A1F"/>
    <w:rsid w:val="476B39D3"/>
    <w:rsid w:val="477E209F"/>
    <w:rsid w:val="477F35DE"/>
    <w:rsid w:val="47926F4B"/>
    <w:rsid w:val="47992154"/>
    <w:rsid w:val="4799306C"/>
    <w:rsid w:val="47A8679C"/>
    <w:rsid w:val="47B86C4F"/>
    <w:rsid w:val="47BE3782"/>
    <w:rsid w:val="47CF3382"/>
    <w:rsid w:val="47DC246C"/>
    <w:rsid w:val="47E04CF0"/>
    <w:rsid w:val="47E14591"/>
    <w:rsid w:val="47FE0532"/>
    <w:rsid w:val="480C67E9"/>
    <w:rsid w:val="48130585"/>
    <w:rsid w:val="48134BA2"/>
    <w:rsid w:val="483926B6"/>
    <w:rsid w:val="48452B3E"/>
    <w:rsid w:val="48854EAF"/>
    <w:rsid w:val="488F2679"/>
    <w:rsid w:val="489B56FA"/>
    <w:rsid w:val="48AC3D95"/>
    <w:rsid w:val="48B15B68"/>
    <w:rsid w:val="48B87916"/>
    <w:rsid w:val="48BE6254"/>
    <w:rsid w:val="48CB2062"/>
    <w:rsid w:val="48D00B1C"/>
    <w:rsid w:val="48D81610"/>
    <w:rsid w:val="48DC0832"/>
    <w:rsid w:val="48DE1CCF"/>
    <w:rsid w:val="48E405CA"/>
    <w:rsid w:val="48F1364F"/>
    <w:rsid w:val="49084B09"/>
    <w:rsid w:val="490A3808"/>
    <w:rsid w:val="491A123F"/>
    <w:rsid w:val="491D7E64"/>
    <w:rsid w:val="493F6D10"/>
    <w:rsid w:val="494D56B4"/>
    <w:rsid w:val="495006A3"/>
    <w:rsid w:val="4950698D"/>
    <w:rsid w:val="495A2E68"/>
    <w:rsid w:val="495D7A04"/>
    <w:rsid w:val="49633D6C"/>
    <w:rsid w:val="49642515"/>
    <w:rsid w:val="4969531B"/>
    <w:rsid w:val="496D20E7"/>
    <w:rsid w:val="496E7573"/>
    <w:rsid w:val="49774156"/>
    <w:rsid w:val="49782959"/>
    <w:rsid w:val="49825D47"/>
    <w:rsid w:val="49830B8E"/>
    <w:rsid w:val="498643BE"/>
    <w:rsid w:val="498D7268"/>
    <w:rsid w:val="49A13860"/>
    <w:rsid w:val="49AA0350"/>
    <w:rsid w:val="49B37D6A"/>
    <w:rsid w:val="49C54099"/>
    <w:rsid w:val="49DC24A1"/>
    <w:rsid w:val="49DC2731"/>
    <w:rsid w:val="49E223AA"/>
    <w:rsid w:val="49E86F72"/>
    <w:rsid w:val="49EC3F58"/>
    <w:rsid w:val="49F65FC9"/>
    <w:rsid w:val="49FE58E4"/>
    <w:rsid w:val="49FF7C01"/>
    <w:rsid w:val="4A0042AA"/>
    <w:rsid w:val="4A0253FD"/>
    <w:rsid w:val="4A1557B8"/>
    <w:rsid w:val="4A26233B"/>
    <w:rsid w:val="4A4829F6"/>
    <w:rsid w:val="4A6525BD"/>
    <w:rsid w:val="4A933B7D"/>
    <w:rsid w:val="4AAF0D65"/>
    <w:rsid w:val="4ACB1618"/>
    <w:rsid w:val="4B0C39BE"/>
    <w:rsid w:val="4B1560A1"/>
    <w:rsid w:val="4B35420D"/>
    <w:rsid w:val="4B3F33CC"/>
    <w:rsid w:val="4B410D21"/>
    <w:rsid w:val="4B453CBF"/>
    <w:rsid w:val="4B594159"/>
    <w:rsid w:val="4B682AF4"/>
    <w:rsid w:val="4B7C1C3A"/>
    <w:rsid w:val="4B814A88"/>
    <w:rsid w:val="4B93667C"/>
    <w:rsid w:val="4B94175D"/>
    <w:rsid w:val="4B9625FE"/>
    <w:rsid w:val="4B9E74E0"/>
    <w:rsid w:val="4BAF1B23"/>
    <w:rsid w:val="4BB811FA"/>
    <w:rsid w:val="4BE262C2"/>
    <w:rsid w:val="4BE6167C"/>
    <w:rsid w:val="4BF147F8"/>
    <w:rsid w:val="4C017514"/>
    <w:rsid w:val="4C1E24C3"/>
    <w:rsid w:val="4C1E7770"/>
    <w:rsid w:val="4C2278BE"/>
    <w:rsid w:val="4C24240B"/>
    <w:rsid w:val="4C277BE2"/>
    <w:rsid w:val="4C326A0D"/>
    <w:rsid w:val="4C475741"/>
    <w:rsid w:val="4C4A51E6"/>
    <w:rsid w:val="4C590641"/>
    <w:rsid w:val="4C7C69F2"/>
    <w:rsid w:val="4C857D9C"/>
    <w:rsid w:val="4CA020C1"/>
    <w:rsid w:val="4CA41AEF"/>
    <w:rsid w:val="4CAA5E33"/>
    <w:rsid w:val="4CC12688"/>
    <w:rsid w:val="4CD03441"/>
    <w:rsid w:val="4CD215D3"/>
    <w:rsid w:val="4CDB1CC1"/>
    <w:rsid w:val="4CDD0AD6"/>
    <w:rsid w:val="4CE443C5"/>
    <w:rsid w:val="4CE646DF"/>
    <w:rsid w:val="4CE91F02"/>
    <w:rsid w:val="4CE95B39"/>
    <w:rsid w:val="4CF07DE8"/>
    <w:rsid w:val="4CF65DF9"/>
    <w:rsid w:val="4D150094"/>
    <w:rsid w:val="4D1D789A"/>
    <w:rsid w:val="4D3F5A39"/>
    <w:rsid w:val="4D510913"/>
    <w:rsid w:val="4D672D71"/>
    <w:rsid w:val="4D7105B9"/>
    <w:rsid w:val="4D881C30"/>
    <w:rsid w:val="4D8F3BAE"/>
    <w:rsid w:val="4D91048C"/>
    <w:rsid w:val="4D95460F"/>
    <w:rsid w:val="4DB350FA"/>
    <w:rsid w:val="4DB67B75"/>
    <w:rsid w:val="4DC31899"/>
    <w:rsid w:val="4DC64D7A"/>
    <w:rsid w:val="4DCD24EB"/>
    <w:rsid w:val="4DCE6B9C"/>
    <w:rsid w:val="4DDD0823"/>
    <w:rsid w:val="4DE77248"/>
    <w:rsid w:val="4DF45FDB"/>
    <w:rsid w:val="4E03047D"/>
    <w:rsid w:val="4E295A6A"/>
    <w:rsid w:val="4E3E7A82"/>
    <w:rsid w:val="4E406B63"/>
    <w:rsid w:val="4E4378A0"/>
    <w:rsid w:val="4E44695B"/>
    <w:rsid w:val="4E543219"/>
    <w:rsid w:val="4E5C31EC"/>
    <w:rsid w:val="4E7B0C67"/>
    <w:rsid w:val="4E805C0B"/>
    <w:rsid w:val="4E8125ED"/>
    <w:rsid w:val="4E925A65"/>
    <w:rsid w:val="4E977B57"/>
    <w:rsid w:val="4EA4431A"/>
    <w:rsid w:val="4EBE6F8C"/>
    <w:rsid w:val="4EC45FF3"/>
    <w:rsid w:val="4EC552D4"/>
    <w:rsid w:val="4EDB4932"/>
    <w:rsid w:val="4EDD462B"/>
    <w:rsid w:val="4EEA0BF2"/>
    <w:rsid w:val="4F057816"/>
    <w:rsid w:val="4F0F7EEE"/>
    <w:rsid w:val="4F10534E"/>
    <w:rsid w:val="4F1F4E62"/>
    <w:rsid w:val="4F2032D4"/>
    <w:rsid w:val="4F282D21"/>
    <w:rsid w:val="4F332169"/>
    <w:rsid w:val="4F3631A8"/>
    <w:rsid w:val="4F37557E"/>
    <w:rsid w:val="4F427233"/>
    <w:rsid w:val="4F4B40FE"/>
    <w:rsid w:val="4F5143D2"/>
    <w:rsid w:val="4F687620"/>
    <w:rsid w:val="4F691353"/>
    <w:rsid w:val="4F693B8A"/>
    <w:rsid w:val="4F6D47E3"/>
    <w:rsid w:val="4F7565B0"/>
    <w:rsid w:val="4F7B2DB3"/>
    <w:rsid w:val="4F825AD1"/>
    <w:rsid w:val="4F863FA1"/>
    <w:rsid w:val="4F8A7C0C"/>
    <w:rsid w:val="4F9116A3"/>
    <w:rsid w:val="4F9E24C5"/>
    <w:rsid w:val="4FAB0CC9"/>
    <w:rsid w:val="4FD14D91"/>
    <w:rsid w:val="4FD426AE"/>
    <w:rsid w:val="4FDA203E"/>
    <w:rsid w:val="4FDB075F"/>
    <w:rsid w:val="4FE73C07"/>
    <w:rsid w:val="50020217"/>
    <w:rsid w:val="500664DA"/>
    <w:rsid w:val="500D6E0E"/>
    <w:rsid w:val="501E7FBD"/>
    <w:rsid w:val="504E3460"/>
    <w:rsid w:val="50604916"/>
    <w:rsid w:val="506B21A1"/>
    <w:rsid w:val="506F0A60"/>
    <w:rsid w:val="50821B03"/>
    <w:rsid w:val="508C1FB0"/>
    <w:rsid w:val="509245ED"/>
    <w:rsid w:val="50944350"/>
    <w:rsid w:val="509A0F9C"/>
    <w:rsid w:val="50A269CF"/>
    <w:rsid w:val="50B77E0A"/>
    <w:rsid w:val="50C15A00"/>
    <w:rsid w:val="50D37432"/>
    <w:rsid w:val="50F24019"/>
    <w:rsid w:val="50F964DA"/>
    <w:rsid w:val="50FD6773"/>
    <w:rsid w:val="51161530"/>
    <w:rsid w:val="51183702"/>
    <w:rsid w:val="512A1AE0"/>
    <w:rsid w:val="513167D7"/>
    <w:rsid w:val="51334866"/>
    <w:rsid w:val="51334868"/>
    <w:rsid w:val="513671EF"/>
    <w:rsid w:val="51400D47"/>
    <w:rsid w:val="514E5C11"/>
    <w:rsid w:val="515508E0"/>
    <w:rsid w:val="51876393"/>
    <w:rsid w:val="51A04D6F"/>
    <w:rsid w:val="51A115F6"/>
    <w:rsid w:val="51A357B9"/>
    <w:rsid w:val="51A638EC"/>
    <w:rsid w:val="51B446D9"/>
    <w:rsid w:val="51D344CF"/>
    <w:rsid w:val="51D80349"/>
    <w:rsid w:val="51E725F8"/>
    <w:rsid w:val="51E855EF"/>
    <w:rsid w:val="51EC5697"/>
    <w:rsid w:val="51FE118E"/>
    <w:rsid w:val="520458BA"/>
    <w:rsid w:val="5204710E"/>
    <w:rsid w:val="522334E2"/>
    <w:rsid w:val="52264E12"/>
    <w:rsid w:val="5240500A"/>
    <w:rsid w:val="52420DB8"/>
    <w:rsid w:val="52466C9E"/>
    <w:rsid w:val="52561E59"/>
    <w:rsid w:val="525B1FF7"/>
    <w:rsid w:val="526C4DDA"/>
    <w:rsid w:val="5276205C"/>
    <w:rsid w:val="52781E97"/>
    <w:rsid w:val="52901BA3"/>
    <w:rsid w:val="529036FD"/>
    <w:rsid w:val="529809D9"/>
    <w:rsid w:val="5298564A"/>
    <w:rsid w:val="529D57B2"/>
    <w:rsid w:val="52A159BC"/>
    <w:rsid w:val="52B247A2"/>
    <w:rsid w:val="52B43DEA"/>
    <w:rsid w:val="52D20087"/>
    <w:rsid w:val="52DE68A7"/>
    <w:rsid w:val="52F54758"/>
    <w:rsid w:val="52FD3CD3"/>
    <w:rsid w:val="530234A5"/>
    <w:rsid w:val="53054E7B"/>
    <w:rsid w:val="5305713E"/>
    <w:rsid w:val="530D296F"/>
    <w:rsid w:val="531045A8"/>
    <w:rsid w:val="531506CB"/>
    <w:rsid w:val="5329037F"/>
    <w:rsid w:val="53394E68"/>
    <w:rsid w:val="53455EEC"/>
    <w:rsid w:val="53484ACE"/>
    <w:rsid w:val="53627DCB"/>
    <w:rsid w:val="53632AD3"/>
    <w:rsid w:val="536C737D"/>
    <w:rsid w:val="536D330D"/>
    <w:rsid w:val="537727A4"/>
    <w:rsid w:val="538D2D77"/>
    <w:rsid w:val="53956E93"/>
    <w:rsid w:val="53973650"/>
    <w:rsid w:val="53A47729"/>
    <w:rsid w:val="53B60085"/>
    <w:rsid w:val="53CE5CFD"/>
    <w:rsid w:val="53CF4CDB"/>
    <w:rsid w:val="53D476EB"/>
    <w:rsid w:val="53ED51E2"/>
    <w:rsid w:val="540834A9"/>
    <w:rsid w:val="5409600C"/>
    <w:rsid w:val="54171651"/>
    <w:rsid w:val="542249AD"/>
    <w:rsid w:val="543E137E"/>
    <w:rsid w:val="545A61C1"/>
    <w:rsid w:val="545D476C"/>
    <w:rsid w:val="54646F0E"/>
    <w:rsid w:val="546967B5"/>
    <w:rsid w:val="546A254C"/>
    <w:rsid w:val="54790B90"/>
    <w:rsid w:val="5487541B"/>
    <w:rsid w:val="548D7A3C"/>
    <w:rsid w:val="54991D71"/>
    <w:rsid w:val="54996A9F"/>
    <w:rsid w:val="549F04AA"/>
    <w:rsid w:val="54A54929"/>
    <w:rsid w:val="54A66629"/>
    <w:rsid w:val="54A9338C"/>
    <w:rsid w:val="54AC004D"/>
    <w:rsid w:val="54BC7895"/>
    <w:rsid w:val="54CC0C68"/>
    <w:rsid w:val="54D0403E"/>
    <w:rsid w:val="54F01FE1"/>
    <w:rsid w:val="54F54D49"/>
    <w:rsid w:val="54F60296"/>
    <w:rsid w:val="54FC19D9"/>
    <w:rsid w:val="550F500B"/>
    <w:rsid w:val="550F69E0"/>
    <w:rsid w:val="551A7FF9"/>
    <w:rsid w:val="551D2FA9"/>
    <w:rsid w:val="55222FFD"/>
    <w:rsid w:val="5523470A"/>
    <w:rsid w:val="55280599"/>
    <w:rsid w:val="55401142"/>
    <w:rsid w:val="55426E93"/>
    <w:rsid w:val="55462BE1"/>
    <w:rsid w:val="55471F06"/>
    <w:rsid w:val="554726A1"/>
    <w:rsid w:val="554C3271"/>
    <w:rsid w:val="55702016"/>
    <w:rsid w:val="558C433D"/>
    <w:rsid w:val="558E1EB6"/>
    <w:rsid w:val="5592353A"/>
    <w:rsid w:val="55942BE5"/>
    <w:rsid w:val="55951A57"/>
    <w:rsid w:val="5599770F"/>
    <w:rsid w:val="55A277DD"/>
    <w:rsid w:val="55CD0A91"/>
    <w:rsid w:val="55CF4993"/>
    <w:rsid w:val="55D6689D"/>
    <w:rsid w:val="55D8556B"/>
    <w:rsid w:val="56030F98"/>
    <w:rsid w:val="5608482C"/>
    <w:rsid w:val="561725C7"/>
    <w:rsid w:val="56184EA2"/>
    <w:rsid w:val="561C166C"/>
    <w:rsid w:val="562D43C7"/>
    <w:rsid w:val="563E146B"/>
    <w:rsid w:val="56446449"/>
    <w:rsid w:val="56697791"/>
    <w:rsid w:val="569D437F"/>
    <w:rsid w:val="56A40DE1"/>
    <w:rsid w:val="56B1510D"/>
    <w:rsid w:val="56B249BE"/>
    <w:rsid w:val="56BA005E"/>
    <w:rsid w:val="56BC1F2C"/>
    <w:rsid w:val="56D454B5"/>
    <w:rsid w:val="56D932BE"/>
    <w:rsid w:val="56DF1649"/>
    <w:rsid w:val="56E07BC6"/>
    <w:rsid w:val="56E92D0B"/>
    <w:rsid w:val="56EC3884"/>
    <w:rsid w:val="56F15781"/>
    <w:rsid w:val="56F85B41"/>
    <w:rsid w:val="56FF6E49"/>
    <w:rsid w:val="57007513"/>
    <w:rsid w:val="57141845"/>
    <w:rsid w:val="57180D2D"/>
    <w:rsid w:val="572A070A"/>
    <w:rsid w:val="572B4370"/>
    <w:rsid w:val="57393264"/>
    <w:rsid w:val="57470F33"/>
    <w:rsid w:val="574A24F8"/>
    <w:rsid w:val="57527A39"/>
    <w:rsid w:val="576C738E"/>
    <w:rsid w:val="57762AA1"/>
    <w:rsid w:val="577640DE"/>
    <w:rsid w:val="57767FE3"/>
    <w:rsid w:val="578917C1"/>
    <w:rsid w:val="57917C65"/>
    <w:rsid w:val="579578D0"/>
    <w:rsid w:val="579725E8"/>
    <w:rsid w:val="579D4DD1"/>
    <w:rsid w:val="57BC6594"/>
    <w:rsid w:val="57C33B4F"/>
    <w:rsid w:val="57D46592"/>
    <w:rsid w:val="57E86410"/>
    <w:rsid w:val="57EA7A8C"/>
    <w:rsid w:val="57F82D77"/>
    <w:rsid w:val="58021CD5"/>
    <w:rsid w:val="581C04A9"/>
    <w:rsid w:val="58274706"/>
    <w:rsid w:val="582A6A3F"/>
    <w:rsid w:val="58336DFA"/>
    <w:rsid w:val="583610FC"/>
    <w:rsid w:val="583A3F5C"/>
    <w:rsid w:val="584A081C"/>
    <w:rsid w:val="584B5013"/>
    <w:rsid w:val="58635F03"/>
    <w:rsid w:val="588A6F51"/>
    <w:rsid w:val="588F06FE"/>
    <w:rsid w:val="58A90BBA"/>
    <w:rsid w:val="58AB681E"/>
    <w:rsid w:val="58AE7175"/>
    <w:rsid w:val="58C12FC0"/>
    <w:rsid w:val="58CF3347"/>
    <w:rsid w:val="58D21CDD"/>
    <w:rsid w:val="58F10FD5"/>
    <w:rsid w:val="58F57944"/>
    <w:rsid w:val="5904754C"/>
    <w:rsid w:val="5906275F"/>
    <w:rsid w:val="590812D2"/>
    <w:rsid w:val="590F6505"/>
    <w:rsid w:val="59123664"/>
    <w:rsid w:val="59175D4E"/>
    <w:rsid w:val="592343F3"/>
    <w:rsid w:val="59306AEF"/>
    <w:rsid w:val="59615B70"/>
    <w:rsid w:val="5971278B"/>
    <w:rsid w:val="59713291"/>
    <w:rsid w:val="59735C50"/>
    <w:rsid w:val="5980360D"/>
    <w:rsid w:val="598C0B52"/>
    <w:rsid w:val="599E4814"/>
    <w:rsid w:val="59A5386B"/>
    <w:rsid w:val="59C64E1E"/>
    <w:rsid w:val="59C65AC9"/>
    <w:rsid w:val="59DE6E16"/>
    <w:rsid w:val="59E77440"/>
    <w:rsid w:val="59E813E1"/>
    <w:rsid w:val="59F10850"/>
    <w:rsid w:val="59FE4FC3"/>
    <w:rsid w:val="5A06584E"/>
    <w:rsid w:val="5A124942"/>
    <w:rsid w:val="5A1929CF"/>
    <w:rsid w:val="5A1C7243"/>
    <w:rsid w:val="5A2511A8"/>
    <w:rsid w:val="5A277F70"/>
    <w:rsid w:val="5A2860CA"/>
    <w:rsid w:val="5A3375D0"/>
    <w:rsid w:val="5A36263C"/>
    <w:rsid w:val="5A3D2972"/>
    <w:rsid w:val="5A4F41E9"/>
    <w:rsid w:val="5A4F4EF2"/>
    <w:rsid w:val="5A5045A6"/>
    <w:rsid w:val="5A544A39"/>
    <w:rsid w:val="5A652E87"/>
    <w:rsid w:val="5A6A137D"/>
    <w:rsid w:val="5A6E1825"/>
    <w:rsid w:val="5A6E77B7"/>
    <w:rsid w:val="5A7F6026"/>
    <w:rsid w:val="5A807A1B"/>
    <w:rsid w:val="5A8C02A2"/>
    <w:rsid w:val="5A8E67C2"/>
    <w:rsid w:val="5A9B5B02"/>
    <w:rsid w:val="5AA80523"/>
    <w:rsid w:val="5AAB6620"/>
    <w:rsid w:val="5ABE1E7E"/>
    <w:rsid w:val="5AC06755"/>
    <w:rsid w:val="5AC70A07"/>
    <w:rsid w:val="5ACC6076"/>
    <w:rsid w:val="5AE27074"/>
    <w:rsid w:val="5AE70CCE"/>
    <w:rsid w:val="5AED401E"/>
    <w:rsid w:val="5AF16F26"/>
    <w:rsid w:val="5AF80014"/>
    <w:rsid w:val="5B2762E3"/>
    <w:rsid w:val="5B2F26BD"/>
    <w:rsid w:val="5B58522F"/>
    <w:rsid w:val="5B590E74"/>
    <w:rsid w:val="5B5F57C0"/>
    <w:rsid w:val="5B61122E"/>
    <w:rsid w:val="5B707226"/>
    <w:rsid w:val="5B7C5ED5"/>
    <w:rsid w:val="5B81173D"/>
    <w:rsid w:val="5B836CE5"/>
    <w:rsid w:val="5B860FBC"/>
    <w:rsid w:val="5B9263C1"/>
    <w:rsid w:val="5BAB451A"/>
    <w:rsid w:val="5BB61607"/>
    <w:rsid w:val="5BBC6302"/>
    <w:rsid w:val="5BC615A3"/>
    <w:rsid w:val="5BE835A2"/>
    <w:rsid w:val="5BED222E"/>
    <w:rsid w:val="5BEF0768"/>
    <w:rsid w:val="5BF7194E"/>
    <w:rsid w:val="5C011868"/>
    <w:rsid w:val="5C0B1BF7"/>
    <w:rsid w:val="5C13337D"/>
    <w:rsid w:val="5C2B2EB8"/>
    <w:rsid w:val="5C311518"/>
    <w:rsid w:val="5C37094D"/>
    <w:rsid w:val="5C37623A"/>
    <w:rsid w:val="5C482E14"/>
    <w:rsid w:val="5C4D5D3C"/>
    <w:rsid w:val="5C545736"/>
    <w:rsid w:val="5C574D93"/>
    <w:rsid w:val="5C5F08B5"/>
    <w:rsid w:val="5C6050D4"/>
    <w:rsid w:val="5C6B216F"/>
    <w:rsid w:val="5C7733DA"/>
    <w:rsid w:val="5C8666EC"/>
    <w:rsid w:val="5C8F2118"/>
    <w:rsid w:val="5C9B22F3"/>
    <w:rsid w:val="5CAC5CCB"/>
    <w:rsid w:val="5CAF03EC"/>
    <w:rsid w:val="5CCD5D12"/>
    <w:rsid w:val="5CE66F2D"/>
    <w:rsid w:val="5CED3BC2"/>
    <w:rsid w:val="5CF97F16"/>
    <w:rsid w:val="5D024220"/>
    <w:rsid w:val="5D10752E"/>
    <w:rsid w:val="5D1307A9"/>
    <w:rsid w:val="5D13505E"/>
    <w:rsid w:val="5D1B6B28"/>
    <w:rsid w:val="5D2160DF"/>
    <w:rsid w:val="5D225466"/>
    <w:rsid w:val="5D2D2A3F"/>
    <w:rsid w:val="5D3558D4"/>
    <w:rsid w:val="5D3E196B"/>
    <w:rsid w:val="5D4A074F"/>
    <w:rsid w:val="5D733EBA"/>
    <w:rsid w:val="5D750AB6"/>
    <w:rsid w:val="5D8A753B"/>
    <w:rsid w:val="5D902983"/>
    <w:rsid w:val="5D945B86"/>
    <w:rsid w:val="5D962B21"/>
    <w:rsid w:val="5D9D59DE"/>
    <w:rsid w:val="5DAD60F1"/>
    <w:rsid w:val="5DAE42B2"/>
    <w:rsid w:val="5DB25E92"/>
    <w:rsid w:val="5DC64FBB"/>
    <w:rsid w:val="5DD02581"/>
    <w:rsid w:val="5DD35CC9"/>
    <w:rsid w:val="5DF3131C"/>
    <w:rsid w:val="5DF909D5"/>
    <w:rsid w:val="5DF9241F"/>
    <w:rsid w:val="5DFA7D1B"/>
    <w:rsid w:val="5E0A5847"/>
    <w:rsid w:val="5E0C1195"/>
    <w:rsid w:val="5E0C76A8"/>
    <w:rsid w:val="5E0D191A"/>
    <w:rsid w:val="5E1B1F79"/>
    <w:rsid w:val="5E213E70"/>
    <w:rsid w:val="5E341586"/>
    <w:rsid w:val="5E585322"/>
    <w:rsid w:val="5E5C1929"/>
    <w:rsid w:val="5E5E1425"/>
    <w:rsid w:val="5E6C1665"/>
    <w:rsid w:val="5E730AF4"/>
    <w:rsid w:val="5E7B6C65"/>
    <w:rsid w:val="5E872AAB"/>
    <w:rsid w:val="5E942464"/>
    <w:rsid w:val="5E9A038D"/>
    <w:rsid w:val="5E9A0B89"/>
    <w:rsid w:val="5EAB697E"/>
    <w:rsid w:val="5EAD6A29"/>
    <w:rsid w:val="5EC93363"/>
    <w:rsid w:val="5EC96FC9"/>
    <w:rsid w:val="5ED53BF2"/>
    <w:rsid w:val="5EDC413A"/>
    <w:rsid w:val="5EEC74EE"/>
    <w:rsid w:val="5EF65FD4"/>
    <w:rsid w:val="5F0B654D"/>
    <w:rsid w:val="5F1D2D36"/>
    <w:rsid w:val="5F216627"/>
    <w:rsid w:val="5F241E82"/>
    <w:rsid w:val="5F2659FA"/>
    <w:rsid w:val="5F334C9E"/>
    <w:rsid w:val="5F431278"/>
    <w:rsid w:val="5F573D76"/>
    <w:rsid w:val="5F6A3045"/>
    <w:rsid w:val="5F776B7A"/>
    <w:rsid w:val="5F9037AB"/>
    <w:rsid w:val="5F9340E7"/>
    <w:rsid w:val="5F9E24BF"/>
    <w:rsid w:val="5FA40099"/>
    <w:rsid w:val="5FB56319"/>
    <w:rsid w:val="5FB95746"/>
    <w:rsid w:val="5FBC11BE"/>
    <w:rsid w:val="5FBF63D7"/>
    <w:rsid w:val="5FC745C1"/>
    <w:rsid w:val="5FCB39AC"/>
    <w:rsid w:val="5FDA3E54"/>
    <w:rsid w:val="5FDB00CC"/>
    <w:rsid w:val="5FED340D"/>
    <w:rsid w:val="60191AE3"/>
    <w:rsid w:val="601A17FA"/>
    <w:rsid w:val="602B2B1F"/>
    <w:rsid w:val="60331DCB"/>
    <w:rsid w:val="604978E6"/>
    <w:rsid w:val="606C3AFB"/>
    <w:rsid w:val="607108BB"/>
    <w:rsid w:val="60797603"/>
    <w:rsid w:val="608B229A"/>
    <w:rsid w:val="60A560E9"/>
    <w:rsid w:val="60B55E84"/>
    <w:rsid w:val="60BA52FF"/>
    <w:rsid w:val="60BD3410"/>
    <w:rsid w:val="60BF0165"/>
    <w:rsid w:val="60C403B5"/>
    <w:rsid w:val="60CC54B5"/>
    <w:rsid w:val="60D01365"/>
    <w:rsid w:val="60D14B84"/>
    <w:rsid w:val="60D43384"/>
    <w:rsid w:val="60E044E7"/>
    <w:rsid w:val="60E46CB1"/>
    <w:rsid w:val="60F70E40"/>
    <w:rsid w:val="61001E11"/>
    <w:rsid w:val="610042C5"/>
    <w:rsid w:val="61005446"/>
    <w:rsid w:val="610328D2"/>
    <w:rsid w:val="610B436C"/>
    <w:rsid w:val="610C33AB"/>
    <w:rsid w:val="61197428"/>
    <w:rsid w:val="61230B7F"/>
    <w:rsid w:val="612B5309"/>
    <w:rsid w:val="6136381B"/>
    <w:rsid w:val="613B737B"/>
    <w:rsid w:val="61451ED9"/>
    <w:rsid w:val="6150163D"/>
    <w:rsid w:val="61721F07"/>
    <w:rsid w:val="618E62A4"/>
    <w:rsid w:val="619377CC"/>
    <w:rsid w:val="61BC6090"/>
    <w:rsid w:val="61C92828"/>
    <w:rsid w:val="61CE69DE"/>
    <w:rsid w:val="62021E4D"/>
    <w:rsid w:val="621F7EB1"/>
    <w:rsid w:val="623443AC"/>
    <w:rsid w:val="623556DC"/>
    <w:rsid w:val="623A647B"/>
    <w:rsid w:val="624625E6"/>
    <w:rsid w:val="624E4063"/>
    <w:rsid w:val="62672B77"/>
    <w:rsid w:val="627B0930"/>
    <w:rsid w:val="62825F18"/>
    <w:rsid w:val="628366ED"/>
    <w:rsid w:val="629827CA"/>
    <w:rsid w:val="629C1C05"/>
    <w:rsid w:val="629D0F28"/>
    <w:rsid w:val="629D36D4"/>
    <w:rsid w:val="62B40787"/>
    <w:rsid w:val="62C23546"/>
    <w:rsid w:val="62C277B5"/>
    <w:rsid w:val="62C529BB"/>
    <w:rsid w:val="62CD5C38"/>
    <w:rsid w:val="62D44705"/>
    <w:rsid w:val="62DB4FBC"/>
    <w:rsid w:val="62DD287D"/>
    <w:rsid w:val="62EA0606"/>
    <w:rsid w:val="62F47ACC"/>
    <w:rsid w:val="62F640B8"/>
    <w:rsid w:val="630B2B08"/>
    <w:rsid w:val="631702D4"/>
    <w:rsid w:val="632808C6"/>
    <w:rsid w:val="63397D56"/>
    <w:rsid w:val="633E383B"/>
    <w:rsid w:val="634D7D3E"/>
    <w:rsid w:val="63523C82"/>
    <w:rsid w:val="63561001"/>
    <w:rsid w:val="635B5A24"/>
    <w:rsid w:val="636A462E"/>
    <w:rsid w:val="63796341"/>
    <w:rsid w:val="63884902"/>
    <w:rsid w:val="63895DDE"/>
    <w:rsid w:val="63954FAE"/>
    <w:rsid w:val="639923F7"/>
    <w:rsid w:val="63AC193C"/>
    <w:rsid w:val="63C04E04"/>
    <w:rsid w:val="63D23B74"/>
    <w:rsid w:val="63D61C4E"/>
    <w:rsid w:val="63E941F9"/>
    <w:rsid w:val="63EF42EA"/>
    <w:rsid w:val="63EF6EE2"/>
    <w:rsid w:val="64245DC5"/>
    <w:rsid w:val="64291B51"/>
    <w:rsid w:val="642F0A24"/>
    <w:rsid w:val="6444150D"/>
    <w:rsid w:val="64454811"/>
    <w:rsid w:val="6449352D"/>
    <w:rsid w:val="644E4F92"/>
    <w:rsid w:val="64526A1C"/>
    <w:rsid w:val="64535BC1"/>
    <w:rsid w:val="64576186"/>
    <w:rsid w:val="647430B7"/>
    <w:rsid w:val="64A75CB7"/>
    <w:rsid w:val="64B05886"/>
    <w:rsid w:val="64BC7E1C"/>
    <w:rsid w:val="64C77E23"/>
    <w:rsid w:val="64DD5AC4"/>
    <w:rsid w:val="64DF7B87"/>
    <w:rsid w:val="64F03540"/>
    <w:rsid w:val="650806BA"/>
    <w:rsid w:val="6512349F"/>
    <w:rsid w:val="65192D1E"/>
    <w:rsid w:val="65210647"/>
    <w:rsid w:val="65371F09"/>
    <w:rsid w:val="65393F02"/>
    <w:rsid w:val="653D03D2"/>
    <w:rsid w:val="65406112"/>
    <w:rsid w:val="65522698"/>
    <w:rsid w:val="655653F1"/>
    <w:rsid w:val="65737411"/>
    <w:rsid w:val="658E2D6E"/>
    <w:rsid w:val="65932CDE"/>
    <w:rsid w:val="659A1DBC"/>
    <w:rsid w:val="65AE58E5"/>
    <w:rsid w:val="65B74556"/>
    <w:rsid w:val="65C838EB"/>
    <w:rsid w:val="65CE01FD"/>
    <w:rsid w:val="65D20D50"/>
    <w:rsid w:val="65E66FF2"/>
    <w:rsid w:val="65F51F83"/>
    <w:rsid w:val="660246E2"/>
    <w:rsid w:val="66050E95"/>
    <w:rsid w:val="66166878"/>
    <w:rsid w:val="661D5902"/>
    <w:rsid w:val="66207541"/>
    <w:rsid w:val="66334EC6"/>
    <w:rsid w:val="66371E4E"/>
    <w:rsid w:val="663B47AE"/>
    <w:rsid w:val="664F655E"/>
    <w:rsid w:val="66544472"/>
    <w:rsid w:val="66615FE1"/>
    <w:rsid w:val="66623EF0"/>
    <w:rsid w:val="666327BE"/>
    <w:rsid w:val="666B33F7"/>
    <w:rsid w:val="666E13AB"/>
    <w:rsid w:val="667C7FFC"/>
    <w:rsid w:val="66807D6A"/>
    <w:rsid w:val="6692688E"/>
    <w:rsid w:val="669317A9"/>
    <w:rsid w:val="66AA1FD6"/>
    <w:rsid w:val="66AB5B1E"/>
    <w:rsid w:val="66B115AF"/>
    <w:rsid w:val="66B17097"/>
    <w:rsid w:val="66B175A4"/>
    <w:rsid w:val="66B75E4C"/>
    <w:rsid w:val="66C6442E"/>
    <w:rsid w:val="66CE2830"/>
    <w:rsid w:val="66D807AD"/>
    <w:rsid w:val="66DC2BA2"/>
    <w:rsid w:val="67017904"/>
    <w:rsid w:val="67093AAD"/>
    <w:rsid w:val="671301BC"/>
    <w:rsid w:val="6715090F"/>
    <w:rsid w:val="671606AC"/>
    <w:rsid w:val="671B3E71"/>
    <w:rsid w:val="673351C9"/>
    <w:rsid w:val="673D70D1"/>
    <w:rsid w:val="674D0CAD"/>
    <w:rsid w:val="675926E7"/>
    <w:rsid w:val="675A7B60"/>
    <w:rsid w:val="67650CF8"/>
    <w:rsid w:val="6765360C"/>
    <w:rsid w:val="6774426E"/>
    <w:rsid w:val="677A4EDC"/>
    <w:rsid w:val="678115A1"/>
    <w:rsid w:val="67815F6F"/>
    <w:rsid w:val="6783350B"/>
    <w:rsid w:val="679B2748"/>
    <w:rsid w:val="67A53B1B"/>
    <w:rsid w:val="67B83EC4"/>
    <w:rsid w:val="67C31710"/>
    <w:rsid w:val="67C43B40"/>
    <w:rsid w:val="67C61B2D"/>
    <w:rsid w:val="67DA1621"/>
    <w:rsid w:val="67F83E54"/>
    <w:rsid w:val="67FF230D"/>
    <w:rsid w:val="681E216C"/>
    <w:rsid w:val="681F3642"/>
    <w:rsid w:val="6822195C"/>
    <w:rsid w:val="68270ABC"/>
    <w:rsid w:val="68322B36"/>
    <w:rsid w:val="68382348"/>
    <w:rsid w:val="683D358E"/>
    <w:rsid w:val="683D7EF2"/>
    <w:rsid w:val="683F6B51"/>
    <w:rsid w:val="684B328A"/>
    <w:rsid w:val="684F11E2"/>
    <w:rsid w:val="685861E4"/>
    <w:rsid w:val="685D557B"/>
    <w:rsid w:val="689064BB"/>
    <w:rsid w:val="6897219E"/>
    <w:rsid w:val="68A13403"/>
    <w:rsid w:val="68AC21C0"/>
    <w:rsid w:val="68C9212A"/>
    <w:rsid w:val="68CE63D2"/>
    <w:rsid w:val="68DA72D6"/>
    <w:rsid w:val="68DC32A1"/>
    <w:rsid w:val="68F06982"/>
    <w:rsid w:val="69061A84"/>
    <w:rsid w:val="69071F0C"/>
    <w:rsid w:val="69287E90"/>
    <w:rsid w:val="69313D17"/>
    <w:rsid w:val="69372A1C"/>
    <w:rsid w:val="693B3E19"/>
    <w:rsid w:val="694C795E"/>
    <w:rsid w:val="69504A91"/>
    <w:rsid w:val="695E03AF"/>
    <w:rsid w:val="696862BC"/>
    <w:rsid w:val="69697F02"/>
    <w:rsid w:val="69715BFD"/>
    <w:rsid w:val="697316AC"/>
    <w:rsid w:val="69736247"/>
    <w:rsid w:val="69770500"/>
    <w:rsid w:val="698E383C"/>
    <w:rsid w:val="699C472B"/>
    <w:rsid w:val="69A46DFA"/>
    <w:rsid w:val="69A7394C"/>
    <w:rsid w:val="69B76212"/>
    <w:rsid w:val="69C00D89"/>
    <w:rsid w:val="69E81C25"/>
    <w:rsid w:val="69ED6E5E"/>
    <w:rsid w:val="69F127B0"/>
    <w:rsid w:val="69F34CE1"/>
    <w:rsid w:val="69F40813"/>
    <w:rsid w:val="69F528E0"/>
    <w:rsid w:val="69FE25FB"/>
    <w:rsid w:val="6A000EEF"/>
    <w:rsid w:val="6A0C22D1"/>
    <w:rsid w:val="6A1A1386"/>
    <w:rsid w:val="6A463BB1"/>
    <w:rsid w:val="6A473A4C"/>
    <w:rsid w:val="6A475350"/>
    <w:rsid w:val="6A504606"/>
    <w:rsid w:val="6A5D3577"/>
    <w:rsid w:val="6A815247"/>
    <w:rsid w:val="6A8D4214"/>
    <w:rsid w:val="6A8F413A"/>
    <w:rsid w:val="6A901EC0"/>
    <w:rsid w:val="6A9B0801"/>
    <w:rsid w:val="6A9B7162"/>
    <w:rsid w:val="6AA51063"/>
    <w:rsid w:val="6AAA1F59"/>
    <w:rsid w:val="6AB03878"/>
    <w:rsid w:val="6ACC7552"/>
    <w:rsid w:val="6ACF0149"/>
    <w:rsid w:val="6AD670AA"/>
    <w:rsid w:val="6AEB58FC"/>
    <w:rsid w:val="6AEE412A"/>
    <w:rsid w:val="6AFC18AE"/>
    <w:rsid w:val="6AFD13C7"/>
    <w:rsid w:val="6B067D12"/>
    <w:rsid w:val="6B0C7648"/>
    <w:rsid w:val="6B0F35C3"/>
    <w:rsid w:val="6B524D7F"/>
    <w:rsid w:val="6B5826FB"/>
    <w:rsid w:val="6B5A2C91"/>
    <w:rsid w:val="6B7648A9"/>
    <w:rsid w:val="6B771315"/>
    <w:rsid w:val="6B7A2EEE"/>
    <w:rsid w:val="6B8E6520"/>
    <w:rsid w:val="6B9E35A6"/>
    <w:rsid w:val="6B9F4AC4"/>
    <w:rsid w:val="6BBE7237"/>
    <w:rsid w:val="6BC15AD2"/>
    <w:rsid w:val="6BCA5E91"/>
    <w:rsid w:val="6BD556F5"/>
    <w:rsid w:val="6C015C6D"/>
    <w:rsid w:val="6C1B2C6F"/>
    <w:rsid w:val="6C231E99"/>
    <w:rsid w:val="6C281215"/>
    <w:rsid w:val="6C312275"/>
    <w:rsid w:val="6C312C1C"/>
    <w:rsid w:val="6C5119AD"/>
    <w:rsid w:val="6C5B6EC8"/>
    <w:rsid w:val="6C5F672C"/>
    <w:rsid w:val="6C6C0AE6"/>
    <w:rsid w:val="6C7219B7"/>
    <w:rsid w:val="6C731C6F"/>
    <w:rsid w:val="6C817B73"/>
    <w:rsid w:val="6C82408A"/>
    <w:rsid w:val="6C843D66"/>
    <w:rsid w:val="6C856E60"/>
    <w:rsid w:val="6CAB39AF"/>
    <w:rsid w:val="6CC50C80"/>
    <w:rsid w:val="6CC8021F"/>
    <w:rsid w:val="6CCF6088"/>
    <w:rsid w:val="6CE00D7C"/>
    <w:rsid w:val="6CE01942"/>
    <w:rsid w:val="6CF465F7"/>
    <w:rsid w:val="6CF83A98"/>
    <w:rsid w:val="6CFD1C73"/>
    <w:rsid w:val="6D064069"/>
    <w:rsid w:val="6D086902"/>
    <w:rsid w:val="6D136164"/>
    <w:rsid w:val="6D1E5994"/>
    <w:rsid w:val="6D2903E9"/>
    <w:rsid w:val="6D2A0B6B"/>
    <w:rsid w:val="6D347A5C"/>
    <w:rsid w:val="6D3A0FAD"/>
    <w:rsid w:val="6D5100D9"/>
    <w:rsid w:val="6D5B3E4C"/>
    <w:rsid w:val="6D5F3196"/>
    <w:rsid w:val="6D616451"/>
    <w:rsid w:val="6D6D628A"/>
    <w:rsid w:val="6D6F5106"/>
    <w:rsid w:val="6D7438E1"/>
    <w:rsid w:val="6D82619F"/>
    <w:rsid w:val="6D8321E7"/>
    <w:rsid w:val="6D8C7A18"/>
    <w:rsid w:val="6D900476"/>
    <w:rsid w:val="6D951E10"/>
    <w:rsid w:val="6D96641B"/>
    <w:rsid w:val="6D9828DE"/>
    <w:rsid w:val="6D9F1317"/>
    <w:rsid w:val="6DB205FC"/>
    <w:rsid w:val="6DBB6A7F"/>
    <w:rsid w:val="6DD00193"/>
    <w:rsid w:val="6DD52614"/>
    <w:rsid w:val="6DD57130"/>
    <w:rsid w:val="6DD65489"/>
    <w:rsid w:val="6DDF2D76"/>
    <w:rsid w:val="6DE37A8B"/>
    <w:rsid w:val="6DE60E6E"/>
    <w:rsid w:val="6DF168ED"/>
    <w:rsid w:val="6DF33728"/>
    <w:rsid w:val="6DF33E08"/>
    <w:rsid w:val="6E096499"/>
    <w:rsid w:val="6E0E210D"/>
    <w:rsid w:val="6E1C7547"/>
    <w:rsid w:val="6E1E669D"/>
    <w:rsid w:val="6E3A1A12"/>
    <w:rsid w:val="6E4436D0"/>
    <w:rsid w:val="6E4543E3"/>
    <w:rsid w:val="6E4C25D2"/>
    <w:rsid w:val="6E536B07"/>
    <w:rsid w:val="6E547AF6"/>
    <w:rsid w:val="6E550CE8"/>
    <w:rsid w:val="6E59097E"/>
    <w:rsid w:val="6E5A4D72"/>
    <w:rsid w:val="6E63033E"/>
    <w:rsid w:val="6E690DC1"/>
    <w:rsid w:val="6E8C436C"/>
    <w:rsid w:val="6E932086"/>
    <w:rsid w:val="6E935476"/>
    <w:rsid w:val="6EA14B48"/>
    <w:rsid w:val="6EA43834"/>
    <w:rsid w:val="6EB1500A"/>
    <w:rsid w:val="6EBB06FC"/>
    <w:rsid w:val="6EC10A60"/>
    <w:rsid w:val="6EC83E53"/>
    <w:rsid w:val="6EE34329"/>
    <w:rsid w:val="6EE93269"/>
    <w:rsid w:val="6EEA7D06"/>
    <w:rsid w:val="6EEB630B"/>
    <w:rsid w:val="6EF96468"/>
    <w:rsid w:val="6EFA1A1B"/>
    <w:rsid w:val="6EFE2E48"/>
    <w:rsid w:val="6F034BBC"/>
    <w:rsid w:val="6F185CEC"/>
    <w:rsid w:val="6F2F553B"/>
    <w:rsid w:val="6F6E0300"/>
    <w:rsid w:val="6F700F29"/>
    <w:rsid w:val="6F795DCE"/>
    <w:rsid w:val="6F796836"/>
    <w:rsid w:val="6F832700"/>
    <w:rsid w:val="6F895BC1"/>
    <w:rsid w:val="6F8F5076"/>
    <w:rsid w:val="6F9F136C"/>
    <w:rsid w:val="6FA9775F"/>
    <w:rsid w:val="6FAD7E7C"/>
    <w:rsid w:val="6FB37A1B"/>
    <w:rsid w:val="6FBA2472"/>
    <w:rsid w:val="6FCC7E8E"/>
    <w:rsid w:val="6FE51487"/>
    <w:rsid w:val="6FED66BF"/>
    <w:rsid w:val="6FEF60D2"/>
    <w:rsid w:val="700D59DF"/>
    <w:rsid w:val="701D21BD"/>
    <w:rsid w:val="701D3A20"/>
    <w:rsid w:val="7027213B"/>
    <w:rsid w:val="70286E17"/>
    <w:rsid w:val="7033389C"/>
    <w:rsid w:val="70583A7F"/>
    <w:rsid w:val="70825360"/>
    <w:rsid w:val="709011CF"/>
    <w:rsid w:val="70973289"/>
    <w:rsid w:val="70A06320"/>
    <w:rsid w:val="70A17614"/>
    <w:rsid w:val="70AF7D7E"/>
    <w:rsid w:val="70BD2563"/>
    <w:rsid w:val="70C810E1"/>
    <w:rsid w:val="70D07F34"/>
    <w:rsid w:val="70D4790F"/>
    <w:rsid w:val="70E52F98"/>
    <w:rsid w:val="70FA0D00"/>
    <w:rsid w:val="7108144C"/>
    <w:rsid w:val="71132C5F"/>
    <w:rsid w:val="711B16C4"/>
    <w:rsid w:val="713263EE"/>
    <w:rsid w:val="71472A96"/>
    <w:rsid w:val="71552448"/>
    <w:rsid w:val="715B58A0"/>
    <w:rsid w:val="717B5634"/>
    <w:rsid w:val="717C41B3"/>
    <w:rsid w:val="717E287E"/>
    <w:rsid w:val="71877090"/>
    <w:rsid w:val="718831A6"/>
    <w:rsid w:val="718F1246"/>
    <w:rsid w:val="71A94617"/>
    <w:rsid w:val="71AC7C48"/>
    <w:rsid w:val="71BA11A8"/>
    <w:rsid w:val="71BE2D62"/>
    <w:rsid w:val="71C1461F"/>
    <w:rsid w:val="71C909A9"/>
    <w:rsid w:val="71CE646F"/>
    <w:rsid w:val="71E91189"/>
    <w:rsid w:val="71FA4A9C"/>
    <w:rsid w:val="72051F64"/>
    <w:rsid w:val="722B120D"/>
    <w:rsid w:val="72302AE3"/>
    <w:rsid w:val="724337D1"/>
    <w:rsid w:val="72473E52"/>
    <w:rsid w:val="724A3212"/>
    <w:rsid w:val="72562206"/>
    <w:rsid w:val="725A2D21"/>
    <w:rsid w:val="7270299C"/>
    <w:rsid w:val="727A5FCB"/>
    <w:rsid w:val="72827E44"/>
    <w:rsid w:val="728B3D94"/>
    <w:rsid w:val="728F43B4"/>
    <w:rsid w:val="72A2023F"/>
    <w:rsid w:val="72B936BC"/>
    <w:rsid w:val="72C431FD"/>
    <w:rsid w:val="72C82F84"/>
    <w:rsid w:val="72CE7BDF"/>
    <w:rsid w:val="72DA5327"/>
    <w:rsid w:val="72E17DF9"/>
    <w:rsid w:val="72E4044D"/>
    <w:rsid w:val="72E454EC"/>
    <w:rsid w:val="72E70C20"/>
    <w:rsid w:val="72F325B5"/>
    <w:rsid w:val="72F40F42"/>
    <w:rsid w:val="730F1219"/>
    <w:rsid w:val="7324613F"/>
    <w:rsid w:val="732474A1"/>
    <w:rsid w:val="73271A55"/>
    <w:rsid w:val="7328429D"/>
    <w:rsid w:val="73690166"/>
    <w:rsid w:val="7372033B"/>
    <w:rsid w:val="738048CA"/>
    <w:rsid w:val="738E09C4"/>
    <w:rsid w:val="73994E35"/>
    <w:rsid w:val="73B668E4"/>
    <w:rsid w:val="73DF1A82"/>
    <w:rsid w:val="73E80DD4"/>
    <w:rsid w:val="73E91DED"/>
    <w:rsid w:val="73EA3F02"/>
    <w:rsid w:val="73F56D0A"/>
    <w:rsid w:val="73F706BF"/>
    <w:rsid w:val="73FA2E6E"/>
    <w:rsid w:val="74062E93"/>
    <w:rsid w:val="74080790"/>
    <w:rsid w:val="740F68E1"/>
    <w:rsid w:val="741A3F07"/>
    <w:rsid w:val="742C2581"/>
    <w:rsid w:val="742F01C2"/>
    <w:rsid w:val="744270D3"/>
    <w:rsid w:val="74456E9E"/>
    <w:rsid w:val="74470169"/>
    <w:rsid w:val="745724F5"/>
    <w:rsid w:val="74880863"/>
    <w:rsid w:val="748A6917"/>
    <w:rsid w:val="74946317"/>
    <w:rsid w:val="74A25516"/>
    <w:rsid w:val="74B82A8C"/>
    <w:rsid w:val="74F23DC0"/>
    <w:rsid w:val="74F66E94"/>
    <w:rsid w:val="74F86F00"/>
    <w:rsid w:val="750049FD"/>
    <w:rsid w:val="75016740"/>
    <w:rsid w:val="75060B29"/>
    <w:rsid w:val="75212E6B"/>
    <w:rsid w:val="754650B9"/>
    <w:rsid w:val="754F0228"/>
    <w:rsid w:val="755A2893"/>
    <w:rsid w:val="756529CB"/>
    <w:rsid w:val="757714DD"/>
    <w:rsid w:val="75BD2FC5"/>
    <w:rsid w:val="75D40BA0"/>
    <w:rsid w:val="75E025AA"/>
    <w:rsid w:val="75EA0034"/>
    <w:rsid w:val="75EB5499"/>
    <w:rsid w:val="75EB69EE"/>
    <w:rsid w:val="75EE5086"/>
    <w:rsid w:val="75F6220E"/>
    <w:rsid w:val="75FD0A10"/>
    <w:rsid w:val="76067901"/>
    <w:rsid w:val="76181D8D"/>
    <w:rsid w:val="762039AB"/>
    <w:rsid w:val="762D1938"/>
    <w:rsid w:val="76331219"/>
    <w:rsid w:val="7639313F"/>
    <w:rsid w:val="76395878"/>
    <w:rsid w:val="764817A6"/>
    <w:rsid w:val="765361E6"/>
    <w:rsid w:val="7657790A"/>
    <w:rsid w:val="76593D8F"/>
    <w:rsid w:val="767264DA"/>
    <w:rsid w:val="76831FB2"/>
    <w:rsid w:val="768A124E"/>
    <w:rsid w:val="768A6503"/>
    <w:rsid w:val="76992420"/>
    <w:rsid w:val="769F6A31"/>
    <w:rsid w:val="76AA57E3"/>
    <w:rsid w:val="76AC23C9"/>
    <w:rsid w:val="76B13C98"/>
    <w:rsid w:val="76BD0F25"/>
    <w:rsid w:val="76DD32AF"/>
    <w:rsid w:val="76DE42BB"/>
    <w:rsid w:val="76DF4B4D"/>
    <w:rsid w:val="76EF4F3A"/>
    <w:rsid w:val="77064B45"/>
    <w:rsid w:val="771468E9"/>
    <w:rsid w:val="771E0844"/>
    <w:rsid w:val="772153F0"/>
    <w:rsid w:val="772E244C"/>
    <w:rsid w:val="775C757B"/>
    <w:rsid w:val="77622C71"/>
    <w:rsid w:val="77827676"/>
    <w:rsid w:val="77887794"/>
    <w:rsid w:val="77943930"/>
    <w:rsid w:val="7795187D"/>
    <w:rsid w:val="77960FDA"/>
    <w:rsid w:val="77A15EDD"/>
    <w:rsid w:val="77B041B4"/>
    <w:rsid w:val="77B07562"/>
    <w:rsid w:val="77B612EB"/>
    <w:rsid w:val="77BA6EC2"/>
    <w:rsid w:val="77BC3432"/>
    <w:rsid w:val="77C32E31"/>
    <w:rsid w:val="77CF24BB"/>
    <w:rsid w:val="77E1029F"/>
    <w:rsid w:val="77E77A51"/>
    <w:rsid w:val="77F00D8D"/>
    <w:rsid w:val="780C1AD6"/>
    <w:rsid w:val="780C7657"/>
    <w:rsid w:val="7818319E"/>
    <w:rsid w:val="78185626"/>
    <w:rsid w:val="781C104F"/>
    <w:rsid w:val="78254CF2"/>
    <w:rsid w:val="782B5EDC"/>
    <w:rsid w:val="7830249E"/>
    <w:rsid w:val="78350662"/>
    <w:rsid w:val="78352F32"/>
    <w:rsid w:val="786E32DE"/>
    <w:rsid w:val="788A5227"/>
    <w:rsid w:val="789904C2"/>
    <w:rsid w:val="78A424A8"/>
    <w:rsid w:val="78B378B7"/>
    <w:rsid w:val="78D11EE5"/>
    <w:rsid w:val="78E12B2D"/>
    <w:rsid w:val="78EF4C25"/>
    <w:rsid w:val="78F45036"/>
    <w:rsid w:val="78FE34DF"/>
    <w:rsid w:val="7906107E"/>
    <w:rsid w:val="7918451F"/>
    <w:rsid w:val="792E32BE"/>
    <w:rsid w:val="79463AF9"/>
    <w:rsid w:val="794F2351"/>
    <w:rsid w:val="79584F10"/>
    <w:rsid w:val="795F635B"/>
    <w:rsid w:val="796A1A69"/>
    <w:rsid w:val="796A4B90"/>
    <w:rsid w:val="797F1866"/>
    <w:rsid w:val="79836A94"/>
    <w:rsid w:val="798C1C03"/>
    <w:rsid w:val="798C764A"/>
    <w:rsid w:val="79910E12"/>
    <w:rsid w:val="79921CB3"/>
    <w:rsid w:val="79A3506E"/>
    <w:rsid w:val="79AB5AD6"/>
    <w:rsid w:val="79B742AC"/>
    <w:rsid w:val="79BE6A20"/>
    <w:rsid w:val="79D772F6"/>
    <w:rsid w:val="79DE7842"/>
    <w:rsid w:val="79E24434"/>
    <w:rsid w:val="79E6634B"/>
    <w:rsid w:val="79E81E01"/>
    <w:rsid w:val="7A01495E"/>
    <w:rsid w:val="7A186568"/>
    <w:rsid w:val="7A2045A3"/>
    <w:rsid w:val="7A2269BF"/>
    <w:rsid w:val="7A262A49"/>
    <w:rsid w:val="7A31763F"/>
    <w:rsid w:val="7A3F4307"/>
    <w:rsid w:val="7A465303"/>
    <w:rsid w:val="7A5D4CB5"/>
    <w:rsid w:val="7A632AD0"/>
    <w:rsid w:val="7A7D70F1"/>
    <w:rsid w:val="7A987AB2"/>
    <w:rsid w:val="7A991631"/>
    <w:rsid w:val="7A9952F6"/>
    <w:rsid w:val="7AA75C74"/>
    <w:rsid w:val="7AAC0ADD"/>
    <w:rsid w:val="7AB15DEC"/>
    <w:rsid w:val="7ABA0CD0"/>
    <w:rsid w:val="7AC32E92"/>
    <w:rsid w:val="7AE61A45"/>
    <w:rsid w:val="7AEE6C1A"/>
    <w:rsid w:val="7AF749A0"/>
    <w:rsid w:val="7AFB0D01"/>
    <w:rsid w:val="7B002BF9"/>
    <w:rsid w:val="7B0318B5"/>
    <w:rsid w:val="7B086452"/>
    <w:rsid w:val="7B142719"/>
    <w:rsid w:val="7B1E78EA"/>
    <w:rsid w:val="7B22028E"/>
    <w:rsid w:val="7B363817"/>
    <w:rsid w:val="7B4313CA"/>
    <w:rsid w:val="7B4B18A2"/>
    <w:rsid w:val="7B5460D0"/>
    <w:rsid w:val="7B644568"/>
    <w:rsid w:val="7B671608"/>
    <w:rsid w:val="7B7A0CAB"/>
    <w:rsid w:val="7B884E95"/>
    <w:rsid w:val="7B9102A3"/>
    <w:rsid w:val="7B934B36"/>
    <w:rsid w:val="7B9A6343"/>
    <w:rsid w:val="7B9B12EC"/>
    <w:rsid w:val="7BA56443"/>
    <w:rsid w:val="7BAA5A21"/>
    <w:rsid w:val="7BAC296B"/>
    <w:rsid w:val="7BC61990"/>
    <w:rsid w:val="7BE251E0"/>
    <w:rsid w:val="7BEA5687"/>
    <w:rsid w:val="7C0254CB"/>
    <w:rsid w:val="7C0D0502"/>
    <w:rsid w:val="7C163FE8"/>
    <w:rsid w:val="7C1C5FDC"/>
    <w:rsid w:val="7C352E2D"/>
    <w:rsid w:val="7C3906D7"/>
    <w:rsid w:val="7C3B235A"/>
    <w:rsid w:val="7C3C1A54"/>
    <w:rsid w:val="7C4138CA"/>
    <w:rsid w:val="7C422D51"/>
    <w:rsid w:val="7C4607CD"/>
    <w:rsid w:val="7C4F4F9E"/>
    <w:rsid w:val="7C527B60"/>
    <w:rsid w:val="7C575D0D"/>
    <w:rsid w:val="7C714DD1"/>
    <w:rsid w:val="7C892DC3"/>
    <w:rsid w:val="7C900A4A"/>
    <w:rsid w:val="7CAE6F07"/>
    <w:rsid w:val="7CBB0DAA"/>
    <w:rsid w:val="7CCD3B0F"/>
    <w:rsid w:val="7D0629A4"/>
    <w:rsid w:val="7D147829"/>
    <w:rsid w:val="7D1F1E3F"/>
    <w:rsid w:val="7D201000"/>
    <w:rsid w:val="7D29423B"/>
    <w:rsid w:val="7D3552A8"/>
    <w:rsid w:val="7D3E0FBC"/>
    <w:rsid w:val="7D405B0E"/>
    <w:rsid w:val="7D4A0A75"/>
    <w:rsid w:val="7D530747"/>
    <w:rsid w:val="7D574DF1"/>
    <w:rsid w:val="7D5A29D1"/>
    <w:rsid w:val="7D663091"/>
    <w:rsid w:val="7D6B310D"/>
    <w:rsid w:val="7D6C3D9B"/>
    <w:rsid w:val="7D7779A4"/>
    <w:rsid w:val="7D87152E"/>
    <w:rsid w:val="7D8A37FD"/>
    <w:rsid w:val="7D8C2680"/>
    <w:rsid w:val="7DBD0858"/>
    <w:rsid w:val="7DCA35E4"/>
    <w:rsid w:val="7DCD1BD3"/>
    <w:rsid w:val="7DD550C9"/>
    <w:rsid w:val="7DD6157D"/>
    <w:rsid w:val="7DE129A7"/>
    <w:rsid w:val="7DE72C04"/>
    <w:rsid w:val="7DE84D39"/>
    <w:rsid w:val="7E0446E4"/>
    <w:rsid w:val="7E07159B"/>
    <w:rsid w:val="7E11426D"/>
    <w:rsid w:val="7E127612"/>
    <w:rsid w:val="7E1428C7"/>
    <w:rsid w:val="7E1514A3"/>
    <w:rsid w:val="7E1B6404"/>
    <w:rsid w:val="7E2D1162"/>
    <w:rsid w:val="7E327670"/>
    <w:rsid w:val="7E3F6324"/>
    <w:rsid w:val="7E494742"/>
    <w:rsid w:val="7E495145"/>
    <w:rsid w:val="7E4A680D"/>
    <w:rsid w:val="7E4B1E25"/>
    <w:rsid w:val="7E55302C"/>
    <w:rsid w:val="7E7058E3"/>
    <w:rsid w:val="7E7B6E46"/>
    <w:rsid w:val="7E827697"/>
    <w:rsid w:val="7E846151"/>
    <w:rsid w:val="7E9568F1"/>
    <w:rsid w:val="7EA230BF"/>
    <w:rsid w:val="7EB03A89"/>
    <w:rsid w:val="7EB93F11"/>
    <w:rsid w:val="7EC178B2"/>
    <w:rsid w:val="7EC65038"/>
    <w:rsid w:val="7ED72269"/>
    <w:rsid w:val="7ED8789A"/>
    <w:rsid w:val="7EE445FE"/>
    <w:rsid w:val="7EFE39E6"/>
    <w:rsid w:val="7F004321"/>
    <w:rsid w:val="7F04781C"/>
    <w:rsid w:val="7F232836"/>
    <w:rsid w:val="7F26515C"/>
    <w:rsid w:val="7F2B2041"/>
    <w:rsid w:val="7F3117EF"/>
    <w:rsid w:val="7F3C3B0F"/>
    <w:rsid w:val="7F5B113F"/>
    <w:rsid w:val="7F5B28E8"/>
    <w:rsid w:val="7F602CC3"/>
    <w:rsid w:val="7F887AB1"/>
    <w:rsid w:val="7F8C37B2"/>
    <w:rsid w:val="7F8D3525"/>
    <w:rsid w:val="7F9D2838"/>
    <w:rsid w:val="7FB92156"/>
    <w:rsid w:val="7FCC69EF"/>
    <w:rsid w:val="7FD46503"/>
    <w:rsid w:val="7FE320C5"/>
    <w:rsid w:val="7FFB2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Indent"/>
    <w:basedOn w:val="1"/>
    <w:qFormat/>
    <w:uiPriority w:val="0"/>
    <w:pPr>
      <w:spacing w:after="120"/>
      <w:ind w:left="420" w:leftChars="200"/>
    </w:pPr>
  </w:style>
  <w:style w:type="paragraph" w:styleId="4">
    <w:name w:val="Block Text"/>
    <w:basedOn w:val="1"/>
    <w:qFormat/>
    <w:uiPriority w:val="0"/>
    <w:pPr>
      <w:spacing w:after="120"/>
      <w:ind w:left="1440" w:leftChars="700" w:right="1440" w:rightChars="7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qFormat/>
    <w:uiPriority w:val="0"/>
    <w:pPr>
      <w:ind w:firstLine="420" w:firstLineChars="200"/>
    </w:pPr>
  </w:style>
  <w:style w:type="paragraph" w:customStyle="1" w:styleId="1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2">
    <w:name w:val="二级无"/>
    <w:basedOn w:val="1"/>
    <w:qFormat/>
    <w:uiPriority w:val="0"/>
    <w:pPr>
      <w:numPr>
        <w:ilvl w:val="2"/>
        <w:numId w:val="1"/>
      </w:numPr>
      <w:jc w:val="left"/>
      <w:outlineLvl w:val="3"/>
    </w:pPr>
    <w:rPr>
      <w:rFonts w:ascii="宋体"/>
      <w:szCs w:val="21"/>
    </w:rPr>
  </w:style>
  <w:style w:type="paragraph" w:customStyle="1" w:styleId="13">
    <w:name w:val="公文-无"/>
    <w:basedOn w:val="14"/>
    <w:qFormat/>
    <w:uiPriority w:val="0"/>
    <w:pPr>
      <w:ind w:firstLine="0" w:firstLineChars="0"/>
    </w:pPr>
  </w:style>
  <w:style w:type="paragraph" w:customStyle="1" w:styleId="14">
    <w:name w:val="公文-正文"/>
    <w:basedOn w:val="1"/>
    <w:qFormat/>
    <w:uiPriority w:val="0"/>
    <w:pPr>
      <w:spacing w:line="560" w:lineRule="exact"/>
      <w:ind w:firstLine="200" w:firstLineChars="200"/>
    </w:pPr>
    <w:rPr>
      <w:rFonts w:ascii="仿宋_GB2312" w:hAnsi="Calibri" w:eastAsia="仿宋_GB231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2025-10-27T00:29:00Z</dcterms:created>
  <dc:creator>Administrator</dc:creator>
  <cp:lastModifiedBy>Administrator</cp:lastModifiedBy>
  <dcterms:modified xsi:type="dcterms:W3CDTF">2025-12-04T08:36:21Z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5BEF4C027B554285B76B3569E36C717A_13</vt:lpwstr>
  </property>
</Properties>
</file>