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jc w:val="center"/>
        <w:textAlignment w:val="baseline"/>
        <w:rPr>
          <w:rFonts w:ascii="微软雅黑" w:hAnsi="微软雅黑" w:eastAsia="微软雅黑" w:cs="微软雅黑"/>
          <w:color w:val="auto"/>
          <w:sz w:val="33"/>
          <w:szCs w:val="33"/>
        </w:rPr>
      </w:pPr>
      <w:r>
        <w:rPr>
          <w:rFonts w:hint="eastAsia" w:ascii="微软雅黑" w:hAnsi="微软雅黑" w:eastAsia="微软雅黑" w:cs="微软雅黑"/>
          <w:i w:val="0"/>
          <w:iCs w:val="0"/>
          <w:caps w:val="0"/>
          <w:color w:val="auto"/>
          <w:spacing w:val="0"/>
          <w:sz w:val="33"/>
          <w:szCs w:val="33"/>
          <w:vertAlign w:val="baseline"/>
        </w:rPr>
        <w:t>福建沙县农村商业银行股份有限公司202</w:t>
      </w:r>
      <w:r>
        <w:rPr>
          <w:rFonts w:hint="eastAsia" w:ascii="微软雅黑" w:hAnsi="微软雅黑" w:eastAsia="微软雅黑" w:cs="微软雅黑"/>
          <w:i w:val="0"/>
          <w:iCs w:val="0"/>
          <w:caps w:val="0"/>
          <w:color w:val="auto"/>
          <w:spacing w:val="0"/>
          <w:sz w:val="33"/>
          <w:szCs w:val="33"/>
          <w:vertAlign w:val="baseline"/>
          <w:lang w:val="en-US" w:eastAsia="zh-CN"/>
        </w:rPr>
        <w:t>6</w:t>
      </w:r>
      <w:r>
        <w:rPr>
          <w:rFonts w:hint="eastAsia" w:ascii="微软雅黑" w:hAnsi="微软雅黑" w:eastAsia="微软雅黑" w:cs="微软雅黑"/>
          <w:i w:val="0"/>
          <w:iCs w:val="0"/>
          <w:caps w:val="0"/>
          <w:color w:val="auto"/>
          <w:spacing w:val="0"/>
          <w:sz w:val="33"/>
          <w:szCs w:val="33"/>
          <w:vertAlign w:val="baseline"/>
        </w:rPr>
        <w:t>年第</w:t>
      </w:r>
      <w:r>
        <w:rPr>
          <w:rFonts w:hint="eastAsia" w:ascii="微软雅黑" w:hAnsi="微软雅黑" w:eastAsia="微软雅黑" w:cs="微软雅黑"/>
          <w:i w:val="0"/>
          <w:iCs w:val="0"/>
          <w:caps w:val="0"/>
          <w:color w:val="auto"/>
          <w:spacing w:val="0"/>
          <w:sz w:val="33"/>
          <w:szCs w:val="33"/>
          <w:vertAlign w:val="baseline"/>
          <w:lang w:val="en-US" w:eastAsia="zh-CN"/>
        </w:rPr>
        <w:t>一</w:t>
      </w:r>
      <w:r>
        <w:rPr>
          <w:rFonts w:hint="eastAsia" w:ascii="微软雅黑" w:hAnsi="微软雅黑" w:eastAsia="微软雅黑" w:cs="微软雅黑"/>
          <w:i w:val="0"/>
          <w:iCs w:val="0"/>
          <w:caps w:val="0"/>
          <w:color w:val="auto"/>
          <w:spacing w:val="0"/>
          <w:sz w:val="33"/>
          <w:szCs w:val="33"/>
          <w:vertAlign w:val="baseline"/>
        </w:rPr>
        <w:t>季度关联交易信息披露</w:t>
      </w:r>
    </w:p>
    <w:p>
      <w:pPr>
        <w:rPr>
          <w:rFonts w:ascii="仿宋_GB2312" w:hAnsi="微软雅黑" w:eastAsia="仿宋_GB2312" w:cs="仿宋_GB2312"/>
          <w:i w:val="0"/>
          <w:iCs w:val="0"/>
          <w:caps w:val="0"/>
          <w:color w:val="auto"/>
          <w:spacing w:val="0"/>
          <w:sz w:val="24"/>
          <w:szCs w:val="24"/>
          <w:vertAlign w:val="baseline"/>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s="仿宋_GB2312"/>
          <w:i w:val="0"/>
          <w:iCs w:val="0"/>
          <w:caps w:val="0"/>
          <w:color w:val="auto"/>
          <w:spacing w:val="0"/>
          <w:sz w:val="28"/>
          <w:szCs w:val="28"/>
          <w:vertAlign w:val="baseline"/>
          <w:lang w:val="en-US" w:eastAsia="zh-CN"/>
        </w:rPr>
      </w:pPr>
      <w:r>
        <w:rPr>
          <w:rFonts w:ascii="仿宋_GB2312" w:hAnsi="微软雅黑" w:eastAsia="仿宋_GB2312" w:cs="仿宋_GB2312"/>
          <w:i w:val="0"/>
          <w:iCs w:val="0"/>
          <w:caps w:val="0"/>
          <w:color w:val="auto"/>
          <w:spacing w:val="0"/>
          <w:sz w:val="28"/>
          <w:szCs w:val="28"/>
          <w:vertAlign w:val="baseline"/>
        </w:rPr>
        <w:t>根据</w:t>
      </w:r>
      <w:r>
        <w:rPr>
          <w:rFonts w:hint="eastAsia" w:ascii="仿宋_GB2312" w:hAnsi="微软雅黑" w:eastAsia="仿宋_GB2312" w:cs="仿宋_GB2312"/>
          <w:i w:val="0"/>
          <w:iCs w:val="0"/>
          <w:caps w:val="0"/>
          <w:color w:val="auto"/>
          <w:spacing w:val="0"/>
          <w:sz w:val="28"/>
          <w:szCs w:val="28"/>
          <w:vertAlign w:val="baseline"/>
          <w:lang w:val="en-US" w:eastAsia="zh-CN"/>
        </w:rPr>
        <w:t>《银行保险机构关联交易管理办法》、</w:t>
      </w:r>
      <w:r>
        <w:rPr>
          <w:rFonts w:ascii="仿宋_GB2312" w:hAnsi="微软雅黑" w:eastAsia="仿宋_GB2312" w:cs="仿宋_GB2312"/>
          <w:i w:val="0"/>
          <w:iCs w:val="0"/>
          <w:caps w:val="0"/>
          <w:color w:val="auto"/>
          <w:spacing w:val="0"/>
          <w:sz w:val="28"/>
          <w:szCs w:val="28"/>
          <w:vertAlign w:val="baseline"/>
        </w:rPr>
        <w:t>《</w:t>
      </w:r>
      <w:r>
        <w:rPr>
          <w:rFonts w:hint="eastAsia" w:ascii="仿宋_GB2312" w:hAnsi="微软雅黑" w:eastAsia="仿宋_GB2312" w:cs="仿宋_GB2312"/>
          <w:i w:val="0"/>
          <w:iCs w:val="0"/>
          <w:caps w:val="0"/>
          <w:color w:val="auto"/>
          <w:spacing w:val="0"/>
          <w:sz w:val="28"/>
          <w:szCs w:val="28"/>
          <w:vertAlign w:val="baseline"/>
          <w:lang w:val="en-US" w:eastAsia="zh-CN"/>
        </w:rPr>
        <w:t>沙县农商银行关联交易管理办法（2025 年修订版）</w:t>
      </w:r>
      <w:r>
        <w:rPr>
          <w:rFonts w:ascii="仿宋_GB2312" w:hAnsi="微软雅黑" w:eastAsia="仿宋_GB2312" w:cs="仿宋_GB2312"/>
          <w:i w:val="0"/>
          <w:iCs w:val="0"/>
          <w:caps w:val="0"/>
          <w:color w:val="auto"/>
          <w:spacing w:val="0"/>
          <w:sz w:val="28"/>
          <w:szCs w:val="28"/>
          <w:vertAlign w:val="baseline"/>
        </w:rPr>
        <w:t>》</w:t>
      </w:r>
      <w:r>
        <w:rPr>
          <w:rFonts w:hint="eastAsia" w:ascii="仿宋_GB2312" w:hAnsi="微软雅黑" w:eastAsia="仿宋_GB2312" w:cs="仿宋_GB2312"/>
          <w:i w:val="0"/>
          <w:iCs w:val="0"/>
          <w:caps w:val="0"/>
          <w:color w:val="auto"/>
          <w:spacing w:val="0"/>
          <w:sz w:val="28"/>
          <w:szCs w:val="28"/>
          <w:vertAlign w:val="baseline"/>
          <w:lang w:eastAsia="zh-CN"/>
        </w:rPr>
        <w:t>相关</w:t>
      </w:r>
      <w:r>
        <w:rPr>
          <w:rFonts w:ascii="仿宋_GB2312" w:hAnsi="微软雅黑" w:eastAsia="仿宋_GB2312" w:cs="仿宋_GB2312"/>
          <w:i w:val="0"/>
          <w:iCs w:val="0"/>
          <w:caps w:val="0"/>
          <w:color w:val="auto"/>
          <w:spacing w:val="0"/>
          <w:sz w:val="28"/>
          <w:szCs w:val="28"/>
          <w:vertAlign w:val="baseline"/>
        </w:rPr>
        <w:t>规定</w:t>
      </w:r>
      <w:r>
        <w:rPr>
          <w:rFonts w:hint="eastAsia" w:ascii="仿宋_GB2312" w:hAnsi="微软雅黑" w:eastAsia="仿宋_GB2312" w:cs="仿宋_GB2312"/>
          <w:i w:val="0"/>
          <w:iCs w:val="0"/>
          <w:caps w:val="0"/>
          <w:color w:val="auto"/>
          <w:spacing w:val="0"/>
          <w:sz w:val="28"/>
          <w:szCs w:val="28"/>
          <w:vertAlign w:val="baseline"/>
          <w:lang w:eastAsia="zh-CN"/>
        </w:rPr>
        <w:t>，现将</w:t>
      </w:r>
      <w:r>
        <w:rPr>
          <w:rFonts w:hint="eastAsia" w:ascii="仿宋_GB2312" w:hAnsi="微软雅黑" w:eastAsia="仿宋_GB2312" w:cs="仿宋_GB2312"/>
          <w:i w:val="0"/>
          <w:iCs w:val="0"/>
          <w:caps w:val="0"/>
          <w:color w:val="auto"/>
          <w:spacing w:val="0"/>
          <w:sz w:val="28"/>
          <w:szCs w:val="28"/>
          <w:vertAlign w:val="baseline"/>
          <w:lang w:val="en-US" w:eastAsia="zh-CN"/>
        </w:rPr>
        <w:t>2026年第一季度关联交易情况披露如下：</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本季度各类关联交易情况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授信类关联交易授信余额6780.20万元，用信余额3517.63万元 。其中重大关联交易2户24笔，授信余额5273万元，用信余额2185.76万元；一般关联交易44笔，授信余额1507.20万元，用信余额1331.87万元。</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存款和其他类型关联交易均为关联自然人定期存款一般关联交易，关联自然人单笔交易金额在50万元及以上的定期存款交易余额1183.39万元。</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以上关联交易视同一般客户定价处理，不存在优于对非关联方同类交易的条件进行。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二、关联交易新增情况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本季度新发生授信类关联交易1户1笔，为有重要影响股东关联方的关联交易，关联交易授信余额300万元；本季度新发生单笔交易50万元及以上的存款类关联交易9笔，为本行内部人及监事关联方的关联交易，关联交易金额778万元；以上关联交易均不优于对非关联方同类交易的条件进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微软雅黑" w:eastAsia="仿宋_GB2312" w:cs="仿宋_GB2312"/>
          <w:i w:val="0"/>
          <w:iCs w:val="0"/>
          <w:caps w:val="0"/>
          <w:color w:val="auto"/>
          <w:spacing w:val="0"/>
          <w:sz w:val="28"/>
          <w:szCs w:val="28"/>
          <w:vertAlign w:val="baseline"/>
          <w:lang w:val="en-US" w:eastAsia="zh-CN"/>
        </w:rPr>
      </w:pPr>
      <w:bookmarkStart w:id="0" w:name="_GoBack"/>
      <w:r>
        <w:rPr>
          <w:rFonts w:hint="eastAsia" w:ascii="仿宋_GB2312" w:hAnsi="微软雅黑" w:eastAsia="仿宋_GB2312" w:cs="仿宋_GB2312"/>
          <w:i w:val="0"/>
          <w:iCs w:val="0"/>
          <w:caps w:val="0"/>
          <w:color w:val="auto"/>
          <w:spacing w:val="0"/>
          <w:sz w:val="28"/>
          <w:szCs w:val="28"/>
          <w:vertAlign w:val="baseline"/>
          <w:lang w:val="en-US" w:eastAsia="zh-CN"/>
        </w:rPr>
        <w:t>三、关联交易相应监管比例执行情况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我行上季度资本净额为112847.26万元，本季度我行与单个关联方之间授信余额最大的为5500万元，占本行资本净额4.87%；与单个关联法人所在集团客户的授信余额最大的为6250万元，占本行资本净额5.54%；全部关联方的授信余额占本行资本净额的6.01%；符合《银行保险机构关联交易管理办法》中“银行机构对单个关联方的授信余额不得超过银行机构上季末资本净额的10%。银行机构对单个关联法人或非法人组织所在集团客户的合计授信余额不得超过银行机构上季末资本净额的15%。银行机构对全部关联方的授信余额不得超过银行机构上季末资本净额的50%”的规定。</w:t>
      </w:r>
    </w:p>
    <w:bookmarkEnd w:id="0"/>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仿宋_GB2312" w:hAnsi="微软雅黑" w:eastAsia="仿宋_GB2312" w:cs="仿宋_GB2312"/>
          <w:i w:val="0"/>
          <w:iCs w:val="0"/>
          <w:caps w:val="0"/>
          <w:color w:val="FF0000"/>
          <w:spacing w:val="0"/>
          <w:sz w:val="28"/>
          <w:szCs w:val="28"/>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0934C"/>
    <w:multiLevelType w:val="singleLevel"/>
    <w:tmpl w:val="C47093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912B1"/>
    <w:rsid w:val="01E80C2F"/>
    <w:rsid w:val="09FF52B3"/>
    <w:rsid w:val="0BC46D8D"/>
    <w:rsid w:val="0FB34551"/>
    <w:rsid w:val="10D572AC"/>
    <w:rsid w:val="1F194415"/>
    <w:rsid w:val="2A4C7439"/>
    <w:rsid w:val="2F6E600A"/>
    <w:rsid w:val="2F92719B"/>
    <w:rsid w:val="369F7535"/>
    <w:rsid w:val="39AD03CF"/>
    <w:rsid w:val="3D2357B3"/>
    <w:rsid w:val="3E2B7241"/>
    <w:rsid w:val="42AA48D3"/>
    <w:rsid w:val="43C56706"/>
    <w:rsid w:val="5AD911F0"/>
    <w:rsid w:val="5E4D3842"/>
    <w:rsid w:val="5EC912B1"/>
    <w:rsid w:val="68805174"/>
    <w:rsid w:val="6D21026E"/>
    <w:rsid w:val="6F1C4739"/>
    <w:rsid w:val="72A86CAE"/>
    <w:rsid w:val="75051B8F"/>
    <w:rsid w:val="77241771"/>
    <w:rsid w:val="7C566FF3"/>
    <w:rsid w:val="7DCA7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2023-07-13T09:20:00Z</dcterms:created>
  <dc:creator>fxb</dc:creator>
  <cp:lastModifiedBy>Lenovo</cp:lastModifiedBy>
  <cp:lastPrinted>2024-01-16T00:21:00Z</cp:lastPrinted>
  <dcterms:modified xsi:type="dcterms:W3CDTF">2026-04-15T08:09:35Z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D82DC704FED445C1A8BD32075A5DF965</vt:lpwstr>
  </property>
</Properties>
</file>