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center"/>
        <w:textAlignment w:val="baseline"/>
        <w:rPr>
          <w:rFonts w:ascii="微软雅黑" w:hAnsi="微软雅黑" w:eastAsia="微软雅黑" w:cs="微软雅黑"/>
          <w:color w:val="auto"/>
          <w:sz w:val="33"/>
          <w:szCs w:val="33"/>
        </w:rPr>
      </w:pPr>
      <w:r>
        <w:rPr>
          <w:rFonts w:hint="eastAsia" w:ascii="微软雅黑" w:hAnsi="微软雅黑" w:eastAsia="微软雅黑" w:cs="微软雅黑"/>
          <w:i w:val="0"/>
          <w:iCs w:val="0"/>
          <w:caps w:val="0"/>
          <w:color w:val="auto"/>
          <w:spacing w:val="0"/>
          <w:sz w:val="33"/>
          <w:szCs w:val="33"/>
          <w:vertAlign w:val="baseline"/>
        </w:rPr>
        <w:t>福建沙县农村商业银行股份有限公司202</w:t>
      </w:r>
      <w:r>
        <w:rPr>
          <w:rFonts w:hint="eastAsia" w:ascii="微软雅黑" w:hAnsi="微软雅黑" w:eastAsia="微软雅黑" w:cs="微软雅黑"/>
          <w:i w:val="0"/>
          <w:iCs w:val="0"/>
          <w:caps w:val="0"/>
          <w:color w:val="auto"/>
          <w:spacing w:val="0"/>
          <w:sz w:val="33"/>
          <w:szCs w:val="33"/>
          <w:vertAlign w:val="baseline"/>
          <w:lang w:val="en-US" w:eastAsia="zh-CN"/>
        </w:rPr>
        <w:t>5</w:t>
      </w:r>
      <w:r>
        <w:rPr>
          <w:rFonts w:hint="eastAsia" w:ascii="微软雅黑" w:hAnsi="微软雅黑" w:eastAsia="微软雅黑" w:cs="微软雅黑"/>
          <w:i w:val="0"/>
          <w:iCs w:val="0"/>
          <w:caps w:val="0"/>
          <w:color w:val="auto"/>
          <w:spacing w:val="0"/>
          <w:sz w:val="33"/>
          <w:szCs w:val="33"/>
          <w:vertAlign w:val="baseline"/>
        </w:rPr>
        <w:t>年第</w:t>
      </w:r>
      <w:r>
        <w:rPr>
          <w:rFonts w:hint="eastAsia" w:ascii="微软雅黑" w:hAnsi="微软雅黑" w:eastAsia="微软雅黑" w:cs="微软雅黑"/>
          <w:i w:val="0"/>
          <w:iCs w:val="0"/>
          <w:caps w:val="0"/>
          <w:color w:val="auto"/>
          <w:spacing w:val="0"/>
          <w:sz w:val="33"/>
          <w:szCs w:val="33"/>
          <w:vertAlign w:val="baseline"/>
          <w:lang w:val="en-US" w:eastAsia="zh-CN"/>
        </w:rPr>
        <w:t>四</w:t>
      </w:r>
      <w:r>
        <w:rPr>
          <w:rFonts w:hint="eastAsia" w:ascii="微软雅黑" w:hAnsi="微软雅黑" w:eastAsia="微软雅黑" w:cs="微软雅黑"/>
          <w:i w:val="0"/>
          <w:iCs w:val="0"/>
          <w:caps w:val="0"/>
          <w:color w:val="auto"/>
          <w:spacing w:val="0"/>
          <w:sz w:val="33"/>
          <w:szCs w:val="33"/>
          <w:vertAlign w:val="baseline"/>
        </w:rPr>
        <w:t>季度关联交易信息披露</w:t>
      </w:r>
    </w:p>
    <w:p>
      <w:pPr>
        <w:rPr>
          <w:rFonts w:ascii="仿宋_GB2312" w:hAnsi="微软雅黑" w:eastAsia="仿宋_GB2312" w:cs="仿宋_GB2312"/>
          <w:i w:val="0"/>
          <w:iCs w:val="0"/>
          <w:caps w:val="0"/>
          <w:color w:val="auto"/>
          <w:spacing w:val="0"/>
          <w:sz w:val="24"/>
          <w:szCs w:val="24"/>
          <w:vertAlign w:val="baseli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ascii="仿宋_GB2312" w:hAnsi="微软雅黑" w:eastAsia="仿宋_GB2312" w:cs="仿宋_GB2312"/>
          <w:i w:val="0"/>
          <w:iCs w:val="0"/>
          <w:caps w:val="0"/>
          <w:color w:val="auto"/>
          <w:spacing w:val="0"/>
          <w:sz w:val="28"/>
          <w:szCs w:val="28"/>
          <w:vertAlign w:val="baseline"/>
        </w:rPr>
        <w:t>根据</w:t>
      </w:r>
      <w:r>
        <w:rPr>
          <w:rFonts w:hint="eastAsia" w:ascii="仿宋_GB2312" w:hAnsi="微软雅黑" w:eastAsia="仿宋_GB2312" w:cs="仿宋_GB2312"/>
          <w:i w:val="0"/>
          <w:iCs w:val="0"/>
          <w:caps w:val="0"/>
          <w:color w:val="auto"/>
          <w:spacing w:val="0"/>
          <w:sz w:val="28"/>
          <w:szCs w:val="28"/>
          <w:vertAlign w:val="baseline"/>
          <w:lang w:val="en-US" w:eastAsia="zh-CN"/>
        </w:rPr>
        <w:t>《银行保险机构关联交易管理办法》、</w:t>
      </w:r>
      <w:r>
        <w:rPr>
          <w:rFonts w:ascii="仿宋_GB2312" w:hAnsi="微软雅黑" w:eastAsia="仿宋_GB2312" w:cs="仿宋_GB2312"/>
          <w:i w:val="0"/>
          <w:iCs w:val="0"/>
          <w:caps w:val="0"/>
          <w:color w:val="auto"/>
          <w:spacing w:val="0"/>
          <w:sz w:val="28"/>
          <w:szCs w:val="28"/>
          <w:vertAlign w:val="baseline"/>
        </w:rPr>
        <w:t>《</w:t>
      </w:r>
      <w:r>
        <w:rPr>
          <w:rFonts w:hint="eastAsia" w:ascii="仿宋_GB2312" w:hAnsi="微软雅黑" w:eastAsia="仿宋_GB2312" w:cs="仿宋_GB2312"/>
          <w:i w:val="0"/>
          <w:iCs w:val="0"/>
          <w:caps w:val="0"/>
          <w:color w:val="auto"/>
          <w:spacing w:val="0"/>
          <w:sz w:val="28"/>
          <w:szCs w:val="28"/>
          <w:vertAlign w:val="baseline"/>
          <w:lang w:val="en-US" w:eastAsia="zh-CN"/>
        </w:rPr>
        <w:t>沙县农商银行关联交易管理办法（2025 年修订版）</w:t>
      </w:r>
      <w:r>
        <w:rPr>
          <w:rFonts w:ascii="仿宋_GB2312" w:hAnsi="微软雅黑" w:eastAsia="仿宋_GB2312" w:cs="仿宋_GB2312"/>
          <w:i w:val="0"/>
          <w:iCs w:val="0"/>
          <w:caps w:val="0"/>
          <w:color w:val="auto"/>
          <w:spacing w:val="0"/>
          <w:sz w:val="28"/>
          <w:szCs w:val="28"/>
          <w:vertAlign w:val="baseline"/>
        </w:rPr>
        <w:t>》</w:t>
      </w:r>
      <w:r>
        <w:rPr>
          <w:rFonts w:hint="eastAsia" w:ascii="仿宋_GB2312" w:hAnsi="微软雅黑" w:eastAsia="仿宋_GB2312" w:cs="仿宋_GB2312"/>
          <w:i w:val="0"/>
          <w:iCs w:val="0"/>
          <w:caps w:val="0"/>
          <w:color w:val="auto"/>
          <w:spacing w:val="0"/>
          <w:sz w:val="28"/>
          <w:szCs w:val="28"/>
          <w:vertAlign w:val="baseline"/>
          <w:lang w:eastAsia="zh-CN"/>
        </w:rPr>
        <w:t>相关</w:t>
      </w:r>
      <w:r>
        <w:rPr>
          <w:rFonts w:ascii="仿宋_GB2312" w:hAnsi="微软雅黑" w:eastAsia="仿宋_GB2312" w:cs="仿宋_GB2312"/>
          <w:i w:val="0"/>
          <w:iCs w:val="0"/>
          <w:caps w:val="0"/>
          <w:color w:val="auto"/>
          <w:spacing w:val="0"/>
          <w:sz w:val="28"/>
          <w:szCs w:val="28"/>
          <w:vertAlign w:val="baseline"/>
        </w:rPr>
        <w:t>规定</w:t>
      </w:r>
      <w:r>
        <w:rPr>
          <w:rFonts w:hint="eastAsia" w:ascii="仿宋_GB2312" w:hAnsi="微软雅黑" w:eastAsia="仿宋_GB2312" w:cs="仿宋_GB2312"/>
          <w:i w:val="0"/>
          <w:iCs w:val="0"/>
          <w:caps w:val="0"/>
          <w:color w:val="auto"/>
          <w:spacing w:val="0"/>
          <w:sz w:val="28"/>
          <w:szCs w:val="28"/>
          <w:vertAlign w:val="baseline"/>
          <w:lang w:eastAsia="zh-CN"/>
        </w:rPr>
        <w:t>，现将</w:t>
      </w:r>
      <w:r>
        <w:rPr>
          <w:rFonts w:hint="eastAsia" w:ascii="仿宋_GB2312" w:hAnsi="微软雅黑" w:eastAsia="仿宋_GB2312" w:cs="仿宋_GB2312"/>
          <w:i w:val="0"/>
          <w:iCs w:val="0"/>
          <w:caps w:val="0"/>
          <w:color w:val="auto"/>
          <w:spacing w:val="0"/>
          <w:sz w:val="28"/>
          <w:szCs w:val="28"/>
          <w:vertAlign w:val="baseline"/>
          <w:lang w:val="en-US" w:eastAsia="zh-CN"/>
        </w:rPr>
        <w:t>2025年第四季度关联交易情况披露如下：</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本季度各类关联交易情况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授信类关联交易授信余额6335.14万元，用信余额2955.34万元 。其中重大关联交易2户16笔，授信余额5274万元，用信余额2082.20万元；一般关联交易44笔，授信余额1061.14万元，用信余额873.15万元。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存款和其他类型关联交易均为关联自然人定期存款一般关联交易，关联自然人单笔交易金额在50万元及以上的定期存款交易余额844.39万元。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以上关联交易视同一般客户定价处理，不存在优于对非关联方同类交易的条件进行。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二、关联交易新增情况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本季度新发生授信类关联交易1户16笔，关联交易授信余额5500万元；本季度无新发生单笔交易50万元及以上的存款类</w:t>
      </w:r>
      <w:bookmarkStart w:id="0" w:name="_GoBack"/>
      <w:bookmarkEnd w:id="0"/>
      <w:r>
        <w:rPr>
          <w:rFonts w:hint="eastAsia" w:ascii="仿宋_GB2312" w:hAnsi="微软雅黑" w:eastAsia="仿宋_GB2312" w:cs="仿宋_GB2312"/>
          <w:i w:val="0"/>
          <w:iCs w:val="0"/>
          <w:caps w:val="0"/>
          <w:color w:val="auto"/>
          <w:spacing w:val="0"/>
          <w:sz w:val="28"/>
          <w:szCs w:val="28"/>
          <w:vertAlign w:val="baseline"/>
          <w:lang w:val="en-US" w:eastAsia="zh-CN"/>
        </w:rPr>
        <w:t>关联交易；以上关联交易均不优于对非关联方同类交易的条件进行。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三、关联交易相应监管比例执行情况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_GB2312" w:hAnsi="微软雅黑" w:eastAsia="仿宋_GB2312" w:cs="仿宋_GB2312"/>
          <w:i w:val="0"/>
          <w:iCs w:val="0"/>
          <w:caps w:val="0"/>
          <w:color w:val="auto"/>
          <w:spacing w:val="0"/>
          <w:sz w:val="28"/>
          <w:szCs w:val="28"/>
          <w:vertAlign w:val="baseline"/>
          <w:lang w:val="en-US" w:eastAsia="zh-CN"/>
        </w:rPr>
      </w:pPr>
      <w:r>
        <w:rPr>
          <w:rFonts w:hint="eastAsia" w:ascii="仿宋_GB2312" w:hAnsi="微软雅黑" w:eastAsia="仿宋_GB2312" w:cs="仿宋_GB2312"/>
          <w:i w:val="0"/>
          <w:iCs w:val="0"/>
          <w:caps w:val="0"/>
          <w:color w:val="auto"/>
          <w:spacing w:val="0"/>
          <w:sz w:val="28"/>
          <w:szCs w:val="28"/>
          <w:vertAlign w:val="baseline"/>
          <w:lang w:val="en-US" w:eastAsia="zh-CN"/>
        </w:rPr>
        <w:t>我行上季度资本净额为108897.61万元，本季度我行与单个关联方之间授信余额最大的为5500万元，占本行资本净额5.05%；与单个关联法人所在集团客户的授信余额最大的为5830.80万元，占本行资本净额5.35%；全部关联方的授信余额占本行资本净额的5.82%；符合《银行保险机构关联交易管理办法》中“银行机构对单个关联方的授信余额不得超过银行机构上季末资本净额的10%。银行机构对单个关联法人或非法人组织所在集团客户的合计授信余额不得超过银行机构上季末资本净额的15%。银行机构对全部关联方的授信余额不得超过银行机构上季末资本净额的50%”的规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仿宋_GB2312" w:hAnsi="微软雅黑" w:eastAsia="仿宋_GB2312" w:cs="仿宋_GB2312"/>
          <w:i w:val="0"/>
          <w:iCs w:val="0"/>
          <w:caps w:val="0"/>
          <w:color w:val="FF0000"/>
          <w:spacing w:val="0"/>
          <w:sz w:val="28"/>
          <w:szCs w:val="28"/>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0934C"/>
    <w:multiLevelType w:val="singleLevel"/>
    <w:tmpl w:val="C47093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912B1"/>
    <w:rsid w:val="01E80C2F"/>
    <w:rsid w:val="09FF52B3"/>
    <w:rsid w:val="0BC46D8D"/>
    <w:rsid w:val="0FB34551"/>
    <w:rsid w:val="10D572AC"/>
    <w:rsid w:val="1F194415"/>
    <w:rsid w:val="2A4C7439"/>
    <w:rsid w:val="2F6E600A"/>
    <w:rsid w:val="2F92719B"/>
    <w:rsid w:val="369F7535"/>
    <w:rsid w:val="39AD03CF"/>
    <w:rsid w:val="3D2357B3"/>
    <w:rsid w:val="3E2B7241"/>
    <w:rsid w:val="42AA48D3"/>
    <w:rsid w:val="43C56706"/>
    <w:rsid w:val="5AD911F0"/>
    <w:rsid w:val="5E4D3842"/>
    <w:rsid w:val="5EC912B1"/>
    <w:rsid w:val="68805174"/>
    <w:rsid w:val="6D21026E"/>
    <w:rsid w:val="72A86CAE"/>
    <w:rsid w:val="75051B8F"/>
    <w:rsid w:val="77241771"/>
    <w:rsid w:val="7C566FF3"/>
    <w:rsid w:val="7DCA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2023-07-13T09:20:00Z</dcterms:created>
  <dc:creator>fxb</dc:creator>
  <cp:lastModifiedBy>Lenovo</cp:lastModifiedBy>
  <cp:lastPrinted>2024-01-16T00:21:00Z</cp:lastPrinted>
  <dcterms:modified xsi:type="dcterms:W3CDTF">2026-01-16T03:02:33Z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89757779348D42B1AB79FF434E6A1657</vt:lpwstr>
  </property>
</Properties>
</file>