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b/>
          <w:sz w:val="44"/>
          <w:szCs w:val="44"/>
          <w:highlight w:val="none"/>
        </w:rPr>
      </w:pPr>
      <w:bookmarkStart w:id="0" w:name="_GoBack"/>
      <w:bookmarkEnd w:id="0"/>
      <w:r>
        <w:rPr>
          <w:rFonts w:hint="eastAsia"/>
          <w:b/>
          <w:sz w:val="44"/>
          <w:szCs w:val="44"/>
          <w:highlight w:val="none"/>
        </w:rPr>
        <w:t>杭银理财理财计划投资协议书</w:t>
      </w:r>
    </w:p>
    <w:p>
      <w:pPr>
        <w:jc w:val="center"/>
        <w:outlineLvl w:val="1"/>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202201</w:t>
      </w:r>
      <w:r>
        <w:rPr>
          <w:rFonts w:hint="eastAsia" w:ascii="宋体" w:hAnsi="宋体" w:cs="宋体"/>
          <w:sz w:val="28"/>
          <w:szCs w:val="28"/>
          <w:highlight w:val="none"/>
        </w:rPr>
        <w:t>版）</w:t>
      </w:r>
    </w:p>
    <w:p>
      <w:pPr>
        <w:jc w:val="center"/>
        <w:outlineLvl w:val="2"/>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rPr>
        <w:t>理财计划</w:t>
      </w:r>
      <w:r>
        <w:rPr>
          <w:rFonts w:hint="eastAsia"/>
          <w:b/>
          <w:bCs/>
          <w:sz w:val="24"/>
          <w:highlight w:val="none"/>
        </w:rPr>
        <w:t>风险揭示书、理财计划</w:t>
      </w:r>
      <w:r>
        <w:rPr>
          <w:rFonts w:hint="eastAsia"/>
          <w:b/>
          <w:bCs/>
          <w:sz w:val="24"/>
          <w:highlight w:val="none"/>
          <w:lang w:val="en-US" w:eastAsia="zh-CN"/>
        </w:rPr>
        <w:t>产品</w:t>
      </w:r>
      <w:r>
        <w:rPr>
          <w:rFonts w:hint="eastAsia"/>
          <w:b/>
          <w:bCs/>
          <w:sz w:val="24"/>
          <w:highlight w:val="none"/>
        </w:rPr>
        <w:t>说明书、投资者权益须知及</w:t>
      </w:r>
      <w:r>
        <w:rPr>
          <w:rFonts w:hint="eastAsia" w:ascii="宋体" w:hAnsi="宋体" w:cs="宋体"/>
          <w:b/>
          <w:bCs/>
          <w:sz w:val="24"/>
          <w:highlight w:val="none"/>
        </w:rPr>
        <w:t>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numPr>
          <w:ilvl w:val="0"/>
          <w:numId w:val="1"/>
        </w:numPr>
        <w:spacing w:line="360" w:lineRule="auto"/>
        <w:ind w:firstLine="482" w:firstLineChars="200"/>
        <w:outlineLvl w:val="2"/>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投资者权利与义务</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
        </w:numPr>
        <w:spacing w:line="360" w:lineRule="auto"/>
        <w:contextualSpacing/>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管理人权利与义务</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3"/>
        </w:numPr>
        <w:spacing w:line="360" w:lineRule="auto"/>
        <w:contextualSpacing/>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管理人应当选择具有证券投资基金托管业务资格的金融机构、银行业理财登记托管机构或者</w:t>
      </w:r>
      <w:r>
        <w:rPr>
          <w:rFonts w:hint="eastAsia" w:ascii="宋体" w:hAnsi="宋体" w:cs="宋体"/>
          <w:bCs/>
          <w:sz w:val="24"/>
          <w:highlight w:val="none"/>
        </w:rPr>
        <w:t>国务院银行业监督管理</w:t>
      </w:r>
      <w:r>
        <w:rPr>
          <w:rFonts w:hint="eastAsia" w:ascii="宋体" w:hAnsi="宋体" w:cs="宋体"/>
          <w:bCs/>
          <w:sz w:val="24"/>
          <w:highlight w:val="none"/>
          <w:lang w:val="en-US" w:eastAsia="zh-CN"/>
        </w:rPr>
        <w:t>机构</w:t>
      </w:r>
      <w:r>
        <w:rPr>
          <w:rFonts w:hint="eastAsia" w:ascii="宋体" w:hAnsi="宋体" w:cs="宋体"/>
          <w:bCs/>
          <w:sz w:val="24"/>
          <w:highlight w:val="none"/>
        </w:rPr>
        <w:t>认可</w:t>
      </w:r>
      <w:r>
        <w:rPr>
          <w:rFonts w:hint="eastAsia" w:ascii="宋体" w:hAnsi="宋体"/>
          <w:sz w:val="24"/>
          <w:highlight w:val="none"/>
        </w:rPr>
        <w:t xml:space="preserve">的其他机构托管理财计划。 </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sz w:val="24"/>
          <w:highlight w:val="none"/>
        </w:rPr>
        <w:t xml:space="preserve"> </w:t>
      </w:r>
    </w:p>
    <w:p>
      <w:pPr>
        <w:widowControl/>
        <w:numPr>
          <w:ilvl w:val="0"/>
          <w:numId w:val="3"/>
        </w:numPr>
        <w:spacing w:line="360" w:lineRule="auto"/>
        <w:contextualSpacing/>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理财计划认（申）购、赎回及终止</w:t>
      </w:r>
    </w:p>
    <w:p>
      <w:pPr>
        <w:widowControl/>
        <w:numPr>
          <w:ilvl w:val="0"/>
          <w:numId w:val="4"/>
        </w:numPr>
        <w:spacing w:line="360" w:lineRule="auto"/>
        <w:contextualSpacing/>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4"/>
        </w:numPr>
        <w:spacing w:line="360" w:lineRule="auto"/>
        <w:contextualSpacing/>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4"/>
        </w:numPr>
        <w:spacing w:line="360" w:lineRule="auto"/>
        <w:contextualSpacing/>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4"/>
        </w:numPr>
        <w:spacing w:line="360" w:lineRule="auto"/>
        <w:contextualSpacing/>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4"/>
        </w:numPr>
        <w:spacing w:line="360" w:lineRule="auto"/>
        <w:contextualSpacing/>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4"/>
        </w:numPr>
        <w:spacing w:line="360" w:lineRule="auto"/>
        <w:contextualSpacing/>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违约责任及免责条款</w:t>
      </w:r>
    </w:p>
    <w:p>
      <w:pPr>
        <w:widowControl/>
        <w:numPr>
          <w:ilvl w:val="0"/>
          <w:numId w:val="5"/>
        </w:numPr>
        <w:spacing w:line="360" w:lineRule="auto"/>
        <w:contextualSpacing/>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val="en-US"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val="en-US" w:eastAsia="zh-CN"/>
        </w:rPr>
        <w:t>赎回</w:t>
      </w:r>
      <w:r>
        <w:rPr>
          <w:rFonts w:hint="eastAsia" w:ascii="宋体" w:hAnsi="宋体"/>
          <w:sz w:val="24"/>
          <w:highlight w:val="none"/>
        </w:rPr>
        <w:t>日前的理财收益，也不计付存款利息。</w:t>
      </w:r>
    </w:p>
    <w:p>
      <w:pPr>
        <w:widowControl/>
        <w:numPr>
          <w:ilvl w:val="0"/>
          <w:numId w:val="5"/>
        </w:numPr>
        <w:spacing w:line="360" w:lineRule="auto"/>
        <w:contextualSpacing/>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5"/>
        </w:numPr>
        <w:spacing w:line="360" w:lineRule="auto"/>
        <w:contextualSpacing/>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5"/>
        </w:numPr>
        <w:spacing w:line="360" w:lineRule="auto"/>
        <w:contextualSpacing/>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5"/>
        </w:numPr>
        <w:spacing w:line="360" w:lineRule="auto"/>
        <w:contextualSpacing/>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5"/>
        </w:numPr>
        <w:spacing w:line="360" w:lineRule="auto"/>
        <w:contextualSpacing/>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1"/>
        </w:numPr>
        <w:spacing w:line="360" w:lineRule="auto"/>
        <w:ind w:firstLine="482" w:firstLineChars="200"/>
        <w:outlineLvl w:val="2"/>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eastAsia="zh-CN"/>
        </w:rPr>
        <w:t>销售机构或</w:t>
      </w:r>
      <w:r>
        <w:rPr>
          <w:rFonts w:hint="eastAsia" w:ascii="宋体" w:hAnsi="宋体"/>
          <w:sz w:val="24"/>
          <w:highlight w:val="none"/>
        </w:rPr>
        <w:t>管理人所在地人民法院司法裁决。诉讼期间，未涉及争议的条款仍</w:t>
      </w:r>
      <w:r>
        <w:rPr>
          <w:rFonts w:hint="eastAsia" w:ascii="宋体" w:hAnsi="宋体"/>
          <w:sz w:val="24"/>
          <w:highlight w:val="none"/>
          <w:lang w:val="en-US" w:eastAsia="zh-CN"/>
        </w:rPr>
        <w:t>需</w:t>
      </w:r>
      <w:r>
        <w:rPr>
          <w:rFonts w:hint="eastAsia" w:ascii="宋体" w:hAnsi="宋体"/>
          <w:sz w:val="24"/>
          <w:highlight w:val="none"/>
        </w:rPr>
        <w:t>继续履行。</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协议生效和终止</w:t>
      </w:r>
    </w:p>
    <w:p>
      <w:pPr>
        <w:widowControl/>
        <w:numPr>
          <w:ilvl w:val="0"/>
          <w:numId w:val="6"/>
        </w:numPr>
        <w:spacing w:line="360" w:lineRule="auto"/>
        <w:contextualSpacing/>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6"/>
        </w:numPr>
        <w:spacing w:line="360" w:lineRule="auto"/>
        <w:contextualSpacing/>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6"/>
        </w:numPr>
        <w:spacing w:line="360" w:lineRule="auto"/>
        <w:contextualSpacing/>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
        </w:numPr>
        <w:spacing w:line="360" w:lineRule="auto"/>
        <w:contextualSpacing/>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1"/>
        </w:numPr>
        <w:spacing w:line="360" w:lineRule="auto"/>
        <w:ind w:firstLine="482" w:firstLineChars="200"/>
        <w:outlineLvl w:val="2"/>
        <w:rPr>
          <w:b/>
          <w:sz w:val="24"/>
          <w:highlight w:val="none"/>
        </w:rPr>
      </w:pPr>
      <w:r>
        <w:rPr>
          <w:rFonts w:hint="eastAsia"/>
          <w:b/>
          <w:sz w:val="24"/>
          <w:highlight w:val="none"/>
        </w:rPr>
        <w:t>附则</w:t>
      </w:r>
    </w:p>
    <w:p>
      <w:pPr>
        <w:widowControl/>
        <w:numPr>
          <w:ilvl w:val="0"/>
          <w:numId w:val="7"/>
        </w:numPr>
        <w:spacing w:line="360" w:lineRule="auto"/>
        <w:contextualSpacing/>
        <w:rPr>
          <w:rFonts w:ascii="宋体" w:hAnsi="宋体"/>
          <w:sz w:val="24"/>
          <w:highlight w:val="none"/>
        </w:rPr>
      </w:pPr>
      <w:r>
        <w:rPr>
          <w:rFonts w:hint="eastAsia" w:ascii="宋体" w:hAnsi="宋体"/>
          <w:sz w:val="24"/>
          <w:highlight w:val="none"/>
        </w:rPr>
        <w:t>如果投资者与管理人之间存在多份理财计划协议书，则每一份协议书分别与其所对应的产品说明书等销售文本单独构成一个理财计划交易合同，各个合同之间互相独立，每一合同的效力及履行情况均独立于其他合同。</w:t>
      </w:r>
    </w:p>
    <w:p>
      <w:pPr>
        <w:widowControl/>
        <w:numPr>
          <w:ilvl w:val="0"/>
          <w:numId w:val="7"/>
        </w:numPr>
        <w:spacing w:line="360" w:lineRule="auto"/>
        <w:contextualSpacing/>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7"/>
        </w:numPr>
        <w:spacing w:line="360" w:lineRule="auto"/>
        <w:contextualSpacing/>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ind w:firstLine="480" w:firstLineChars="200"/>
        <w:rPr>
          <w:rFonts w:ascii="宋体" w:hAnsi="宋体" w:cs="宋体"/>
          <w:bCs/>
          <w:color w:val="000000"/>
          <w:sz w:val="24"/>
          <w:highlight w:val="none"/>
        </w:rPr>
      </w:pPr>
    </w:p>
    <w:p>
      <w:pPr>
        <w:spacing w:line="360" w:lineRule="auto"/>
        <w:ind w:firstLine="480" w:firstLineChars="200"/>
        <w:rPr>
          <w:rFonts w:ascii="宋体" w:hAnsi="宋体" w:cs="宋体"/>
          <w:bCs/>
          <w:color w:val="000000"/>
          <w:sz w:val="24"/>
          <w:highlight w:val="none"/>
        </w:rPr>
      </w:pPr>
    </w:p>
    <w:p>
      <w:pPr>
        <w:pStyle w:val="7"/>
        <w:widowControl/>
        <w:spacing w:line="360" w:lineRule="auto"/>
        <w:jc w:val="right"/>
        <w:rPr>
          <w:rFonts w:hint="eastAsia" w:ascii="宋体" w:hAnsi="Wingdings" w:cs="宋体"/>
          <w:color w:val="000000"/>
          <w:kern w:val="0"/>
          <w:highlight w:val="none"/>
        </w:rPr>
      </w:pPr>
      <w:r>
        <w:rPr>
          <w:rFonts w:hint="eastAsia" w:ascii="宋体" w:hAnsi="宋体" w:cs="宋体"/>
          <w:kern w:val="0"/>
          <w:highlight w:val="none"/>
        </w:rPr>
        <w:t>杭银理财有限责任公司</w:t>
      </w:r>
    </w:p>
    <w:p>
      <w:pPr>
        <w:spacing w:line="360" w:lineRule="auto"/>
        <w:ind w:firstLine="480" w:firstLineChars="200"/>
        <w:rPr>
          <w:rFonts w:ascii="宋体" w:hAnsi="宋体" w:cs="宋体"/>
          <w:bCs/>
          <w:color w:val="000000"/>
          <w:sz w:val="24"/>
          <w:highlight w:val="none"/>
        </w:rPr>
      </w:pPr>
    </w:p>
    <w:p>
      <w:pPr>
        <w:spacing w:line="360" w:lineRule="auto"/>
        <w:ind w:firstLine="480" w:firstLineChars="200"/>
        <w:rPr>
          <w:rFonts w:ascii="宋体" w:hAnsi="宋体" w:cs="宋体"/>
          <w:bCs/>
          <w:color w:val="000000"/>
          <w:sz w:val="24"/>
          <w:highlight w:val="none"/>
        </w:rPr>
      </w:pPr>
    </w:p>
    <w:p>
      <w:pPr>
        <w:spacing w:line="360" w:lineRule="auto"/>
        <w:ind w:firstLine="480" w:firstLineChars="200"/>
        <w:rPr>
          <w:rFonts w:ascii="宋体" w:hAnsi="宋体" w:cs="宋体"/>
          <w:bCs/>
          <w:color w:val="000000"/>
          <w:sz w:val="24"/>
          <w:highlight w:val="none"/>
        </w:rPr>
      </w:pPr>
    </w:p>
    <w:p>
      <w:pPr>
        <w:spacing w:line="360" w:lineRule="auto"/>
        <w:ind w:firstLine="480" w:firstLineChars="200"/>
        <w:rPr>
          <w:rFonts w:ascii="宋体" w:hAnsi="宋体" w:cs="宋体"/>
          <w:bCs/>
          <w:color w:val="000000"/>
          <w:sz w:val="24"/>
          <w:highlight w:val="none"/>
        </w:rPr>
      </w:pPr>
    </w:p>
    <w:p>
      <w:pPr>
        <w:spacing w:line="360" w:lineRule="auto"/>
        <w:ind w:firstLine="480" w:firstLineChars="200"/>
        <w:rPr>
          <w:rFonts w:ascii="宋体" w:hAnsi="宋体" w:cs="宋体"/>
          <w:bCs/>
          <w:color w:val="000000"/>
          <w:sz w:val="24"/>
          <w:highlight w:val="none"/>
        </w:rPr>
      </w:pPr>
    </w:p>
    <w:p>
      <w:pPr>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line="360" w:lineRule="auto"/>
        <w:rPr>
          <w:rFonts w:ascii="宋体" w:hAnsi="宋体" w:cs="宋体"/>
          <w:bCs/>
          <w:color w:val="000000"/>
          <w:sz w:val="24"/>
          <w:highlight w:val="none"/>
        </w:rPr>
      </w:pPr>
    </w:p>
    <w:p>
      <w:pPr>
        <w:spacing w:line="360" w:lineRule="auto"/>
        <w:ind w:firstLine="480" w:firstLineChars="200"/>
        <w:rPr>
          <w:rFonts w:ascii="宋体" w:hAnsi="宋体" w:cs="宋体"/>
          <w:bCs/>
          <w:color w:val="000000"/>
          <w:sz w:val="24"/>
          <w:highlight w:val="none"/>
        </w:rPr>
      </w:pPr>
    </w:p>
    <w:p>
      <w:pPr>
        <w:jc w:val="center"/>
        <w:rPr>
          <w:rFonts w:hint="eastAsia"/>
          <w:b/>
          <w:sz w:val="44"/>
          <w:szCs w:val="44"/>
          <w:highlight w:val="none"/>
        </w:rPr>
      </w:pPr>
    </w:p>
    <w:p>
      <w:pPr>
        <w:jc w:val="center"/>
        <w:rPr>
          <w:rFonts w:hint="eastAsia"/>
          <w:b/>
          <w:sz w:val="44"/>
          <w:szCs w:val="44"/>
          <w:highlight w:val="none"/>
        </w:rPr>
      </w:pPr>
    </w:p>
    <w:p>
      <w:pPr>
        <w:jc w:val="center"/>
        <w:rPr>
          <w:rFonts w:hint="eastAsia"/>
          <w:b/>
          <w:sz w:val="44"/>
          <w:szCs w:val="44"/>
          <w:highlight w:val="none"/>
        </w:rPr>
      </w:pPr>
    </w:p>
    <w:p>
      <w:pPr>
        <w:jc w:val="center"/>
        <w:rPr>
          <w:rFonts w:hint="eastAsia"/>
          <w:b/>
          <w:sz w:val="44"/>
          <w:szCs w:val="44"/>
          <w:highlight w:val="none"/>
        </w:rPr>
      </w:pPr>
    </w:p>
    <w:p>
      <w:pPr>
        <w:jc w:val="center"/>
        <w:rPr>
          <w:rFonts w:hint="eastAsia"/>
          <w:b/>
          <w:sz w:val="44"/>
          <w:szCs w:val="44"/>
          <w:highlight w:val="none"/>
        </w:rPr>
      </w:pPr>
    </w:p>
    <w:p>
      <w:pPr>
        <w:jc w:val="center"/>
        <w:rPr>
          <w:rFonts w:hint="eastAsia"/>
          <w:b/>
          <w:sz w:val="44"/>
          <w:szCs w:val="44"/>
          <w:highlight w:val="none"/>
        </w:rPr>
      </w:pPr>
    </w:p>
    <w:p>
      <w:pPr>
        <w:jc w:val="both"/>
        <w:rPr>
          <w:rFonts w:hint="eastAsia"/>
          <w:b/>
          <w:sz w:val="44"/>
          <w:szCs w:val="4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pPr>
    <w:r>
      <w:rPr>
        <w:rFonts w:hint="eastAsia"/>
        <w:b/>
        <w:bCs/>
        <w:color w:val="auto"/>
        <w:lang w:eastAsia="zh-CN"/>
      </w:rPr>
      <w:t>理财非存款</w:t>
    </w:r>
    <w:r>
      <w:rPr>
        <w:rFonts w:hint="eastAsia"/>
        <w:b/>
        <w:bCs/>
        <w:color w:val="auto"/>
        <w:lang w:val="en-US" w:eastAsia="zh-CN"/>
      </w:rPr>
      <w:t xml:space="preserve"> 产品有风险 投资</w:t>
    </w:r>
    <w:r>
      <w:rPr>
        <w:rFonts w:hint="eastAsia"/>
        <w:b/>
        <w:bCs/>
        <w:color w:val="auto"/>
        <w:highlight w:val="none"/>
        <w:lang w:val="en-US" w:eastAsia="zh-CN"/>
      </w:rPr>
      <w:t>须</w:t>
    </w:r>
    <w:r>
      <w:rPr>
        <w:rFonts w:hint="eastAsia"/>
        <w:b/>
        <w:bCs/>
        <w:color w:val="auto"/>
        <w:lang w:val="en-US" w:eastAsia="zh-CN"/>
      </w:rPr>
      <w:t>谨慎</w:t>
    </w: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26EF"/>
    <w:multiLevelType w:val="singleLevel"/>
    <w:tmpl w:val="B08226EF"/>
    <w:lvl w:ilvl="0" w:tentative="0">
      <w:start w:val="1"/>
      <w:numFmt w:val="chineseCounting"/>
      <w:suff w:val="space"/>
      <w:lvlText w:val="第%1条"/>
      <w:lvlJc w:val="left"/>
      <w:rPr>
        <w:rFonts w:hint="eastAsia"/>
      </w:rPr>
    </w:lvl>
  </w:abstractNum>
  <w:abstractNum w:abstractNumId="1">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2">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3">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4">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
    <w:nsid w:val="60C03933"/>
    <w:multiLevelType w:val="singleLevel"/>
    <w:tmpl w:val="60C0393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37e384c3-4aaa-440e-934e-6eda64ea758b"/>
  </w:docVars>
  <w:rsids>
    <w:rsidRoot w:val="00172A27"/>
    <w:rsid w:val="00127EED"/>
    <w:rsid w:val="002C7EF9"/>
    <w:rsid w:val="004909B3"/>
    <w:rsid w:val="00520830"/>
    <w:rsid w:val="006E07BC"/>
    <w:rsid w:val="007B6489"/>
    <w:rsid w:val="00AB5752"/>
    <w:rsid w:val="00E06929"/>
    <w:rsid w:val="00EB712E"/>
    <w:rsid w:val="00FB0E83"/>
    <w:rsid w:val="01E330BC"/>
    <w:rsid w:val="022C266D"/>
    <w:rsid w:val="02CB4AF7"/>
    <w:rsid w:val="03170B42"/>
    <w:rsid w:val="033259D5"/>
    <w:rsid w:val="03E00C28"/>
    <w:rsid w:val="0468177F"/>
    <w:rsid w:val="04845B79"/>
    <w:rsid w:val="06605967"/>
    <w:rsid w:val="06DF1F61"/>
    <w:rsid w:val="07F57DA4"/>
    <w:rsid w:val="0825466B"/>
    <w:rsid w:val="08C06B57"/>
    <w:rsid w:val="0AEF3D0C"/>
    <w:rsid w:val="0B413915"/>
    <w:rsid w:val="0B8251C9"/>
    <w:rsid w:val="0B9C1C2D"/>
    <w:rsid w:val="0B9E090F"/>
    <w:rsid w:val="0CD50D95"/>
    <w:rsid w:val="0E7B6A15"/>
    <w:rsid w:val="0E9E528B"/>
    <w:rsid w:val="0F777231"/>
    <w:rsid w:val="0F8072BB"/>
    <w:rsid w:val="0F866D61"/>
    <w:rsid w:val="0FAD023A"/>
    <w:rsid w:val="10267CF2"/>
    <w:rsid w:val="10D07610"/>
    <w:rsid w:val="10E505B7"/>
    <w:rsid w:val="1141717E"/>
    <w:rsid w:val="11C946E2"/>
    <w:rsid w:val="126D33E8"/>
    <w:rsid w:val="127D7AC5"/>
    <w:rsid w:val="132F20ED"/>
    <w:rsid w:val="14233F1C"/>
    <w:rsid w:val="144F2413"/>
    <w:rsid w:val="14CB7308"/>
    <w:rsid w:val="15025C38"/>
    <w:rsid w:val="15507D31"/>
    <w:rsid w:val="155A68E0"/>
    <w:rsid w:val="17F36337"/>
    <w:rsid w:val="18A92B8D"/>
    <w:rsid w:val="1BFC63BA"/>
    <w:rsid w:val="1C692544"/>
    <w:rsid w:val="1C79739D"/>
    <w:rsid w:val="1C8F465C"/>
    <w:rsid w:val="1CDE544D"/>
    <w:rsid w:val="1E135651"/>
    <w:rsid w:val="1E544E3F"/>
    <w:rsid w:val="1EF50B96"/>
    <w:rsid w:val="1F7D3106"/>
    <w:rsid w:val="1FDA2F63"/>
    <w:rsid w:val="21A67B64"/>
    <w:rsid w:val="2297514B"/>
    <w:rsid w:val="22B23AF8"/>
    <w:rsid w:val="242D0854"/>
    <w:rsid w:val="247755D9"/>
    <w:rsid w:val="2536069B"/>
    <w:rsid w:val="25D26B04"/>
    <w:rsid w:val="25DA3557"/>
    <w:rsid w:val="25E74F4E"/>
    <w:rsid w:val="26B7240F"/>
    <w:rsid w:val="26B84FF0"/>
    <w:rsid w:val="27505FBA"/>
    <w:rsid w:val="2BCD0352"/>
    <w:rsid w:val="2BFB4554"/>
    <w:rsid w:val="2C9B2A75"/>
    <w:rsid w:val="2CA02CA1"/>
    <w:rsid w:val="2CB41CDE"/>
    <w:rsid w:val="2D4B4C9F"/>
    <w:rsid w:val="2E804153"/>
    <w:rsid w:val="2F5B1280"/>
    <w:rsid w:val="2F7A6DFD"/>
    <w:rsid w:val="2FAF3B79"/>
    <w:rsid w:val="2FF60969"/>
    <w:rsid w:val="31750334"/>
    <w:rsid w:val="3182057B"/>
    <w:rsid w:val="32485F31"/>
    <w:rsid w:val="34824A12"/>
    <w:rsid w:val="35105209"/>
    <w:rsid w:val="36915AD6"/>
    <w:rsid w:val="370319F6"/>
    <w:rsid w:val="37501DF6"/>
    <w:rsid w:val="37AE7D0A"/>
    <w:rsid w:val="3888715E"/>
    <w:rsid w:val="389B7D8D"/>
    <w:rsid w:val="39CE7544"/>
    <w:rsid w:val="39DC1BD6"/>
    <w:rsid w:val="3AFE2EA6"/>
    <w:rsid w:val="3B613958"/>
    <w:rsid w:val="3B7A06B4"/>
    <w:rsid w:val="3C162EE1"/>
    <w:rsid w:val="3C351AA4"/>
    <w:rsid w:val="3C72467E"/>
    <w:rsid w:val="3D803185"/>
    <w:rsid w:val="3D952002"/>
    <w:rsid w:val="3DAF1A5E"/>
    <w:rsid w:val="3E267866"/>
    <w:rsid w:val="3E446F72"/>
    <w:rsid w:val="3E6260D1"/>
    <w:rsid w:val="3F9428BE"/>
    <w:rsid w:val="401D42F0"/>
    <w:rsid w:val="40FA2D1A"/>
    <w:rsid w:val="41F97743"/>
    <w:rsid w:val="42E329DD"/>
    <w:rsid w:val="433D378B"/>
    <w:rsid w:val="434C7FF3"/>
    <w:rsid w:val="463B593D"/>
    <w:rsid w:val="46CB2C58"/>
    <w:rsid w:val="48402042"/>
    <w:rsid w:val="48424A1F"/>
    <w:rsid w:val="48975A3F"/>
    <w:rsid w:val="497D2E82"/>
    <w:rsid w:val="49DD0ED4"/>
    <w:rsid w:val="4A2263FF"/>
    <w:rsid w:val="4ADD3BE3"/>
    <w:rsid w:val="4B841650"/>
    <w:rsid w:val="4BE505DD"/>
    <w:rsid w:val="4C5C40B1"/>
    <w:rsid w:val="4CC53366"/>
    <w:rsid w:val="4D2E049A"/>
    <w:rsid w:val="4D693017"/>
    <w:rsid w:val="4D7F06C0"/>
    <w:rsid w:val="4D8D1273"/>
    <w:rsid w:val="4F1B6F35"/>
    <w:rsid w:val="4F20048B"/>
    <w:rsid w:val="4F212124"/>
    <w:rsid w:val="503B586A"/>
    <w:rsid w:val="508D75C7"/>
    <w:rsid w:val="51F56F6B"/>
    <w:rsid w:val="52091595"/>
    <w:rsid w:val="5221238A"/>
    <w:rsid w:val="5246747D"/>
    <w:rsid w:val="525024E8"/>
    <w:rsid w:val="52D20572"/>
    <w:rsid w:val="5349716A"/>
    <w:rsid w:val="53916CC5"/>
    <w:rsid w:val="53D12E47"/>
    <w:rsid w:val="543B6C03"/>
    <w:rsid w:val="5452022E"/>
    <w:rsid w:val="550A7003"/>
    <w:rsid w:val="554B520C"/>
    <w:rsid w:val="55967810"/>
    <w:rsid w:val="55A42FA5"/>
    <w:rsid w:val="55D73C36"/>
    <w:rsid w:val="56192B5A"/>
    <w:rsid w:val="5764451A"/>
    <w:rsid w:val="58DD72C6"/>
    <w:rsid w:val="5A0B1227"/>
    <w:rsid w:val="5A1E2133"/>
    <w:rsid w:val="5BFA606A"/>
    <w:rsid w:val="5C7E7C83"/>
    <w:rsid w:val="5D6E6559"/>
    <w:rsid w:val="5DF93585"/>
    <w:rsid w:val="5E531617"/>
    <w:rsid w:val="5E644C39"/>
    <w:rsid w:val="5F087411"/>
    <w:rsid w:val="5FE37D04"/>
    <w:rsid w:val="60A362BD"/>
    <w:rsid w:val="60C809E8"/>
    <w:rsid w:val="60DD604A"/>
    <w:rsid w:val="612B3563"/>
    <w:rsid w:val="61AF074A"/>
    <w:rsid w:val="61E664C3"/>
    <w:rsid w:val="62D35EDA"/>
    <w:rsid w:val="64606D9B"/>
    <w:rsid w:val="66A95B28"/>
    <w:rsid w:val="66B655AC"/>
    <w:rsid w:val="67075395"/>
    <w:rsid w:val="67B46A51"/>
    <w:rsid w:val="68982F49"/>
    <w:rsid w:val="68C43CF2"/>
    <w:rsid w:val="68E6218C"/>
    <w:rsid w:val="697836CF"/>
    <w:rsid w:val="698C75AE"/>
    <w:rsid w:val="69FF60E8"/>
    <w:rsid w:val="6C1A61DA"/>
    <w:rsid w:val="6CB00E61"/>
    <w:rsid w:val="6DCE5B48"/>
    <w:rsid w:val="6E822944"/>
    <w:rsid w:val="6F443EC4"/>
    <w:rsid w:val="709F5E89"/>
    <w:rsid w:val="70DE1F58"/>
    <w:rsid w:val="723B4B2B"/>
    <w:rsid w:val="73040C29"/>
    <w:rsid w:val="73307800"/>
    <w:rsid w:val="736047B8"/>
    <w:rsid w:val="739F7200"/>
    <w:rsid w:val="74F55397"/>
    <w:rsid w:val="753F4B02"/>
    <w:rsid w:val="7790260C"/>
    <w:rsid w:val="779E2189"/>
    <w:rsid w:val="77B52AAE"/>
    <w:rsid w:val="789E1844"/>
    <w:rsid w:val="79C90C2C"/>
    <w:rsid w:val="7A3B2905"/>
    <w:rsid w:val="7AC953A0"/>
    <w:rsid w:val="7B0F21D0"/>
    <w:rsid w:val="7C0B400E"/>
    <w:rsid w:val="7CC17505"/>
    <w:rsid w:val="7DC30CE6"/>
    <w:rsid w:val="7E09751D"/>
    <w:rsid w:val="7E113679"/>
    <w:rsid w:val="7EA570C5"/>
    <w:rsid w:val="7F074098"/>
    <w:rsid w:val="7F7D20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黑体"/>
      <w:kern w:val="2"/>
      <w:sz w:val="21"/>
      <w:szCs w:val="24"/>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character" w:default="1" w:styleId="11">
    <w:name w:val="Default Paragraph Font"/>
    <w:unhideWhenUsed/>
    <w:qFormat/>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rFonts w:cs="Times New Roman"/>
    </w:rPr>
  </w:style>
  <w:style w:type="paragraph" w:styleId="4">
    <w:name w:val="Balloon Text"/>
    <w:basedOn w:val="1"/>
    <w:link w:val="17"/>
    <w:qFormat/>
    <w:uiPriority w:val="0"/>
    <w:rPr>
      <w:rFonts w:cs="Times New Roman"/>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paragraph" w:styleId="8">
    <w:name w:val="annotation subject"/>
    <w:basedOn w:val="3"/>
    <w:next w:val="3"/>
    <w:link w:val="16"/>
    <w:qFormat/>
    <w:uiPriority w:val="0"/>
    <w:rPr>
      <w:rFonts w:cs="Times New Roman"/>
      <w:b/>
      <w:bCs/>
    </w:rPr>
  </w:style>
  <w:style w:type="table" w:styleId="10">
    <w:name w:val="Table Grid"/>
    <w:basedOn w:val="9"/>
    <w:unhideWhenUsed/>
    <w:qFormat/>
    <w:uiPriority w:val="99"/>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color w:val="000000"/>
      <w:sz w:val="24"/>
      <w:szCs w:val="24"/>
      <w:lang w:val="en-US" w:eastAsia="zh-CN" w:bidi="ar-SA"/>
    </w:rPr>
  </w:style>
  <w:style w:type="paragraph" w:customStyle="1" w:styleId="15">
    <w:name w:val="List Paragraph"/>
    <w:basedOn w:val="1"/>
    <w:unhideWhenUsed/>
    <w:uiPriority w:val="99"/>
    <w:pPr>
      <w:ind w:firstLine="420" w:firstLineChars="200"/>
    </w:pPr>
  </w:style>
  <w:style w:type="character" w:customStyle="1" w:styleId="16">
    <w:name w:val="批注主题 Char"/>
    <w:link w:val="8"/>
    <w:qFormat/>
    <w:uiPriority w:val="0"/>
    <w:rPr>
      <w:rFonts w:ascii="Calibri" w:hAnsi="Calibri" w:cs="黑体"/>
      <w:b/>
      <w:bCs/>
      <w:kern w:val="2"/>
      <w:sz w:val="21"/>
      <w:szCs w:val="24"/>
    </w:rPr>
  </w:style>
  <w:style w:type="character" w:customStyle="1" w:styleId="17">
    <w:name w:val="批注框文本 Char"/>
    <w:link w:val="4"/>
    <w:qFormat/>
    <w:uiPriority w:val="0"/>
    <w:rPr>
      <w:rFonts w:ascii="Calibri" w:hAnsi="Calibri" w:cs="黑体"/>
      <w:kern w:val="2"/>
      <w:sz w:val="18"/>
      <w:szCs w:val="18"/>
    </w:rPr>
  </w:style>
  <w:style w:type="character" w:customStyle="1" w:styleId="18">
    <w:name w:val="批注文字 Char"/>
    <w:link w:val="3"/>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56</Pages>
  <Words>35169</Words>
  <Characters>36990</Characters>
  <Lines>255</Lines>
  <Paragraphs>71</Paragraphs>
  <TotalTime>1</TotalTime>
  <ScaleCrop>false</ScaleCrop>
  <LinksUpToDate>false</LinksUpToDate>
  <CharactersWithSpaces>37441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2021-07-01T06:35:00Z</dcterms:created>
  <dc:creator>Administrator</dc:creator>
  <cp:lastModifiedBy>hccb</cp:lastModifiedBy>
  <dcterms:modified xsi:type="dcterms:W3CDTF">2025-06-23T07:14:24Z</dcterms:modified>
  <dc:title>杭银理财幸福99XXXX理财计划合同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