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8255" b="13335"/>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0"/>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兴银理财稳利安盈封闭式理财产品产品说明书</w:t>
            </w:r>
          </w:p>
        </w:tc>
        <w:tc>
          <w:tcPr>
            <w:tcW w:w="1984"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2"/>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8255" b="13335"/>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兴银理财稳利安盈封闭式理财产品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39991726"/>
      <w:bookmarkStart w:id="1" w:name="_Toc123112263"/>
      <w:bookmarkStart w:id="2" w:name="_Toc139992301"/>
      <w:bookmarkStart w:id="3" w:name="_Toc123112224"/>
      <w:bookmarkStart w:id="4" w:name="_Toc123701383"/>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23112264"/>
      <w:bookmarkStart w:id="6" w:name="_Toc139992302"/>
      <w:bookmarkStart w:id="7" w:name="_Toc139991727"/>
      <w:bookmarkStart w:id="8" w:name="_Toc123112225"/>
      <w:bookmarkStart w:id="9" w:name="_Toc123701384"/>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Fonts w:ascii="宋体" w:hAnsi="宋体"/>
          <w:sz w:val="28"/>
          <w:szCs w:val="28"/>
        </w:rPr>
        <w:t>2023</w:t>
      </w:r>
      <w:r>
        <w:rPr>
          <w:rStyle w:val="10"/>
          <w:rFonts w:hint="eastAsia" w:ascii="宋体" w:hAnsi="宋体"/>
          <w:sz w:val="28"/>
          <w:szCs w:val="28"/>
        </w:rPr>
        <w:t>】年【</w:t>
      </w:r>
      <w:r>
        <w:rPr>
          <w:rStyle w:val="10"/>
          <w:rFonts w:ascii="宋体" w:hAnsi="宋体"/>
          <w:sz w:val="28"/>
          <w:szCs w:val="28"/>
        </w:rPr>
        <w:t>7</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6"/>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39991729"/>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11"/>
              <w:rFonts w:hint="eastAsia"/>
            </w:rPr>
            <w:t>第一条</w:t>
          </w:r>
          <w:r>
            <w:rPr>
              <w:rStyle w:val="11"/>
            </w:rPr>
            <w:t xml:space="preserve">  </w:t>
          </w:r>
          <w:r>
            <w:rPr>
              <w:rStyle w:val="11"/>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11"/>
              <w:rFonts w:hint="eastAsia"/>
            </w:rPr>
            <w:t>第二条</w:t>
          </w:r>
          <w:r>
            <w:rPr>
              <w:rStyle w:val="11"/>
            </w:rPr>
            <w:t xml:space="preserve">  </w:t>
          </w:r>
          <w:r>
            <w:rPr>
              <w:rStyle w:val="11"/>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11"/>
              <w:rFonts w:hint="eastAsia"/>
            </w:rPr>
            <w:t>第三条</w:t>
          </w:r>
          <w:r>
            <w:rPr>
              <w:rStyle w:val="11"/>
            </w:rPr>
            <w:t xml:space="preserve">  </w:t>
          </w:r>
          <w:r>
            <w:rPr>
              <w:rStyle w:val="11"/>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11"/>
              <w:rFonts w:hint="eastAsia"/>
            </w:rPr>
            <w:t>第四条</w:t>
          </w:r>
          <w:r>
            <w:rPr>
              <w:rStyle w:val="11"/>
            </w:rPr>
            <w:t xml:space="preserve">  </w:t>
          </w:r>
          <w:r>
            <w:rPr>
              <w:rStyle w:val="11"/>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11"/>
              <w:rFonts w:hint="eastAsia"/>
            </w:rPr>
            <w:t>第五条</w:t>
          </w:r>
          <w:r>
            <w:rPr>
              <w:rStyle w:val="11"/>
            </w:rPr>
            <w:t xml:space="preserve">  </w:t>
          </w:r>
          <w:r>
            <w:rPr>
              <w:rStyle w:val="11"/>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11"/>
              <w:rFonts w:hint="eastAsia"/>
            </w:rPr>
            <w:t>第六条</w:t>
          </w:r>
          <w:r>
            <w:rPr>
              <w:rStyle w:val="11"/>
            </w:rPr>
            <w:t xml:space="preserve">  </w:t>
          </w:r>
          <w:r>
            <w:rPr>
              <w:rStyle w:val="11"/>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11"/>
              <w:rFonts w:hint="eastAsia"/>
            </w:rPr>
            <w:t>第七条</w:t>
          </w:r>
          <w:r>
            <w:rPr>
              <w:rStyle w:val="11"/>
            </w:rPr>
            <w:t xml:space="preserve">  </w:t>
          </w:r>
          <w:r>
            <w:rPr>
              <w:rStyle w:val="11"/>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3386"/>
      <w:bookmarkStart w:id="15" w:name="_Toc141703880"/>
      <w:bookmarkStart w:id="16" w:name="_Toc123701389"/>
      <w:bookmarkStart w:id="17" w:name="_Toc32639"/>
      <w:bookmarkStart w:id="18" w:name="_Toc15517"/>
      <w:bookmarkStart w:id="19" w:name="_Toc123112229"/>
      <w:bookmarkStart w:id="20" w:name="_Toc29629"/>
      <w:bookmarkStart w:id="21" w:name="_Toc30935"/>
      <w:bookmarkStart w:id="22" w:name="_Toc139991730"/>
      <w:bookmarkStart w:id="23" w:name="_Toc4966"/>
      <w:bookmarkStart w:id="24" w:name="_Toc4867"/>
      <w:bookmarkStart w:id="25" w:name="_Toc8727"/>
      <w:bookmarkStart w:id="26" w:name="_Toc6306"/>
      <w:bookmarkStart w:id="27" w:name="_Toc26897"/>
      <w:bookmarkStart w:id="28" w:name="_Toc123112268"/>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13020"/>
      <w:bookmarkStart w:id="33" w:name="_Toc819"/>
      <w:bookmarkStart w:id="34" w:name="_Toc2465"/>
      <w:bookmarkStart w:id="35" w:name="_Toc15067"/>
      <w:bookmarkStart w:id="36" w:name="_Toc24860"/>
      <w:bookmarkStart w:id="37" w:name="_Toc3224"/>
      <w:bookmarkStart w:id="38" w:name="_Toc21301"/>
      <w:bookmarkStart w:id="39" w:name="_Toc22864"/>
      <w:bookmarkStart w:id="40" w:name="_Toc19592"/>
      <w:bookmarkStart w:id="41" w:name="_Toc6617"/>
      <w:bookmarkStart w:id="42" w:name="_Toc258829399"/>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4"/>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733"/>
      <w:bookmarkStart w:id="48" w:name="_Toc20627"/>
      <w:bookmarkStart w:id="49" w:name="_Toc13288"/>
      <w:bookmarkStart w:id="50" w:name="_Toc6149"/>
      <w:bookmarkStart w:id="51" w:name="_Toc18631"/>
      <w:bookmarkStart w:id="52" w:name="_Toc6683"/>
      <w:bookmarkStart w:id="53" w:name="_Toc545"/>
      <w:bookmarkStart w:id="54" w:name="_Toc24571"/>
      <w:bookmarkStart w:id="55" w:name="_Toc22708"/>
      <w:bookmarkStart w:id="56" w:name="_Toc20318"/>
      <w:bookmarkStart w:id="57" w:name="_Toc74065740"/>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111714038"/>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兴银理财稳利安盈封闭式理财产品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【2023】年【7】月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1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兴银理财稳利安盈封闭式2023年29期固收类理财产品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稳利安盈2023年29期季季兴A】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稳利安盈2023年29期季季兴B】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稳利安盈2023年29期季季兴C（新市民专属）】</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兴银理财稳利安盈封闭式2023年29期（私银）】</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Z7002023000231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9A123290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9A12329A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9A12329B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9A12329C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9A12329G</w:t>
            </w:r>
            <w:r>
              <w:rPr>
                <w:rFonts w:hint="eastAsia" w:ascii="宋体" w:hAnsi="宋体"/>
                <w:sz w:val="18"/>
                <w:szCs w:val="18"/>
              </w:rPr>
              <w:t>】（适用【</w:t>
            </w:r>
            <w:r>
              <w:rPr>
                <w:rFonts w:ascii="宋体" w:hAnsi="宋体"/>
                <w:sz w:val="18"/>
                <w:szCs w:val="18"/>
              </w:rPr>
              <w:t>D</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■有固定期限：【112天】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】年【7</w:t>
            </w:r>
            <w:r>
              <w:rPr>
                <w:rFonts w:hint="eastAsia" w:cs="Times New Roman" w:asciiTheme="minorEastAsia" w:hAnsiTheme="minorEastAsia"/>
                <w:sz w:val="18"/>
                <w:szCs w:val="18"/>
              </w:rPr>
              <w:t>】月【26】日【9：00】</w:t>
            </w:r>
            <w:r>
              <w:rPr>
                <w:rFonts w:hint="eastAsia" w:cs="仿宋_GB2312" w:asciiTheme="minorEastAsia" w:hAnsiTheme="minorEastAsia"/>
                <w:sz w:val="18"/>
                <w:szCs w:val="18"/>
              </w:rPr>
              <w:t>至</w:t>
            </w:r>
            <w:r>
              <w:rPr>
                <w:rFonts w:hint="eastAsia" w:cs="Times New Roman" w:asciiTheme="minorEastAsia" w:hAnsiTheme="minorEastAsia"/>
                <w:sz w:val="18"/>
                <w:szCs w:val="18"/>
              </w:rPr>
              <w:t>【2023</w:t>
            </w:r>
            <w:r>
              <w:rPr>
                <w:rFonts w:cs="Times New Roman" w:asciiTheme="minorEastAsia" w:hAnsiTheme="minorEastAsia"/>
                <w:sz w:val="18"/>
                <w:szCs w:val="18"/>
              </w:rPr>
              <w:t>】年【8</w:t>
            </w:r>
            <w:r>
              <w:rPr>
                <w:rFonts w:hint="eastAsia" w:cs="Times New Roman" w:asciiTheme="minorEastAsia" w:hAnsiTheme="minorEastAsia"/>
                <w:sz w:val="18"/>
                <w:szCs w:val="18"/>
              </w:rPr>
              <w:t>】月【1】日</w:t>
            </w:r>
            <w:r>
              <w:rPr>
                <w:rFonts w:hint="eastAsia"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5</w:t>
            </w:r>
            <w:r>
              <w:rPr>
                <w:rFonts w:hint="eastAsia" w:asciiTheme="majorEastAsia" w:hAnsiTheme="majorEastAsia" w:eastAsiaTheme="majorEastAsia"/>
                <w:sz w:val="18"/>
                <w:szCs w:val="18"/>
              </w:rPr>
              <w:t>：00】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】年【8</w:t>
            </w:r>
            <w:r>
              <w:rPr>
                <w:rFonts w:hint="eastAsia" w:cs="Times New Roman" w:asciiTheme="minorEastAsia" w:hAnsiTheme="minorEastAsia"/>
                <w:sz w:val="18"/>
                <w:szCs w:val="18"/>
              </w:rPr>
              <w:t>】月【2】日（遇节假日顺延）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】年【11</w:t>
            </w:r>
            <w:r>
              <w:rPr>
                <w:rFonts w:hint="eastAsia" w:cs="Times New Roman" w:asciiTheme="minorEastAsia" w:hAnsiTheme="minorEastAsia"/>
                <w:sz w:val="18"/>
                <w:szCs w:val="18"/>
              </w:rPr>
              <w:t>】月【22】日（遇节假日顺延）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w:t>
            </w:r>
            <w:r>
              <w:rPr>
                <w:rFonts w:hint="eastAsia" w:asciiTheme="majorEastAsia" w:hAnsiTheme="majorEastAsia" w:eastAsiaTheme="majorEastAsia"/>
                <w:sz w:val="18"/>
                <w:szCs w:val="18"/>
              </w:rPr>
              <w:t>B</w:t>
            </w:r>
            <w:r>
              <w:rPr>
                <w:rFonts w:asciiTheme="majorEastAsia" w:hAnsiTheme="majorEastAsia" w:eastAsiaTheme="majorEastAsia"/>
                <w:sz w:val="18"/>
                <w:szCs w:val="18"/>
              </w:rPr>
              <w:t>/C</w:t>
            </w:r>
            <w:r>
              <w:rPr>
                <w:rFonts w:hint="eastAsia" w:asciiTheme="majorEastAsia" w:hAnsiTheme="majorEastAsia" w:eastAsiaTheme="majorEastAsia"/>
                <w:sz w:val="18"/>
                <w:szCs w:val="18"/>
              </w:rPr>
              <w:t>】类份额）</w:t>
            </w:r>
          </w:p>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每笔购买起点金额为【200,</w:t>
            </w:r>
            <w:r>
              <w:rPr>
                <w:rFonts w:asciiTheme="majorEastAsia" w:hAnsiTheme="majorEastAsia" w:eastAsiaTheme="majorEastAsia"/>
                <w:sz w:val="18"/>
                <w:szCs w:val="18"/>
              </w:rPr>
              <w:t>000.00</w:t>
            </w:r>
            <w:r>
              <w:rPr>
                <w:rFonts w:hint="eastAsia" w:asciiTheme="majorEastAsia" w:hAnsiTheme="majorEastAsia" w:eastAsiaTheme="majorEastAsia"/>
                <w:sz w:val="18"/>
                <w:szCs w:val="18"/>
              </w:rPr>
              <w:t>】元；超出起点金额的部分以【1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】元的整数倍递增。（适用【D】类份额）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jc w:val="both"/>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sz w:val="18"/>
                <w:szCs w:val="18"/>
              </w:rPr>
            </w:pPr>
            <w:r>
              <w:rPr>
                <w:rFonts w:hint="eastAsia" w:hAnsi="宋体"/>
                <w:sz w:val="18"/>
                <w:szCs w:val="18"/>
              </w:rPr>
              <w:t>（适用【/】类份额）</w:t>
            </w:r>
          </w:p>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w:t>
            </w:r>
            <w:r>
              <w:rPr>
                <w:rFonts w:hint="eastAsia" w:ascii="宋体" w:hAnsi="宋体"/>
                <w:b/>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w:t>
            </w:r>
            <w:r>
              <w:rPr>
                <w:rFonts w:hint="eastAsia" w:ascii="宋体" w:hAnsi="宋体"/>
                <w:bCs/>
                <w:sz w:val="18"/>
                <w:szCs w:val="18"/>
              </w:rPr>
              <w:t>【2.</w:t>
            </w:r>
            <w:r>
              <w:rPr>
                <w:rFonts w:ascii="宋体" w:hAnsi="宋体"/>
                <w:bCs/>
                <w:sz w:val="18"/>
                <w:szCs w:val="18"/>
              </w:rPr>
              <w:t>95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85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95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D</w:t>
            </w:r>
            <w:r>
              <w:rPr>
                <w:rFonts w:hint="eastAsia" w:asciiTheme="majorEastAsia" w:hAnsiTheme="majorEastAsia"/>
                <w:sz w:val="18"/>
              </w:rPr>
              <w:t>类份额：</w:t>
            </w:r>
            <w:r>
              <w:rPr>
                <w:rFonts w:hint="eastAsia" w:ascii="宋体" w:hAnsi="宋体"/>
                <w:bCs/>
                <w:sz w:val="18"/>
                <w:szCs w:val="18"/>
              </w:rPr>
              <w:t>【2.</w:t>
            </w:r>
            <w:r>
              <w:rPr>
                <w:rFonts w:ascii="宋体" w:hAnsi="宋体"/>
                <w:bCs/>
                <w:sz w:val="18"/>
                <w:szCs w:val="18"/>
              </w:rPr>
              <w:t>85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【0.01%</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116649651"/>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4771"/>
      <w:bookmarkStart w:id="76" w:name="_Toc116649652"/>
      <w:bookmarkStart w:id="77" w:name="_Toc27189"/>
      <w:bookmarkStart w:id="78" w:name="_Toc74065741"/>
      <w:bookmarkStart w:id="79" w:name="_Toc6714"/>
      <w:bookmarkStart w:id="80" w:name="_Toc15203"/>
      <w:bookmarkStart w:id="81" w:name="_Toc90742688"/>
      <w:bookmarkStart w:id="82" w:name="_Toc7151"/>
      <w:bookmarkStart w:id="83" w:name="_Toc29784"/>
      <w:bookmarkStart w:id="84" w:name="_Toc90742321"/>
      <w:bookmarkStart w:id="85" w:name="_Toc79154668"/>
      <w:bookmarkStart w:id="86" w:name="_Toc16265"/>
      <w:bookmarkStart w:id="87" w:name="_Toc22074"/>
      <w:bookmarkStart w:id="88" w:name="_Toc29948"/>
      <w:bookmarkStart w:id="89" w:name="_Toc3266"/>
      <w:bookmarkStart w:id="90" w:name="_Toc90742390"/>
      <w:bookmarkStart w:id="91" w:name="_Toc27226"/>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（2）以套期保值、风险对冲为目的的国债期货、利率互换、信用风险缓释工具等衍生品占产品总资产比例低于10%。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（4）全部开放式公募理财产品投资单一上市公司发行的股票不得超过该上市公司可流通股票的15%。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4893"/>
      <w:bookmarkStart w:id="94" w:name="_Toc4741"/>
      <w:bookmarkStart w:id="95" w:name="_Toc18797"/>
      <w:bookmarkStart w:id="96" w:name="_Toc21988"/>
      <w:bookmarkStart w:id="97" w:name="_Toc26986"/>
      <w:bookmarkStart w:id="98" w:name="_Toc79154669"/>
      <w:bookmarkStart w:id="99" w:name="_Toc116649654"/>
      <w:bookmarkStart w:id="100" w:name="_Toc74065742"/>
      <w:bookmarkStart w:id="101" w:name="_Toc1823"/>
      <w:bookmarkStart w:id="102" w:name="_Toc18526"/>
      <w:bookmarkStart w:id="103" w:name="_Toc7848"/>
      <w:bookmarkStart w:id="104" w:name="_Toc18329"/>
      <w:bookmarkStart w:id="105" w:name="_Toc139991735"/>
      <w:bookmarkStart w:id="106" w:name="_Toc17912"/>
      <w:bookmarkStart w:id="107"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20733"/>
      <w:bookmarkStart w:id="110" w:name="_Toc123051452"/>
      <w:bookmarkStart w:id="111" w:name="_Toc17244"/>
      <w:bookmarkStart w:id="112" w:name="_Toc79154670"/>
      <w:bookmarkStart w:id="113" w:name="_Toc1427"/>
      <w:bookmarkStart w:id="114" w:name="_Toc139991736"/>
      <w:bookmarkStart w:id="115" w:name="_Toc74065743"/>
      <w:bookmarkStart w:id="116" w:name="_Toc123112234"/>
      <w:bookmarkStart w:id="117" w:name="_Toc48649707"/>
      <w:bookmarkStart w:id="118" w:name="_Toc4003"/>
      <w:bookmarkStart w:id="119" w:name="_Toc7920"/>
      <w:bookmarkStart w:id="120" w:name="_Toc610"/>
      <w:bookmarkStart w:id="121" w:name="_Toc123102453"/>
      <w:bookmarkStart w:id="122" w:name="_Toc23822"/>
      <w:bookmarkStart w:id="123" w:name="_Toc1270"/>
      <w:bookmarkStart w:id="124" w:name="_Toc98560352"/>
      <w:bookmarkStart w:id="125" w:name="_Toc79392606"/>
      <w:bookmarkStart w:id="126" w:name="_Toc10463"/>
      <w:bookmarkStart w:id="127" w:name="_Toc116649655"/>
      <w:bookmarkStart w:id="128" w:name="_Toc141703886"/>
      <w:bookmarkStart w:id="129" w:name="_Toc23261"/>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31644"/>
      <w:bookmarkStart w:id="132" w:name="_Toc29251"/>
      <w:bookmarkStart w:id="133" w:name="_Toc139991737"/>
      <w:bookmarkStart w:id="134" w:name="_Toc74065744"/>
      <w:bookmarkStart w:id="135" w:name="_Toc14835"/>
      <w:bookmarkStart w:id="136" w:name="_Toc116649656"/>
      <w:bookmarkStart w:id="137" w:name="_Toc26207"/>
      <w:bookmarkStart w:id="138" w:name="_Toc123102454"/>
      <w:bookmarkStart w:id="139" w:name="_Toc31653"/>
      <w:bookmarkStart w:id="140" w:name="_Toc79154671"/>
      <w:bookmarkStart w:id="141" w:name="_Toc3601"/>
      <w:bookmarkStart w:id="142" w:name="_Toc6405"/>
      <w:bookmarkStart w:id="143" w:name="_Toc12245"/>
      <w:bookmarkStart w:id="144" w:name="_Toc98560353"/>
      <w:bookmarkStart w:id="145" w:name="_Toc123051453"/>
      <w:bookmarkStart w:id="146" w:name="_Toc123112235"/>
      <w:bookmarkStart w:id="147" w:name="_Toc31235"/>
      <w:bookmarkStart w:id="148" w:name="_Toc141703887"/>
      <w:bookmarkStart w:id="149" w:name="_Toc1514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523711668"/>
      <w:bookmarkStart w:id="152" w:name="_Toc15118234"/>
      <w:bookmarkStart w:id="153" w:name="_Toc57530239"/>
      <w:bookmarkStart w:id="154" w:name="_Toc79392580"/>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97298"/>
      <w:bookmarkEnd w:id="155"/>
      <w:bookmarkStart w:id="156" w:name="_Hlt88825574"/>
      <w:bookmarkEnd w:id="156"/>
      <w:bookmarkStart w:id="157" w:name="_Toc18567"/>
      <w:bookmarkStart w:id="158" w:name="_Toc11030"/>
      <w:bookmarkStart w:id="159" w:name="_Toc3771"/>
      <w:bookmarkStart w:id="160" w:name="_Toc6447"/>
      <w:bookmarkStart w:id="161" w:name="_Toc9706"/>
      <w:bookmarkStart w:id="162" w:name="_Toc123051454"/>
      <w:bookmarkStart w:id="163" w:name="_Toc7058"/>
      <w:bookmarkStart w:id="164" w:name="_Toc79392583"/>
      <w:bookmarkStart w:id="165" w:name="_Toc79154672"/>
      <w:bookmarkStart w:id="166" w:name="_Toc139991738"/>
      <w:bookmarkStart w:id="167" w:name="_Toc123112236"/>
      <w:bookmarkStart w:id="168" w:name="_Toc141703888"/>
      <w:bookmarkStart w:id="169" w:name="_Toc123102455"/>
      <w:bookmarkStart w:id="170" w:name="_Toc98560354"/>
      <w:bookmarkStart w:id="171" w:name="_Toc74065745"/>
      <w:bookmarkStart w:id="172" w:name="_Toc3321"/>
      <w:bookmarkStart w:id="173" w:name="_Toc10650"/>
      <w:bookmarkStart w:id="174" w:name="_Toc25783"/>
      <w:bookmarkStart w:id="175" w:name="_Toc116649657"/>
      <w:bookmarkStart w:id="176" w:name="_Toc4559"/>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1745"/>
      <w:bookmarkStart w:id="178" w:name="_Toc3963"/>
      <w:r>
        <w:br w:type="page"/>
      </w:r>
      <w:bookmarkStart w:id="179" w:name="_Toc123112237"/>
      <w:bookmarkStart w:id="180" w:name="_Toc98560355"/>
      <w:bookmarkStart w:id="181" w:name="_Toc116649658"/>
      <w:bookmarkStart w:id="182" w:name="_Toc18206"/>
      <w:bookmarkStart w:id="183" w:name="_Toc139991739"/>
      <w:bookmarkStart w:id="184" w:name="_Toc79154673"/>
      <w:bookmarkStart w:id="185" w:name="_Toc3572"/>
      <w:bookmarkStart w:id="186" w:name="_Toc31821"/>
      <w:bookmarkStart w:id="187" w:name="_Toc123102456"/>
      <w:bookmarkStart w:id="188" w:name="_Toc10398"/>
      <w:bookmarkStart w:id="189" w:name="_Toc3080"/>
      <w:bookmarkStart w:id="190" w:name="_Toc16164"/>
      <w:bookmarkStart w:id="191" w:name="_Toc725"/>
      <w:bookmarkStart w:id="192" w:name="_Toc123051455"/>
      <w:bookmarkStart w:id="193" w:name="_Toc21735"/>
      <w:bookmarkStart w:id="194" w:name="_Toc141703889"/>
      <w:bookmarkStart w:id="195" w:name="_Toc7406574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79392593"/>
      <w:bookmarkStart w:id="197" w:name="_Toc15118245"/>
      <w:bookmarkStart w:id="198"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line="360" w:lineRule="auto"/>
        <w:jc w:val="center"/>
        <w:rPr>
          <w:rFonts w:ascii="Times New Roman"/>
          <w:sz w:val="30"/>
        </w:rPr>
      </w:pPr>
      <w:r>
        <w:rPr>
          <w:rFonts w:ascii="Times New Roman"/>
          <w:b w:val="0"/>
          <w:bCs w:val="0"/>
          <w:kern w:val="2"/>
        </w:rPr>
        <w:br w:type="page"/>
      </w:r>
      <w:bookmarkStart w:id="199" w:name="_Toc29408"/>
      <w:bookmarkStart w:id="200" w:name="_Toc21237"/>
      <w:bookmarkStart w:id="201" w:name="_Toc79392622"/>
      <w:bookmarkStart w:id="202" w:name="_Toc32584"/>
      <w:bookmarkStart w:id="203" w:name="_Toc98560356"/>
      <w:bookmarkStart w:id="204" w:name="_Toc739"/>
      <w:bookmarkStart w:id="205" w:name="_Toc123102457"/>
      <w:bookmarkStart w:id="206" w:name="_Toc123112238"/>
      <w:bookmarkStart w:id="207" w:name="_Toc32092"/>
      <w:bookmarkStart w:id="208" w:name="_Toc79154674"/>
      <w:bookmarkStart w:id="209" w:name="_Toc17920"/>
      <w:bookmarkStart w:id="210" w:name="_Toc123051456"/>
      <w:bookmarkStart w:id="211" w:name="_Toc48649708"/>
      <w:bookmarkStart w:id="212" w:name="_Toc141703890"/>
      <w:bookmarkStart w:id="213" w:name="_Toc116649659"/>
      <w:bookmarkStart w:id="214" w:name="_Toc74065747"/>
      <w:bookmarkStart w:id="215" w:name="_Toc8791"/>
      <w:bookmarkStart w:id="216" w:name="_Toc3329"/>
      <w:bookmarkStart w:id="217" w:name="_Toc139991740"/>
      <w:bookmarkStart w:id="218" w:name="_Toc5170"/>
      <w:bookmarkStart w:id="219" w:name="_Toc1719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79154675"/>
      <w:bookmarkStart w:id="221"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4"/>
        <w:spacing w:line="360" w:lineRule="auto"/>
        <w:rPr>
          <w:rFonts w:hAnsi="宋体"/>
          <w:sz w:val="18"/>
          <w:szCs w:val="18"/>
        </w:rPr>
      </w:pPr>
    </w:p>
    <w:p>
      <w:pPr>
        <w:spacing w:line="360" w:lineRule="auto"/>
        <w:jc w:val="left"/>
        <w:rPr>
          <w:rFonts w:hint="eastAsia" w:ascii="宋体" w:hAnsi="宋体"/>
          <w:b/>
          <w:sz w:val="18"/>
          <w:szCs w:val="18"/>
        </w:rPr>
        <w:sectPr>
          <w:headerReference r:id="rId7" w:type="default"/>
          <w:footerReference r:id="rId8"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兴银理财【稳利恒盈】封闭式理财产品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4"/>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sym w:font="Wingdings 2" w:char="0052"/>
      </w: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w:t>
      </w:r>
      <w:r>
        <w:rPr>
          <w:rFonts w:ascii="宋体" w:hAnsi="宋体"/>
          <w:bCs/>
          <w:sz w:val="18"/>
          <w:szCs w:val="18"/>
        </w:rPr>
        <w:t>29</w:t>
      </w:r>
      <w:r>
        <w:rPr>
          <w:rFonts w:hint="eastAsia" w:ascii="宋体" w:hAnsi="宋体"/>
          <w:bCs/>
          <w:sz w:val="18"/>
          <w:szCs w:val="18"/>
        </w:rPr>
        <w:t>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asciiTheme="majorEastAsia" w:hAnsiTheme="majorEastAsia" w:eastAsiaTheme="majorEastAsia"/>
          <w:bCs/>
          <w:kern w:val="0"/>
          <w:sz w:val="18"/>
          <w:szCs w:val="18"/>
        </w:rPr>
      </w:pPr>
      <w:r>
        <w:rPr>
          <w:rFonts w:asciiTheme="majorEastAsia" w:hAnsiTheme="majorEastAsia" w:eastAsiaTheme="majorEastAsia"/>
          <w:bCs/>
          <w:kern w:val="0"/>
          <w:sz w:val="18"/>
          <w:szCs w:val="18"/>
        </w:rPr>
        <w:t>【</w:t>
      </w:r>
      <w:r>
        <w:rPr>
          <w:rFonts w:hint="eastAsia" w:ascii="宋体" w:hAnsi="宋体"/>
          <w:bCs/>
          <w:sz w:val="18"/>
          <w:szCs w:val="18"/>
        </w:rPr>
        <w:t>稳利安盈2023年29期季季兴A</w:t>
      </w:r>
      <w:r>
        <w:rPr>
          <w:rFonts w:hint="eastAsia" w:asciiTheme="majorEastAsia" w:hAnsiTheme="majorEastAsia" w:eastAsiaTheme="majorEastAsia"/>
          <w:bCs/>
          <w:kern w:val="0"/>
          <w:sz w:val="18"/>
          <w:szCs w:val="18"/>
        </w:rPr>
        <w:t>】（适用【A】类份额）</w:t>
      </w:r>
    </w:p>
    <w:p>
      <w:pPr>
        <w:ind w:firstLine="448" w:firstLineChars="249"/>
        <w:rPr>
          <w:rFonts w:asciiTheme="majorEastAsia" w:hAnsiTheme="majorEastAsia" w:eastAsiaTheme="majorEastAsia"/>
          <w:bCs/>
          <w:kern w:val="0"/>
          <w:sz w:val="18"/>
          <w:szCs w:val="18"/>
        </w:rPr>
      </w:pPr>
      <w:r>
        <w:rPr>
          <w:rFonts w:asciiTheme="majorEastAsia" w:hAnsiTheme="majorEastAsia" w:eastAsiaTheme="majorEastAsia"/>
          <w:bCs/>
          <w:kern w:val="0"/>
          <w:sz w:val="18"/>
          <w:szCs w:val="18"/>
        </w:rPr>
        <w:t>【</w:t>
      </w:r>
      <w:r>
        <w:rPr>
          <w:rFonts w:hint="eastAsia" w:ascii="宋体" w:hAnsi="宋体"/>
          <w:bCs/>
          <w:sz w:val="18"/>
          <w:szCs w:val="18"/>
        </w:rPr>
        <w:t>稳利安盈2023年29期季季兴B</w:t>
      </w:r>
      <w:r>
        <w:rPr>
          <w:rFonts w:hint="eastAsia" w:asciiTheme="majorEastAsia" w:hAnsiTheme="majorEastAsia" w:eastAsiaTheme="majorEastAsia"/>
          <w:bCs/>
          <w:kern w:val="0"/>
          <w:sz w:val="18"/>
          <w:szCs w:val="18"/>
        </w:rPr>
        <w:t>】（适用【</w:t>
      </w:r>
      <w:r>
        <w:rPr>
          <w:rFonts w:asciiTheme="majorEastAsia" w:hAnsiTheme="majorEastAsia" w:eastAsiaTheme="majorEastAsia"/>
          <w:bCs/>
          <w:kern w:val="0"/>
          <w:sz w:val="18"/>
          <w:szCs w:val="18"/>
        </w:rPr>
        <w:t>B</w:t>
      </w:r>
      <w:r>
        <w:rPr>
          <w:rFonts w:hint="eastAsia" w:asciiTheme="majorEastAsia" w:hAnsiTheme="majorEastAsia" w:eastAsiaTheme="majorEastAsia"/>
          <w:bCs/>
          <w:kern w:val="0"/>
          <w:sz w:val="18"/>
          <w:szCs w:val="18"/>
        </w:rPr>
        <w:t>】类份额）</w:t>
      </w:r>
    </w:p>
    <w:p>
      <w:pPr>
        <w:ind w:firstLine="448" w:firstLineChars="249"/>
        <w:rPr>
          <w:rFonts w:asciiTheme="majorEastAsia" w:hAnsiTheme="majorEastAsia" w:eastAsiaTheme="majorEastAsia"/>
          <w:bCs/>
          <w:kern w:val="0"/>
          <w:sz w:val="18"/>
          <w:szCs w:val="18"/>
        </w:rPr>
      </w:pPr>
      <w:r>
        <w:rPr>
          <w:rFonts w:asciiTheme="majorEastAsia" w:hAnsiTheme="majorEastAsia" w:eastAsiaTheme="majorEastAsia"/>
          <w:bCs/>
          <w:kern w:val="0"/>
          <w:sz w:val="18"/>
          <w:szCs w:val="18"/>
        </w:rPr>
        <w:t>【</w:t>
      </w:r>
      <w:r>
        <w:rPr>
          <w:rFonts w:hint="eastAsia" w:ascii="宋体" w:hAnsi="宋体"/>
          <w:bCs/>
          <w:sz w:val="18"/>
          <w:szCs w:val="18"/>
        </w:rPr>
        <w:t>稳利安盈2023年29期季季兴C（新市民专属）</w:t>
      </w:r>
      <w:r>
        <w:rPr>
          <w:rFonts w:hint="eastAsia" w:asciiTheme="majorEastAsia" w:hAnsiTheme="majorEastAsia" w:eastAsiaTheme="majorEastAsia"/>
          <w:bCs/>
          <w:kern w:val="0"/>
          <w:sz w:val="18"/>
          <w:szCs w:val="18"/>
        </w:rPr>
        <w:t>】（适用【</w:t>
      </w:r>
      <w:r>
        <w:rPr>
          <w:rFonts w:asciiTheme="majorEastAsia" w:hAnsiTheme="majorEastAsia" w:eastAsiaTheme="majorEastAsia"/>
          <w:bCs/>
          <w:kern w:val="0"/>
          <w:sz w:val="18"/>
          <w:szCs w:val="18"/>
        </w:rPr>
        <w:t>C</w:t>
      </w:r>
      <w:r>
        <w:rPr>
          <w:rFonts w:hint="eastAsia" w:asciiTheme="majorEastAsia" w:hAnsiTheme="majorEastAsia" w:eastAsiaTheme="majorEastAsia"/>
          <w:bCs/>
          <w:kern w:val="0"/>
          <w:sz w:val="18"/>
          <w:szCs w:val="18"/>
        </w:rPr>
        <w:t>】类份额）</w:t>
      </w:r>
    </w:p>
    <w:p>
      <w:pPr>
        <w:ind w:firstLine="448" w:firstLineChars="249"/>
        <w:rPr>
          <w:rFonts w:ascii="宋体" w:hAnsi="宋体" w:cs="仿宋_GB2312"/>
          <w:kern w:val="0"/>
          <w:sz w:val="18"/>
          <w:szCs w:val="18"/>
        </w:rPr>
      </w:pPr>
      <w:r>
        <w:rPr>
          <w:rFonts w:ascii="宋体" w:hAnsi="宋体"/>
          <w:bCs/>
          <w:sz w:val="18"/>
          <w:szCs w:val="18"/>
        </w:rPr>
        <w:t>【</w:t>
      </w:r>
      <w:r>
        <w:rPr>
          <w:rFonts w:hint="eastAsia" w:ascii="宋体" w:hAnsi="宋体"/>
          <w:bCs/>
          <w:sz w:val="18"/>
          <w:szCs w:val="18"/>
        </w:rPr>
        <w:t>兴银理财稳利安盈封闭式2023年29期（私银）】</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kern w:val="0"/>
          <w:sz w:val="18"/>
          <w:szCs w:val="18"/>
        </w:rPr>
        <w:t>）</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Z7002023000231</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■有固定期限：【112天】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2"/>
        <w:ind w:firstLine="360"/>
        <w:rPr>
          <w:rFonts w:ascii="宋体" w:hAnsi="宋体"/>
          <w:bCs/>
          <w:sz w:val="18"/>
          <w:szCs w:val="18"/>
        </w:rPr>
      </w:pPr>
      <w:r>
        <w:rPr>
          <w:rFonts w:hint="eastAsia" w:ascii="宋体" w:hAnsi="宋体"/>
          <w:bCs/>
          <w:sz w:val="18"/>
          <w:szCs w:val="18"/>
        </w:rPr>
        <w:t>1、拟投资市场和资产的风险：</w:t>
      </w:r>
    </w:p>
    <w:p>
      <w:pPr>
        <w:pStyle w:val="12"/>
        <w:ind w:firstLine="360"/>
        <w:rPr>
          <w:rFonts w:ascii="宋体" w:hAnsi="宋体"/>
          <w:bCs/>
          <w:sz w:val="18"/>
          <w:szCs w:val="18"/>
        </w:rPr>
      </w:pPr>
      <w:r>
        <w:rPr>
          <w:rFonts w:hint="eastAsia" w:ascii="宋体" w:hAnsi="宋体"/>
          <w:bCs/>
          <w:sz w:val="18"/>
          <w:szCs w:val="18"/>
        </w:rPr>
        <w:t>（1）投资债权类资产的风险</w:t>
      </w:r>
    </w:p>
    <w:p>
      <w:pPr>
        <w:pStyle w:val="12"/>
        <w:ind w:firstLine="360"/>
        <w:rPr>
          <w:rFonts w:ascii="宋体" w:hAnsi="宋体"/>
          <w:bCs/>
          <w:sz w:val="18"/>
          <w:szCs w:val="18"/>
        </w:rPr>
      </w:pPr>
      <w:r>
        <w:rPr>
          <w:rFonts w:hint="eastAsia" w:ascii="宋体" w:hAnsi="宋体"/>
          <w:bCs/>
          <w:sz w:val="18"/>
          <w:szCs w:val="18"/>
        </w:rPr>
        <w:t>1）投资标准化债权类资产的风险</w:t>
      </w:r>
    </w:p>
    <w:p>
      <w:pPr>
        <w:pStyle w:val="12"/>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2"/>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2"/>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2"/>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2"/>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2"/>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2"/>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2"/>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2"/>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2"/>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2"/>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2"/>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2"/>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2"/>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2"/>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宋体" w:hAnsi="宋体"/>
          <w:b/>
          <w:bCs/>
          <w:sz w:val="18"/>
          <w:szCs w:val="18"/>
        </w:rPr>
      </w:pPr>
      <w:r>
        <w:rPr>
          <w:rFonts w:hint="eastAsia" w:ascii="宋体" w:hAnsi="宋体"/>
          <w:b/>
          <w:bCs/>
          <w:sz w:val="18"/>
          <w:szCs w:val="18"/>
        </w:rPr>
        <w:t>17.关联交易风险</w:t>
      </w:r>
    </w:p>
    <w:p>
      <w:pPr>
        <w:pStyle w:val="12"/>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1" w:type="default"/>
          <w:footerReference r:id="rId12"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宋体" w:hAnsi="宋体"/>
          <w:sz w:val="18"/>
          <w:szCs w:val="18"/>
          <w:lang w:val="en-US" w:eastAsia="zh-CN"/>
        </w:rPr>
        <w:t>福建省农村信用社联合社</w:t>
      </w:r>
      <w:r>
        <w:rPr>
          <w:rFonts w:hint="eastAsia" w:ascii="宋体" w:hAnsi="宋体"/>
          <w:sz w:val="18"/>
          <w:szCs w:val="18"/>
        </w:rPr>
        <w:t>】以(□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1"/>
          <w:rFonts w:hint="eastAsia" w:ascii="宋体" w:hAnsi="宋体"/>
          <w:sz w:val="18"/>
          <w:szCs w:val="18"/>
        </w:rPr>
        <w:t>9</w:t>
      </w:r>
      <w:r>
        <w:rPr>
          <w:rStyle w:val="11"/>
          <w:rFonts w:ascii="宋体" w:hAnsi="宋体"/>
          <w:sz w:val="18"/>
          <w:szCs w:val="18"/>
        </w:rPr>
        <w:t>5561</w:t>
      </w:r>
      <w:r>
        <w:rPr>
          <w:rStyle w:val="11"/>
          <w:rFonts w:hint="eastAsia" w:ascii="宋体" w:hAnsi="宋体"/>
          <w:sz w:val="18"/>
          <w:szCs w:val="18"/>
        </w:rPr>
        <w:t>@</w:t>
      </w:r>
      <w:r>
        <w:rPr>
          <w:rStyle w:val="11"/>
          <w:rFonts w:asciiTheme="minorEastAsia" w:hAnsiTheme="minorEastAsia"/>
          <w:sz w:val="18"/>
          <w:szCs w:val="18"/>
        </w:rPr>
        <w:t>cib.com.cn</w:t>
      </w:r>
      <w:r>
        <w:rPr>
          <w:rStyle w:val="11"/>
          <w:rFonts w:hint="eastAsia" w:ascii="宋体" w:hAnsi="宋体"/>
          <w:sz w:val="18"/>
          <w:szCs w:val="18"/>
        </w:rPr>
        <w:t>】</w:t>
      </w:r>
      <w:r>
        <w:rPr>
          <w:rStyle w:val="11"/>
          <w:rFonts w:hint="eastAsia" w:ascii="宋体" w:hAnsi="宋体"/>
          <w:sz w:val="18"/>
          <w:szCs w:val="18"/>
        </w:rPr>
        <w:fldChar w:fldCharType="end"/>
      </w:r>
      <w:r>
        <w:rPr>
          <w:rFonts w:hint="eastAsia" w:ascii="宋体" w:hAnsi="宋体"/>
          <w:sz w:val="18"/>
          <w:szCs w:val="18"/>
        </w:rPr>
        <w:t>。</w:t>
      </w:r>
    </w:p>
    <w:p>
      <w:pPr>
        <w:numPr>
          <w:numId w:val="0"/>
        </w:numPr>
        <w:autoSpaceDE w:val="0"/>
        <w:autoSpaceDN w:val="0"/>
        <w:adjustRightInd w:val="0"/>
        <w:spacing w:line="280" w:lineRule="atLeast"/>
        <w:ind w:firstLine="360" w:firstLineChars="200"/>
        <w:jc w:val="left"/>
        <w:rPr>
          <w:rFonts w:hint="eastAsia" w:ascii="宋体" w:hAnsi="宋体"/>
          <w:sz w:val="18"/>
          <w:szCs w:val="18"/>
        </w:rPr>
      </w:pPr>
      <w:bookmarkStart w:id="222" w:name="_GoBack"/>
      <w:bookmarkEnd w:id="222"/>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autoSpaceDE w:val="0"/>
        <w:autoSpaceDN w:val="0"/>
        <w:adjustRightInd w:val="0"/>
        <w:jc w:val="left"/>
        <w:rPr>
          <w:rFonts w:ascii="仿宋_GB2312" w:eastAsia="仿宋_GB2312" w:cs="仿宋_GB2312"/>
          <w:color w:val="000000"/>
          <w:kern w:val="0"/>
          <w:sz w:val="24"/>
          <w:szCs w:val="24"/>
        </w:rPr>
      </w:pP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rPr>
      </w:pPr>
    </w:p>
    <w:sectPr>
      <w:headerReference r:id="rId13" w:type="default"/>
      <w:footerReference r:id="rId1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9</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9</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A65D9"/>
    <w:rsid w:val="18A31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99"/>
    <w:rPr>
      <w:color w:val="0000FF"/>
      <w:u w:val="single"/>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2023-07-24T07:11:00Z</dcterms:created>
  <dc:creator>admin</dc:creator>
  <cp:lastModifiedBy>高炳荣</cp:lastModifiedBy>
  <dcterms:modified xsi:type="dcterms:W3CDTF">2023-07-24T08:52:44Z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