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8255" b="13335"/>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2"/>
          <w:rFonts w:hint="eastAsia" w:ascii="黑体" w:hAnsi="黑体" w:eastAsia="黑体" w:cs="宋体"/>
          <w:sz w:val="44"/>
          <w:szCs w:val="44"/>
        </w:rPr>
        <w:t>天天万利宝稳利净值型</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10"/>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1984" w:type="dxa"/>
          </w:tcPr>
          <w:p>
            <w:pPr>
              <w:pStyle w:val="15"/>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84" w:type="dxa"/>
          </w:tcPr>
          <w:p>
            <w:pPr>
              <w:pStyle w:val="15"/>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5"/>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8255" b="13335"/>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兴银理财【天天万利宝稳利净值型】理财产品</w:t>
      </w: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2"/>
          <w:rFonts w:ascii="宋体" w:hAnsi="宋体"/>
          <w:sz w:val="28"/>
          <w:szCs w:val="28"/>
        </w:rPr>
      </w:pPr>
      <w:bookmarkStart w:id="0" w:name="_Toc139992301"/>
      <w:bookmarkStart w:id="1" w:name="_Toc123112224"/>
      <w:bookmarkStart w:id="2" w:name="_Toc139991726"/>
      <w:bookmarkStart w:id="3" w:name="_Toc123701383"/>
      <w:bookmarkStart w:id="4" w:name="_Toc123112263"/>
      <w:r>
        <w:rPr>
          <w:rStyle w:val="12"/>
          <w:rFonts w:hint="eastAsia" w:ascii="宋体" w:hAnsi="宋体"/>
          <w:sz w:val="28"/>
          <w:szCs w:val="28"/>
        </w:rPr>
        <w:t>理财产品管理人：</w:t>
      </w:r>
      <w:bookmarkEnd w:id="0"/>
      <w:bookmarkEnd w:id="1"/>
      <w:bookmarkEnd w:id="2"/>
      <w:bookmarkEnd w:id="3"/>
      <w:bookmarkEnd w:id="4"/>
      <w:r>
        <w:rPr>
          <w:rStyle w:val="12"/>
          <w:rFonts w:hint="eastAsia" w:ascii="宋体" w:hAnsi="宋体"/>
          <w:sz w:val="28"/>
          <w:szCs w:val="28"/>
        </w:rPr>
        <w:t>兴银理财有限责任公司</w:t>
      </w:r>
    </w:p>
    <w:p>
      <w:pPr>
        <w:adjustRightInd w:val="0"/>
        <w:spacing w:line="360" w:lineRule="auto"/>
        <w:jc w:val="center"/>
        <w:rPr>
          <w:rStyle w:val="12"/>
          <w:rFonts w:ascii="黑体" w:hAnsi="黑体" w:eastAsia="黑体" w:cs="宋体"/>
          <w:sz w:val="28"/>
          <w:szCs w:val="28"/>
        </w:rPr>
      </w:pPr>
      <w:bookmarkStart w:id="5" w:name="_Toc139991727"/>
      <w:bookmarkStart w:id="6" w:name="_Toc123112225"/>
      <w:bookmarkStart w:id="7" w:name="_Toc123112264"/>
      <w:bookmarkStart w:id="8" w:name="_Toc123701384"/>
      <w:bookmarkStart w:id="9" w:name="_Toc139992302"/>
    </w:p>
    <w:bookmarkEnd w:id="5"/>
    <w:bookmarkEnd w:id="6"/>
    <w:bookmarkEnd w:id="7"/>
    <w:bookmarkEnd w:id="8"/>
    <w:bookmarkEnd w:id="9"/>
    <w:p>
      <w:pPr>
        <w:adjustRightInd w:val="0"/>
        <w:spacing w:line="360" w:lineRule="auto"/>
        <w:jc w:val="center"/>
        <w:rPr>
          <w:rStyle w:val="12"/>
          <w:rFonts w:ascii="黑体" w:hAnsi="黑体" w:eastAsia="黑体" w:cs="宋体"/>
          <w:sz w:val="28"/>
          <w:szCs w:val="28"/>
        </w:rPr>
      </w:pPr>
    </w:p>
    <w:p>
      <w:pPr>
        <w:adjustRightInd w:val="0"/>
        <w:spacing w:line="360" w:lineRule="auto"/>
        <w:jc w:val="center"/>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w:t>
      </w:r>
      <w:r>
        <w:rPr>
          <w:rStyle w:val="12"/>
          <w:rFonts w:ascii="宋体" w:hAnsi="宋体"/>
          <w:sz w:val="28"/>
          <w:szCs w:val="28"/>
        </w:rPr>
        <w:t>2023</w:t>
      </w:r>
      <w:r>
        <w:rPr>
          <w:rStyle w:val="12"/>
          <w:rFonts w:hint="eastAsia" w:ascii="宋体" w:hAnsi="宋体"/>
          <w:sz w:val="28"/>
          <w:szCs w:val="28"/>
        </w:rPr>
        <w:t>】年【</w:t>
      </w:r>
      <w:r>
        <w:rPr>
          <w:rStyle w:val="12"/>
          <w:rFonts w:ascii="宋体" w:hAnsi="宋体"/>
          <w:sz w:val="28"/>
          <w:szCs w:val="28"/>
        </w:rPr>
        <w:t>7</w:t>
      </w:r>
      <w:r>
        <w:rPr>
          <w:rStyle w:val="12"/>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基准等类似表述不代表投资者可能获得的实际收益，亦不构成产品管理人对本产品的任何收益承诺，仅供投资者进行投资决定时参考。</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8"/>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8"/>
              <w:snapToGrid w:val="0"/>
              <w:spacing w:before="0" w:beforeAutospacing="0" w:after="0" w:afterAutospacing="0"/>
              <w:jc w:val="both"/>
              <w:rPr>
                <w:rFonts w:ascii="黑体" w:hAnsi="黑体" w:eastAsia="黑体"/>
                <w:bCs/>
                <w:sz w:val="18"/>
                <w:szCs w:val="18"/>
              </w:rPr>
            </w:pPr>
          </w:p>
          <w:p>
            <w:pPr>
              <w:pStyle w:val="8"/>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39991729"/>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【兴业银行天天万利宝稳利2号净值型理财产品A款】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【稳利恒盈A 6个月】</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Z7002020000018</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【9K218021】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9K218021</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6"/>
            <w:spacing w:line="360" w:lineRule="auto"/>
            <w:jc w:val="center"/>
          </w:pPr>
          <w:r>
            <w:rPr>
              <w:lang w:val="zh-CN"/>
            </w:rPr>
            <w:t>目录</w:t>
          </w:r>
        </w:p>
        <w:p>
          <w:pPr>
            <w:pStyle w:val="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867"/>
      <w:bookmarkStart w:id="15" w:name="_Toc6306"/>
      <w:bookmarkStart w:id="16" w:name="_Toc123701389"/>
      <w:bookmarkStart w:id="17" w:name="_Toc123112229"/>
      <w:bookmarkStart w:id="18" w:name="_Toc32639"/>
      <w:bookmarkStart w:id="19" w:name="_Toc141703880"/>
      <w:bookmarkStart w:id="20" w:name="_Toc8727"/>
      <w:bookmarkStart w:id="21" w:name="_Toc23386"/>
      <w:bookmarkStart w:id="22" w:name="_Toc30935"/>
      <w:bookmarkStart w:id="23" w:name="_Toc4966"/>
      <w:bookmarkStart w:id="24" w:name="_Toc26897"/>
      <w:bookmarkStart w:id="25" w:name="_Toc29629"/>
      <w:bookmarkStart w:id="26" w:name="_Toc139991730"/>
      <w:bookmarkStart w:id="27" w:name="_Toc123112268"/>
      <w:bookmarkStart w:id="28" w:name="_Toc1551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5067"/>
      <w:bookmarkStart w:id="33" w:name="_Toc24860"/>
      <w:bookmarkStart w:id="34" w:name="_Toc22864"/>
      <w:bookmarkStart w:id="35" w:name="_Toc19592"/>
      <w:bookmarkStart w:id="36" w:name="_Toc6617"/>
      <w:bookmarkStart w:id="37" w:name="_Toc819"/>
      <w:bookmarkStart w:id="38" w:name="_Toc21301"/>
      <w:bookmarkStart w:id="39" w:name="_Toc3224"/>
      <w:bookmarkStart w:id="40" w:name="_Toc258829399"/>
      <w:bookmarkStart w:id="41" w:name="_Toc2465"/>
      <w:bookmarkStart w:id="42" w:name="_Toc13020"/>
      <w:r>
        <w:rPr>
          <w:rFonts w:hint="eastAsia" w:ascii="Times New Roman"/>
          <w:color w:val="auto"/>
          <w:sz w:val="30"/>
        </w:rPr>
        <w:t>前言</w:t>
      </w:r>
      <w:bookmarkEnd w:id="29"/>
    </w:p>
    <w:p>
      <w:pPr>
        <w:pStyle w:val="17"/>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683"/>
      <w:bookmarkStart w:id="48" w:name="_Toc24571"/>
      <w:bookmarkStart w:id="49" w:name="_Toc20318"/>
      <w:bookmarkStart w:id="50" w:name="_Toc20627"/>
      <w:bookmarkStart w:id="51" w:name="_Toc18631"/>
      <w:bookmarkStart w:id="52" w:name="_Toc733"/>
      <w:bookmarkStart w:id="53" w:name="_Toc545"/>
      <w:bookmarkStart w:id="54" w:name="_Toc6149"/>
      <w:bookmarkStart w:id="55" w:name="_Toc22708"/>
      <w:bookmarkStart w:id="56" w:name="_Toc74065740"/>
      <w:bookmarkStart w:id="57" w:name="_Toc13288"/>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兴银理财【</w:t>
      </w:r>
      <w:r>
        <w:rPr>
          <w:rFonts w:hint="eastAsia" w:ascii="黑体" w:hAnsi="黑体" w:eastAsia="黑体"/>
          <w:b/>
          <w:sz w:val="44"/>
          <w:szCs w:val="44"/>
        </w:rPr>
        <w:t>天天万利宝稳利净值型</w:t>
      </w:r>
      <w:r>
        <w:rPr>
          <w:rStyle w:val="12"/>
          <w:rFonts w:hint="eastAsia" w:ascii="黑体" w:hAnsi="黑体" w:eastAsia="黑体"/>
          <w:sz w:val="44"/>
          <w:szCs w:val="44"/>
        </w:rPr>
        <w:t>】理财产品</w:t>
      </w: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产品说明书</w:t>
      </w:r>
    </w:p>
    <w:p>
      <w:pPr>
        <w:adjustRightInd w:val="0"/>
        <w:spacing w:line="360" w:lineRule="auto"/>
        <w:jc w:val="center"/>
        <w:rPr>
          <w:rStyle w:val="12"/>
          <w:rFonts w:ascii="宋体" w:hAnsi="宋体"/>
          <w:sz w:val="32"/>
          <w:szCs w:val="32"/>
        </w:rPr>
      </w:pPr>
    </w:p>
    <w:p>
      <w:pPr>
        <w:adjustRightInd w:val="0"/>
        <w:spacing w:line="360" w:lineRule="auto"/>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理财产品管理人：兴银理财有限责任公司</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日期</w:t>
      </w:r>
      <w:r>
        <w:rPr>
          <w:rStyle w:val="12"/>
          <w:rFonts w:ascii="宋体" w:hAnsi="宋体" w:cs="Times New Roman"/>
          <w:sz w:val="32"/>
          <w:szCs w:val="32"/>
        </w:rPr>
        <w:t>：</w:t>
      </w:r>
      <w:r>
        <w:rPr>
          <w:rStyle w:val="12"/>
          <w:rFonts w:hint="eastAsia" w:ascii="宋体" w:hAnsi="宋体" w:cs="Times New Roman"/>
          <w:sz w:val="32"/>
          <w:szCs w:val="32"/>
        </w:rPr>
        <w:t>【2023】年【</w:t>
      </w:r>
      <w:r>
        <w:rPr>
          <w:rStyle w:val="12"/>
          <w:rFonts w:ascii="宋体" w:hAnsi="宋体" w:cs="Times New Roman"/>
          <w:sz w:val="32"/>
          <w:szCs w:val="32"/>
        </w:rPr>
        <w:t>7</w:t>
      </w:r>
      <w:r>
        <w:rPr>
          <w:rStyle w:val="12"/>
          <w:rFonts w:hint="eastAsia" w:ascii="宋体" w:hAnsi="宋体" w:cs="Times New Roman"/>
          <w:sz w:val="32"/>
          <w:szCs w:val="32"/>
        </w:rPr>
        <w:t>】月</w:t>
      </w:r>
    </w:p>
    <w:p>
      <w:pPr>
        <w:rPr>
          <w:rStyle w:val="12"/>
          <w:rFonts w:ascii="宋体" w:hAnsi="宋体"/>
          <w:sz w:val="32"/>
          <w:szCs w:val="32"/>
        </w:rPr>
      </w:pPr>
      <w:r>
        <w:rPr>
          <w:rStyle w:val="12"/>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8"/>
            <w:spacing w:line="360" w:lineRule="auto"/>
            <w:jc w:val="center"/>
          </w:pPr>
          <w:bookmarkStart w:id="66" w:name="_Toc78276587"/>
          <w:r>
            <w:rPr>
              <w:lang w:val="zh-CN"/>
            </w:rPr>
            <w:t>目录</w:t>
          </w:r>
        </w:p>
        <w:p>
          <w:pPr>
            <w:pStyle w:val="6"/>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"_Toc116984884" </w:instrText>
          </w:r>
          <w:r>
            <w:fldChar w:fldCharType="separate"/>
          </w:r>
          <w:r>
            <w:rPr>
              <w:rStyle w:val="13"/>
              <w:rFonts w:hint="eastAsia" w:ascii="Times New Roman"/>
            </w:rPr>
            <w:t>第一条</w:t>
          </w:r>
          <w:r>
            <w:rPr>
              <w:rStyle w:val="13"/>
              <w:rFonts w:ascii="Times New Roman"/>
            </w:rPr>
            <w:t xml:space="preserve">  </w:t>
          </w:r>
          <w:r>
            <w:rPr>
              <w:rStyle w:val="13"/>
              <w:rFonts w:hint="eastAsia" w:ascii="Times New Roman"/>
            </w:rPr>
            <w:t>释义</w:t>
          </w:r>
          <w:r>
            <w:tab/>
          </w:r>
          <w:r>
            <w:fldChar w:fldCharType="begin"/>
          </w:r>
          <w:r>
            <w:instrText xml:space="preserve"> PAGEREF _Toc116984884 \h </w:instrText>
          </w:r>
          <w:r>
            <w:fldChar w:fldCharType="separate"/>
          </w:r>
          <w:r>
            <w:t>3</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"_Toc116984885" </w:instrText>
          </w:r>
          <w:r>
            <w:fldChar w:fldCharType="separate"/>
          </w:r>
          <w:r>
            <w:rPr>
              <w:rStyle w:val="13"/>
              <w:rFonts w:hint="eastAsia" w:hAnsi="宋体"/>
            </w:rPr>
            <w:t>第二条</w:t>
          </w:r>
          <w:r>
            <w:rPr>
              <w:rStyle w:val="13"/>
              <w:rFonts w:hAnsi="宋体"/>
            </w:rPr>
            <w:t xml:space="preserve">  </w:t>
          </w:r>
          <w:r>
            <w:rPr>
              <w:rStyle w:val="13"/>
              <w:rFonts w:hint="eastAsia" w:hAnsi="宋体"/>
            </w:rPr>
            <w:t>理财产品基本情况</w:t>
          </w:r>
          <w:r>
            <w:rPr>
              <w:rStyle w:val="13"/>
              <w:rFonts w:hAnsi="宋体"/>
            </w:rPr>
            <w:t xml:space="preserve"> </w:t>
          </w:r>
          <w:r>
            <w:tab/>
          </w:r>
          <w:r>
            <w:fldChar w:fldCharType="begin"/>
          </w:r>
          <w:r>
            <w:instrText xml:space="preserve"> PAGEREF _Toc116984885 \h </w:instrText>
          </w:r>
          <w:r>
            <w:fldChar w:fldCharType="separate"/>
          </w:r>
          <w:r>
            <w:t>9</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"_Toc116984886" </w:instrText>
          </w:r>
          <w:r>
            <w:fldChar w:fldCharType="separate"/>
          </w:r>
          <w:r>
            <w:rPr>
              <w:rStyle w:val="13"/>
              <w:rFonts w:hint="eastAsia" w:ascii="Times New Roman"/>
            </w:rPr>
            <w:t>第三条</w:t>
          </w:r>
          <w:r>
            <w:rPr>
              <w:rStyle w:val="13"/>
              <w:rFonts w:ascii="Times New Roman"/>
            </w:rPr>
            <w:t xml:space="preserve">  </w:t>
          </w:r>
          <w:r>
            <w:rPr>
              <w:rStyle w:val="13"/>
              <w:rFonts w:hint="eastAsia" w:ascii="Times New Roman"/>
            </w:rPr>
            <w:t>理财产品的认购</w:t>
          </w:r>
          <w:r>
            <w:tab/>
          </w:r>
          <w:r>
            <w:fldChar w:fldCharType="begin"/>
          </w:r>
          <w:r>
            <w:instrText xml:space="preserve"> PAGEREF _Toc116984886 \h </w:instrText>
          </w:r>
          <w:r>
            <w:fldChar w:fldCharType="separate"/>
          </w:r>
          <w:r>
            <w:t>17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"_Toc116984887" </w:instrText>
          </w:r>
          <w:r>
            <w:fldChar w:fldCharType="separate"/>
          </w:r>
          <w:r>
            <w:rPr>
              <w:rStyle w:val="13"/>
              <w:rFonts w:hint="eastAsia" w:ascii="Times New Roman"/>
            </w:rPr>
            <w:t>第四条</w:t>
          </w:r>
          <w:r>
            <w:rPr>
              <w:rStyle w:val="13"/>
              <w:rFonts w:ascii="Times New Roman"/>
            </w:rPr>
            <w:t xml:space="preserve">  </w:t>
          </w:r>
          <w:r>
            <w:rPr>
              <w:rStyle w:val="13"/>
              <w:rFonts w:hint="eastAsia" w:ascii="Times New Roman"/>
            </w:rPr>
            <w:t>理财产品的申购与赎回</w:t>
          </w:r>
          <w:r>
            <w:tab/>
          </w:r>
          <w:r>
            <w:fldChar w:fldCharType="begin"/>
          </w:r>
          <w:r>
            <w:instrText xml:space="preserve"> PAGEREF _Toc116984887 \h </w:instrText>
          </w:r>
          <w:r>
            <w:fldChar w:fldCharType="separate"/>
          </w:r>
          <w:r>
            <w:t>19</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"_Toc116984888" </w:instrText>
          </w:r>
          <w:r>
            <w:fldChar w:fldCharType="separate"/>
          </w:r>
          <w:r>
            <w:rPr>
              <w:rStyle w:val="13"/>
              <w:rFonts w:hint="eastAsia" w:ascii="Times New Roman"/>
            </w:rPr>
            <w:t>第五条</w:t>
          </w:r>
          <w:r>
            <w:rPr>
              <w:rStyle w:val="13"/>
              <w:rFonts w:ascii="Times New Roman"/>
            </w:rPr>
            <w:t xml:space="preserve">  </w:t>
          </w:r>
          <w:r>
            <w:rPr>
              <w:rStyle w:val="13"/>
              <w:rFonts w:hint="eastAsia" w:ascii="Times New Roman"/>
            </w:rPr>
            <w:t>理财产品的投资</w:t>
          </w:r>
          <w:r>
            <w:tab/>
          </w:r>
          <w:r>
            <w:fldChar w:fldCharType="begin"/>
          </w:r>
          <w:r>
            <w:instrText xml:space="preserve"> PAGEREF _Toc116984888 \h </w:instrText>
          </w:r>
          <w:r>
            <w:fldChar w:fldCharType="separate"/>
          </w:r>
          <w:r>
            <w:t>23</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"_Toc116984889" </w:instrText>
          </w:r>
          <w:r>
            <w:fldChar w:fldCharType="separate"/>
          </w:r>
          <w:r>
            <w:rPr>
              <w:rStyle w:val="13"/>
              <w:rFonts w:hint="eastAsia" w:ascii="Times New Roman"/>
            </w:rPr>
            <w:t>第六条</w:t>
          </w:r>
          <w:r>
            <w:rPr>
              <w:rStyle w:val="13"/>
              <w:rFonts w:ascii="Times New Roman"/>
            </w:rPr>
            <w:t xml:space="preserve">  </w:t>
          </w:r>
          <w:r>
            <w:rPr>
              <w:rStyle w:val="13"/>
              <w:rFonts w:hint="eastAsia" w:ascii="Times New Roman"/>
            </w:rPr>
            <w:t>理财产品的资产</w:t>
          </w:r>
          <w:r>
            <w:tab/>
          </w:r>
          <w:r>
            <w:fldChar w:fldCharType="begin"/>
          </w:r>
          <w:r>
            <w:instrText xml:space="preserve"> PAGEREF _Toc116984889 \h </w:instrText>
          </w:r>
          <w:r>
            <w:fldChar w:fldCharType="separate"/>
          </w:r>
          <w:r>
            <w:t>26</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"_Toc116984890" </w:instrText>
          </w:r>
          <w:r>
            <w:fldChar w:fldCharType="separate"/>
          </w:r>
          <w:r>
            <w:rPr>
              <w:rStyle w:val="13"/>
              <w:rFonts w:hint="eastAsia" w:ascii="Times New Roman"/>
            </w:rPr>
            <w:t>第七条</w:t>
          </w:r>
          <w:r>
            <w:rPr>
              <w:rStyle w:val="13"/>
              <w:rFonts w:ascii="Times New Roman"/>
            </w:rPr>
            <w:t xml:space="preserve">  </w:t>
          </w:r>
          <w:r>
            <w:rPr>
              <w:rStyle w:val="13"/>
              <w:rFonts w:hint="eastAsia" w:ascii="Times New Roman"/>
            </w:rPr>
            <w:t>理财产品项下资产的估值</w:t>
          </w:r>
          <w:r>
            <w:tab/>
          </w:r>
          <w:r>
            <w:fldChar w:fldCharType="begin"/>
          </w:r>
          <w:r>
            <w:instrText xml:space="preserve"> PAGEREF _Toc116984890 \h </w:instrText>
          </w:r>
          <w:r>
            <w:fldChar w:fldCharType="separate"/>
          </w:r>
          <w:r>
            <w:t>27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"_Toc116984891" </w:instrText>
          </w:r>
          <w:r>
            <w:fldChar w:fldCharType="separate"/>
          </w:r>
          <w:r>
            <w:rPr>
              <w:rStyle w:val="13"/>
              <w:rFonts w:hint="eastAsia" w:ascii="Times New Roman"/>
            </w:rPr>
            <w:t>第八条</w:t>
          </w:r>
          <w:r>
            <w:rPr>
              <w:rStyle w:val="13"/>
              <w:rFonts w:ascii="Times New Roman"/>
            </w:rPr>
            <w:t xml:space="preserve">  </w:t>
          </w:r>
          <w:r>
            <w:rPr>
              <w:rStyle w:val="13"/>
              <w:rFonts w:hint="eastAsia" w:ascii="Times New Roman"/>
            </w:rPr>
            <w:t>理财产品的利益分配</w:t>
          </w:r>
          <w:r>
            <w:tab/>
          </w:r>
          <w:r>
            <w:fldChar w:fldCharType="begin"/>
          </w:r>
          <w:r>
            <w:instrText xml:space="preserve"> PAGEREF _Toc116984891 \h </w:instrText>
          </w:r>
          <w:r>
            <w:fldChar w:fldCharType="separate"/>
          </w:r>
          <w:r>
            <w:t>31</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"_Toc116984892" </w:instrText>
          </w:r>
          <w:r>
            <w:fldChar w:fldCharType="separate"/>
          </w:r>
          <w:r>
            <w:rPr>
              <w:rStyle w:val="13"/>
              <w:rFonts w:hint="eastAsia" w:ascii="Times New Roman"/>
            </w:rPr>
            <w:t>第九条</w:t>
          </w:r>
          <w:r>
            <w:rPr>
              <w:rStyle w:val="13"/>
              <w:rFonts w:ascii="Times New Roman"/>
            </w:rPr>
            <w:t xml:space="preserve">  </w:t>
          </w:r>
          <w:r>
            <w:rPr>
              <w:rStyle w:val="13"/>
              <w:rFonts w:hint="eastAsia" w:ascii="Times New Roman"/>
            </w:rPr>
            <w:t>理财产品的费用与税收</w:t>
          </w:r>
          <w:r>
            <w:tab/>
          </w:r>
          <w:r>
            <w:fldChar w:fldCharType="begin"/>
          </w:r>
          <w:r>
            <w:instrText xml:space="preserve"> PAGEREF _Toc116984892 \h </w:instrText>
          </w:r>
          <w:r>
            <w:fldChar w:fldCharType="separate"/>
          </w:r>
          <w:r>
            <w:t>32</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"_Toc116984893" </w:instrText>
          </w:r>
          <w:r>
            <w:fldChar w:fldCharType="separate"/>
          </w:r>
          <w:r>
            <w:rPr>
              <w:rStyle w:val="13"/>
              <w:rFonts w:hint="eastAsia"/>
            </w:rPr>
            <w:t>第十条</w:t>
          </w:r>
          <w:r>
            <w:rPr>
              <w:rStyle w:val="13"/>
            </w:rPr>
            <w:t xml:space="preserve">  </w:t>
          </w:r>
          <w:r>
            <w:rPr>
              <w:rStyle w:val="13"/>
              <w:rFonts w:hint="eastAsia"/>
            </w:rPr>
            <w:t>理财产品的终止与清算</w:t>
          </w:r>
          <w:r>
            <w:tab/>
          </w:r>
          <w:r>
            <w:fldChar w:fldCharType="begin"/>
          </w:r>
          <w:r>
            <w:instrText xml:space="preserve"> PAGEREF _Toc116984893 \h </w:instrText>
          </w:r>
          <w:r>
            <w:fldChar w:fldCharType="separate"/>
          </w:r>
          <w:r>
            <w:t>35</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"_Toc116984894" </w:instrText>
          </w:r>
          <w:r>
            <w:fldChar w:fldCharType="separate"/>
          </w:r>
          <w:r>
            <w:rPr>
              <w:rStyle w:val="13"/>
              <w:rFonts w:hint="eastAsia" w:ascii="Times New Roman"/>
            </w:rPr>
            <w:t>第十一条</w:t>
          </w:r>
          <w:r>
            <w:rPr>
              <w:rStyle w:val="13"/>
              <w:rFonts w:ascii="Times New Roman"/>
            </w:rPr>
            <w:t xml:space="preserve">  </w:t>
          </w:r>
          <w:r>
            <w:rPr>
              <w:rStyle w:val="13"/>
              <w:rFonts w:hint="eastAsia" w:ascii="Times New Roman"/>
            </w:rPr>
            <w:t>理财产品的信息披露</w:t>
          </w:r>
          <w:r>
            <w:tab/>
          </w:r>
          <w:r>
            <w:fldChar w:fldCharType="begin"/>
          </w:r>
          <w:r>
            <w:instrText xml:space="preserve"> PAGEREF _Toc116984894 \h </w:instrText>
          </w:r>
          <w:r>
            <w:fldChar w:fldCharType="separate"/>
          </w:r>
          <w:r>
            <w:t>37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"_Toc116984895" </w:instrText>
          </w:r>
          <w:r>
            <w:fldChar w:fldCharType="separate"/>
          </w:r>
          <w:r>
            <w:rPr>
              <w:rStyle w:val="13"/>
              <w:rFonts w:hint="eastAsia" w:ascii="Times New Roman"/>
            </w:rPr>
            <w:t>第十二条</w:t>
          </w:r>
          <w:r>
            <w:rPr>
              <w:rStyle w:val="13"/>
              <w:rFonts w:ascii="Times New Roman"/>
            </w:rPr>
            <w:t xml:space="preserve">  </w:t>
          </w:r>
          <w:r>
            <w:rPr>
              <w:rStyle w:val="13"/>
              <w:rFonts w:hint="eastAsia" w:ascii="Times New Roman"/>
            </w:rPr>
            <w:t>理财产品的风险揭示</w:t>
          </w:r>
          <w:r>
            <w:tab/>
          </w:r>
          <w:r>
            <w:fldChar w:fldCharType="begin"/>
          </w:r>
          <w:r>
            <w:instrText xml:space="preserve"> PAGEREF _Toc116984895 \h </w:instrText>
          </w:r>
          <w:r>
            <w:fldChar w:fldCharType="separate"/>
          </w:r>
          <w:r>
            <w:t>40</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widowControl/>
        <w:spacing w:line="360" w:lineRule="auto"/>
        <w:jc w:val="left"/>
        <w:rPr>
          <w:rFonts w:ascii="Times New Roman"/>
          <w:sz w:val="30"/>
        </w:rPr>
      </w:pPr>
    </w:p>
    <w:p>
      <w:pPr>
        <w:pStyle w:val="2"/>
        <w:spacing w:before="0" w:after="0" w:line="360" w:lineRule="auto"/>
        <w:jc w:val="center"/>
        <w:rPr>
          <w:rFonts w:ascii="Times New Roman"/>
          <w:sz w:val="30"/>
        </w:rPr>
      </w:pPr>
      <w:bookmarkStart w:id="67" w:name="_Toc92377130"/>
      <w:bookmarkStart w:id="68" w:name="_Toc116984884"/>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bookmarkEnd w:id="68"/>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7"/>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7"/>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17"/>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7"/>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指投资者在一段特定期间内提交预约赎回申请，该预约赎回申请在销售文件约定的赎回申请日内自动转化为正式的赎回申请。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下同）之和达到赎回日上一日产品总份额的约定百分比，为巨额赎回。</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7"/>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7"/>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7"/>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）预约赎回申请日：指投资者在预约</w:t>
      </w:r>
      <w:r>
        <w:rPr>
          <w:rFonts w:asciiTheme="majorEastAsia" w:hAnsiTheme="majorEastAsia" w:eastAsiaTheme="majorEastAsia"/>
          <w:bCs/>
          <w:color w:val="auto"/>
          <w:sz w:val="18"/>
          <w:szCs w:val="18"/>
        </w:rPr>
        <w:t>赎回</w:t>
      </w:r>
      <w:r>
        <w:rPr>
          <w:rFonts w:hint="eastAsia" w:asciiTheme="majorEastAsia" w:hAnsiTheme="majorEastAsia" w:eastAsiaTheme="majorEastAsia"/>
          <w:bCs/>
          <w:color w:val="auto"/>
          <w:sz w:val="18"/>
          <w:szCs w:val="18"/>
        </w:rPr>
        <w:t>期内任意一日提出预约赎回申请的当日。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）申购申请日：指投资者做出申购申请的当日。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）赎回申请日：指投资者做出赎回申请的当日。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）申购日：指产品管理人接受投资者申购申请的当日。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20</w:t>
      </w:r>
      <w:r>
        <w:rPr>
          <w:rFonts w:hint="eastAsia" w:asciiTheme="majorEastAsia" w:hAnsiTheme="majorEastAsia" w:eastAsiaTheme="majorEastAsia"/>
          <w:bCs/>
          <w:color w:val="auto"/>
          <w:sz w:val="18"/>
          <w:szCs w:val="18"/>
        </w:rPr>
        <w:t>）赎回日：指产品管理人接受投资者赎回申请的当日。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23</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7"/>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17"/>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17"/>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7"/>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7"/>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7"/>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9" w:name="_Toc79154665"/>
      <w:bookmarkStart w:id="70" w:name="_Toc92377131"/>
      <w:bookmarkStart w:id="71" w:name="_Toc116984885"/>
      <w:r>
        <w:rPr>
          <w:rFonts w:hint="eastAsia" w:hAnsi="宋体"/>
          <w:sz w:val="28"/>
          <w:szCs w:val="28"/>
        </w:rPr>
        <w:t>第二条  理财产品基本情况</w:t>
      </w:r>
      <w:bookmarkEnd w:id="69"/>
      <w:bookmarkEnd w:id="70"/>
      <w:r>
        <w:rPr>
          <w:rFonts w:hint="eastAsia" w:hAnsi="宋体"/>
          <w:sz w:val="28"/>
          <w:szCs w:val="28"/>
        </w:rPr>
        <w:t xml:space="preserve"> </w:t>
      </w:r>
      <w:bookmarkEnd w:id="71"/>
    </w:p>
    <w:tbl>
      <w:tblPr>
        <w:tblStyle w:val="9"/>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【兴业银行天天万利宝稳利2号净值型理财产品A款】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【稳利恒盈A 6个月】</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Z7002020000018</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【9K218021】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9K218021</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sz w:val="18"/>
                <w:szCs w:val="18"/>
              </w:rPr>
              <w:t>特别提示：当销售机构销售产品风险评级为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规模为【30】亿元，最小成立规模为【/】亿元。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p>
          <w:p>
            <w:pPr>
              <w:spacing w:line="360" w:lineRule="auto"/>
              <w:rPr>
                <w:rFonts w:cs="仿宋_GB2312"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【2018</w:t>
            </w:r>
            <w:r>
              <w:rPr>
                <w:rFonts w:cs="Times New Roman" w:asciiTheme="minorEastAsia" w:hAnsiTheme="minorEastAsia"/>
                <w:sz w:val="18"/>
                <w:szCs w:val="18"/>
              </w:rPr>
              <w:t>】年【7</w:t>
            </w:r>
            <w:r>
              <w:rPr>
                <w:rFonts w:hint="eastAsia" w:cs="Times New Roman" w:asciiTheme="minorEastAsia" w:hAnsiTheme="minorEastAsia"/>
                <w:sz w:val="18"/>
                <w:szCs w:val="18"/>
              </w:rPr>
              <w:t>】月【</w:t>
            </w:r>
            <w:r>
              <w:rPr>
                <w:rFonts w:cs="Times New Roman" w:asciiTheme="minorEastAsia" w:hAnsiTheme="minorEastAsia"/>
                <w:sz w:val="18"/>
                <w:szCs w:val="18"/>
              </w:rPr>
              <w:t>24</w:t>
            </w:r>
            <w:r>
              <w:rPr>
                <w:rFonts w:hint="eastAsia" w:cs="Times New Roman" w:asciiTheme="minorEastAsia" w:hAnsiTheme="minorEastAsia"/>
                <w:sz w:val="18"/>
                <w:szCs w:val="18"/>
              </w:rPr>
              <w:t>】日【11：00】</w:t>
            </w:r>
            <w:r>
              <w:rPr>
                <w:rFonts w:hint="eastAsia" w:cs="仿宋_GB2312" w:asciiTheme="minorEastAsia" w:hAnsiTheme="minorEastAsia"/>
                <w:sz w:val="18"/>
                <w:szCs w:val="18"/>
              </w:rPr>
              <w:t>至</w:t>
            </w:r>
            <w:r>
              <w:rPr>
                <w:rFonts w:hint="eastAsia" w:cs="Times New Roman" w:asciiTheme="minorEastAsia" w:hAnsiTheme="minorEastAsia"/>
                <w:sz w:val="18"/>
                <w:szCs w:val="18"/>
              </w:rPr>
              <w:t>【2018</w:t>
            </w:r>
            <w:r>
              <w:rPr>
                <w:rFonts w:cs="Times New Roman" w:asciiTheme="minorEastAsia" w:hAnsiTheme="minorEastAsia"/>
                <w:sz w:val="18"/>
                <w:szCs w:val="18"/>
              </w:rPr>
              <w:t>】年【8</w:t>
            </w:r>
            <w:r>
              <w:rPr>
                <w:rFonts w:hint="eastAsia" w:cs="Times New Roman" w:asciiTheme="minorEastAsia" w:hAnsiTheme="minorEastAsia"/>
                <w:sz w:val="18"/>
                <w:szCs w:val="18"/>
              </w:rPr>
              <w:t>】月【6】日</w:t>
            </w:r>
            <w:r>
              <w:rPr>
                <w:rFonts w:hint="eastAsia" w:asciiTheme="majorEastAsia" w:hAnsiTheme="majorEastAsia" w:eastAsiaTheme="majorEastAsia"/>
                <w:sz w:val="18"/>
                <w:szCs w:val="18"/>
              </w:rPr>
              <w:t>【15：45】</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【2018</w:t>
            </w:r>
            <w:r>
              <w:rPr>
                <w:rFonts w:cs="Times New Roman" w:asciiTheme="minorEastAsia" w:hAnsiTheme="minorEastAsia"/>
                <w:sz w:val="18"/>
                <w:szCs w:val="18"/>
              </w:rPr>
              <w:t>】年【8</w:t>
            </w:r>
            <w:r>
              <w:rPr>
                <w:rFonts w:hint="eastAsia" w:cs="Times New Roman" w:asciiTheme="minorEastAsia" w:hAnsiTheme="minorEastAsia"/>
                <w:sz w:val="18"/>
                <w:szCs w:val="18"/>
              </w:rPr>
              <w:t>】月【</w:t>
            </w:r>
            <w:r>
              <w:rPr>
                <w:rFonts w:cs="Times New Roman" w:asciiTheme="minorEastAsia" w:hAnsiTheme="minorEastAsia"/>
                <w:sz w:val="18"/>
                <w:szCs w:val="18"/>
              </w:rPr>
              <w:t>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（2）每一个投资周期：包含投资者持有理财产品份额的认购确认日或申购确认日至该产品份额的最近一个赎回确认日或产品终止日的期间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正常情况下，本产品的一个投资周期为【6个月】</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投资周期存在长于或短于【6个月】的可能，投资者具体投资周期以本产品说明书“申购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/赎回安排</w:t>
            </w:r>
            <w:r>
              <w:rPr>
                <w:rFonts w:hint="eastAsia" w:asciiTheme="majorEastAsia" w:hAnsiTheme="majorEastAsia" w:eastAsiaTheme="majorEastAsia"/>
                <w:bCs/>
                <w:color w:val="000000" w:themeColor="text1"/>
                <w:sz w:val="18"/>
                <w:szCs w:val="18"/>
                <w14:textFill>
                  <w14:solidFill>
                    <w14:schemeClr w14:val="tx1"/>
                  </w14:solidFill>
                </w14:textFill>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在理财产品运作一个完整的投资周期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结束前后，</w:t>
            </w:r>
            <w:r>
              <w:rPr>
                <w:rFonts w:cs="仿宋_GB2312" w:asciiTheme="majorEastAsia" w:hAnsiTheme="majorEastAsia" w:eastAsiaTheme="majorEastAsia"/>
                <w:color w:val="000000" w:themeColor="text1"/>
                <w:kern w:val="0"/>
                <w:sz w:val="18"/>
                <w:szCs w:val="18"/>
                <w14:textFill>
                  <w14:solidFill>
                    <w14:schemeClr w14:val="tx1"/>
                  </w14:solidFill>
                </w14:textFill>
              </w:rPr>
              <w:t>管理人可设置预约申购期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3.投资周期的退出</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（1）本产品成立后，投资者可通过预约赎回方式退出本产品的投资周期。在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在运作一个完整的投资周期结束前，投资者可在预约赎回期内</w:t>
            </w:r>
            <w:r>
              <w:rPr>
                <w:rFonts w:asciiTheme="minorEastAsia" w:hAnsiTheme="minorEastAsia" w:eastAsiaTheme="minorEastAsia"/>
                <w:bCs/>
                <w:color w:val="000000" w:themeColor="text1"/>
                <w:sz w:val="18"/>
                <w:szCs w:val="18"/>
                <w14:textFill>
                  <w14:solidFill>
                    <w14:schemeClr w14:val="tx1"/>
                  </w14:solidFill>
                </w14:textFill>
              </w:rPr>
              <w:t>提出预约</w:t>
            </w:r>
            <w:r>
              <w:rPr>
                <w:rFonts w:hint="eastAsia" w:asciiTheme="minorEastAsia" w:hAnsiTheme="minorEastAsia" w:eastAsiaTheme="minorEastAsia"/>
                <w:bCs/>
                <w:color w:val="000000" w:themeColor="text1"/>
                <w:sz w:val="18"/>
                <w:szCs w:val="18"/>
                <w14:textFill>
                  <w14:solidFill>
                    <w14:schemeClr w14:val="tx1"/>
                  </w14:solidFill>
                </w14:textFill>
              </w:rPr>
              <w:t>赎回申请，如未赎回将进入下一个投资周期继续运作。</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（2）在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在运作一个完整的投资周期后，投资者</w:t>
            </w:r>
            <w:r>
              <w:rPr>
                <w:rFonts w:asciiTheme="minorEastAsia" w:hAnsiTheme="minorEastAsia" w:eastAsiaTheme="minorEastAsia"/>
                <w:bCs/>
                <w:color w:val="000000" w:themeColor="text1"/>
                <w:sz w:val="18"/>
                <w:szCs w:val="18"/>
                <w14:textFill>
                  <w14:solidFill>
                    <w14:schemeClr w14:val="tx1"/>
                  </w14:solidFill>
                </w14:textFill>
              </w:rPr>
              <w:t>也可以继续</w:t>
            </w:r>
            <w:r>
              <w:rPr>
                <w:rFonts w:hint="eastAsia" w:asciiTheme="minorEastAsia" w:hAnsiTheme="minorEastAsia" w:eastAsiaTheme="minorEastAsia"/>
                <w:bCs/>
                <w:color w:val="000000" w:themeColor="text1"/>
                <w:sz w:val="18"/>
                <w:szCs w:val="18"/>
                <w14:textFill>
                  <w14:solidFill>
                    <w14:schemeClr w14:val="tx1"/>
                  </w14:solidFill>
                </w14:textFill>
              </w:rPr>
              <w:t>持有理财产品份额进入</w:t>
            </w:r>
            <w:r>
              <w:rPr>
                <w:rFonts w:asciiTheme="minorEastAsia" w:hAnsiTheme="minorEastAsia" w:eastAsiaTheme="minorEastAsia"/>
                <w:bCs/>
                <w:color w:val="000000" w:themeColor="text1"/>
                <w:sz w:val="18"/>
                <w:szCs w:val="18"/>
                <w14:textFill>
                  <w14:solidFill>
                    <w14:schemeClr w14:val="tx1"/>
                  </w14:solidFill>
                </w14:textFill>
              </w:rPr>
              <w:t>下一个投资周期</w:t>
            </w:r>
            <w:r>
              <w:rPr>
                <w:rFonts w:hint="eastAsia" w:asciiTheme="minorEastAsia" w:hAnsiTheme="minorEastAsia" w:eastAsiaTheme="minorEastAsia"/>
                <w:bCs/>
                <w:color w:val="000000" w:themeColor="text1"/>
                <w:sz w:val="18"/>
                <w:szCs w:val="18"/>
                <w14:textFill>
                  <w14:solidFill>
                    <w14:schemeClr w14:val="tx1"/>
                  </w14:solidFill>
                </w14:textFill>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hint="eastAsia" w:asciiTheme="majorEastAsia" w:hAnsiTheme="majorEastAsia" w:eastAsiaTheme="majorEastAsia"/>
                <w:bCs/>
                <w:sz w:val="18"/>
                <w:szCs w:val="18"/>
              </w:rPr>
              <w:t>如果投资者在本产品提前终止时仍有未赎回的份额，则产品管理人将按照《产品说明书》“第十条 理财产品的终止与清算（二）理财产品的清算”条款处理。</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4</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□预约申购期：【2023】年【07】月【25】日11:00至【2023】年【07】月【31】日15: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；投资周期【182】天；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□预约申购期：【2023】年【08】月【01】日11:00至【2023】年【08】月【07】日15: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；投资周期【175】天；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10"/>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17"/>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603" w:type="dxa"/>
                </w:tcPr>
                <w:p>
                  <w:pPr>
                    <w:pStyle w:val="17"/>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17"/>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17"/>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申购日后【2】个工作日内。</w:t>
                  </w:r>
                </w:p>
              </w:tc>
              <w:tc>
                <w:tcPr>
                  <w:tcW w:w="1760"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本产品在一个完整投资周期结束前，设置一个预约申购期；在一个完整投资周期结束后，可以再设置多个预约申购期。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w:t>
            </w:r>
            <w:r>
              <w:rPr>
                <w:rFonts w:hint="eastAsia" w:asciiTheme="majorEastAsia" w:hAnsiTheme="majorEastAsia" w:eastAsiaTheme="majorEastAsia"/>
                <w:bCs/>
                <w:color w:val="000000" w:themeColor="text1"/>
                <w:sz w:val="18"/>
                <w:szCs w:val="18"/>
                <w14:textFill>
                  <w14:solidFill>
                    <w14:schemeClr w14:val="tx1"/>
                  </w14:solidFill>
                </w14:textFill>
              </w:rPr>
              <w:t>赎回安排</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（1）赎回的时间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预约赎回期：【2024】年【01】月【16】日00:00至【2024】年【01】月【29】日15: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（2）赎回的确认</w:t>
            </w:r>
          </w:p>
          <w:tbl>
            <w:tblPr>
              <w:tblStyle w:val="10"/>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45"/>
              <w:gridCol w:w="2409"/>
              <w:gridCol w:w="1418"/>
              <w:gridCol w:w="16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745"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2409" w:type="dxa"/>
                  <w:vAlign w:val="center"/>
                </w:tcPr>
                <w:p>
                  <w:pPr>
                    <w:pStyle w:val="17"/>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赎回申请日和赎回日</w:t>
                  </w:r>
                </w:p>
              </w:tc>
              <w:tc>
                <w:tcPr>
                  <w:tcW w:w="1418"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1618"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745" w:type="dxa"/>
                </w:tcPr>
                <w:p>
                  <w:pPr>
                    <w:pStyle w:val="17"/>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2409" w:type="dxa"/>
                </w:tcPr>
                <w:p>
                  <w:pPr>
                    <w:pStyle w:val="17"/>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赎回申请日：预约赎回期内最后一个工作日为赎回申请日</w:t>
                  </w:r>
                  <w:r>
                    <w:rPr>
                      <w:rFonts w:hint="eastAsia" w:ascii="黑体" w:hAnsi="黑体" w:eastAsia="黑体" w:cs="Times New Roman"/>
                      <w:color w:val="auto"/>
                      <w:sz w:val="18"/>
                      <w:szCs w:val="18"/>
                    </w:rPr>
                    <w:t>（注：在赎回申请日，投资者的预约赎回申请自动转化为赎回申请）</w:t>
                  </w:r>
                  <w:r>
                    <w:rPr>
                      <w:rFonts w:hint="eastAsia" w:cs="Times New Roman" w:asciiTheme="minorEastAsia" w:hAnsiTheme="minorEastAsia" w:eastAsiaTheme="minorEastAsia"/>
                      <w:color w:val="auto"/>
                      <w:sz w:val="18"/>
                      <w:szCs w:val="18"/>
                    </w:rPr>
                    <w:t>。</w:t>
                  </w:r>
                </w:p>
                <w:p>
                  <w:pPr>
                    <w:pStyle w:val="17"/>
                    <w:spacing w:line="360" w:lineRule="auto"/>
                    <w:jc w:val="both"/>
                    <w:rPr>
                      <w:rFonts w:cs="Times New Roman" w:asciiTheme="minorEastAsia" w:hAnsiTheme="minorEastAsia" w:eastAsiaTheme="minorEastAsia"/>
                      <w:color w:val="auto"/>
                      <w:sz w:val="18"/>
                      <w:szCs w:val="18"/>
                    </w:rPr>
                  </w:pPr>
                  <w:r>
                    <w:rPr>
                      <w:rFonts w:cs="Times New Roman" w:asciiTheme="minorEastAsia" w:hAnsiTheme="minorEastAsia" w:eastAsiaTheme="minorEastAsia"/>
                      <w:color w:val="auto"/>
                      <w:sz w:val="18"/>
                      <w:szCs w:val="18"/>
                    </w:rPr>
                    <w:t>赎回日</w:t>
                  </w:r>
                  <w:r>
                    <w:rPr>
                      <w:rFonts w:hint="eastAsia" w:cs="Times New Roman" w:asciiTheme="minorEastAsia" w:hAnsiTheme="minorEastAsia" w:eastAsiaTheme="minorEastAsia"/>
                      <w:color w:val="auto"/>
                      <w:sz w:val="18"/>
                      <w:szCs w:val="18"/>
                    </w:rPr>
                    <w:t>：与赎回申请日为同一日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赎回申请视为在赎回申请日的交易时间内做出，故赎回申请日即为赎回日）。</w:t>
                  </w:r>
                </w:p>
              </w:tc>
              <w:tc>
                <w:tcPr>
                  <w:tcW w:w="1418"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赎回日后【2】个工作日内。</w:t>
                  </w:r>
                </w:p>
              </w:tc>
              <w:tc>
                <w:tcPr>
                  <w:tcW w:w="1618"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color w:val="000000" w:themeColor="text1"/>
                <w:sz w:val="18"/>
                <w:szCs w:val="18"/>
                <w14:textFill>
                  <w14:solidFill>
                    <w14:schemeClr w14:val="tx1"/>
                  </w14:solidFill>
                </w14:textFill>
              </w:rPr>
              <w:t>款项于</w:t>
            </w:r>
            <w:r>
              <w:rPr>
                <w:rFonts w:hint="eastAsia" w:ascii="黑体" w:hAnsi="黑体" w:eastAsia="黑体" w:cs="黑体"/>
                <w:kern w:val="0"/>
                <w:sz w:val="18"/>
                <w:szCs w:val="18"/>
              </w:rPr>
              <w:t>赎回</w:t>
            </w:r>
            <w:r>
              <w:rPr>
                <w:rFonts w:hint="eastAsia" w:ascii="黑体" w:hAnsi="黑体" w:eastAsia="黑体" w:cs="黑体"/>
                <w:kern w:val="0"/>
                <w:sz w:val="18"/>
              </w:rPr>
              <w:t>日后【5】个工作日</w:t>
            </w:r>
            <w:r>
              <w:rPr>
                <w:rFonts w:hint="eastAsia" w:ascii="黑体" w:hAnsi="黑体" w:eastAsia="黑体" w:cs="黑体"/>
                <w:kern w:val="0"/>
                <w:sz w:val="18"/>
                <w:szCs w:val="18"/>
              </w:rPr>
              <w:t>内支付给</w:t>
            </w:r>
            <w:r>
              <w:rPr>
                <w:rFonts w:hint="eastAsia" w:ascii="黑体" w:hAnsi="黑体" w:eastAsia="黑体" w:cs="黑体"/>
                <w:kern w:val="0"/>
                <w:sz w:val="18"/>
              </w:rPr>
              <w:t>投资者</w:t>
            </w:r>
            <w:r>
              <w:rPr>
                <w:rFonts w:hint="eastAsia" w:ascii="黑体" w:hAnsi="黑体" w:eastAsia="黑体" w:cs="黑体"/>
                <w:kern w:val="0"/>
                <w:sz w:val="18"/>
                <w:szCs w:val="18"/>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4.预约申购期/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cs="Times New Roman" w:asciiTheme="minorEastAsia" w:hAnsiTheme="minorEastAsia"/>
                <w:sz w:val="18"/>
                <w:szCs w:val="18"/>
              </w:rPr>
              <w:t>本产品在一个完整投资周期结束前，产品</w:t>
            </w:r>
            <w:r>
              <w:rPr>
                <w:rFonts w:cs="Times New Roman" w:asciiTheme="minorEastAsia" w:hAnsiTheme="minorEastAsia"/>
                <w:sz w:val="18"/>
                <w:szCs w:val="18"/>
              </w:rPr>
              <w:t>管理人可以</w:t>
            </w:r>
            <w:r>
              <w:rPr>
                <w:rFonts w:hint="eastAsia" w:cs="Times New Roman" w:asciiTheme="minorEastAsia" w:hAnsiTheme="minorEastAsia"/>
                <w:sz w:val="18"/>
                <w:szCs w:val="18"/>
              </w:rPr>
              <w:t>更新产品说明书，约定后续投资周期对应的</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ajorEastAsia" w:hAnsiTheme="majorEastAsia" w:eastAsiaTheme="majorEastAsia"/>
                <w:bCs/>
                <w:sz w:val="18"/>
                <w:szCs w:val="18"/>
              </w:rPr>
              <w:t>1.00</w:t>
            </w:r>
            <w:r>
              <w:rPr>
                <w:rFonts w:hint="eastAsia" w:asciiTheme="majorEastAsia" w:hAnsiTheme="majorEastAsia" w:eastAsiaTheme="majorEastAsia"/>
                <w:bCs/>
                <w:sz w:val="18"/>
                <w:szCs w:val="18"/>
              </w:rPr>
              <w:t>】元；超出起点金额的部分以【0.01】元的整数倍递增。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17"/>
              <w:spacing w:line="360" w:lineRule="auto"/>
              <w:rPr>
                <w:rFonts w:asciiTheme="minorEastAsia" w:hAnsiTheme="minorEastAsia" w:eastAsiaTheme="minorEastAsia"/>
                <w:color w:val="auto"/>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17"/>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17"/>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17"/>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17"/>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17"/>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17"/>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hint="eastAsia" w:ascii="宋体" w:hAnsi="宋体"/>
                <w:b/>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w:t>
            </w:r>
            <w:r>
              <w:rPr>
                <w:rFonts w:hint="eastAsia" w:asciiTheme="majorEastAsia" w:hAnsiTheme="majorEastAsia" w:eastAsiaTheme="majorEastAsia"/>
                <w:bCs/>
                <w:sz w:val="18"/>
                <w:szCs w:val="18"/>
              </w:rPr>
              <w:t>以一年期定期存款利率为无风险利率，基于当前对未来市场的判断，根据拟投资债权类资产的信用利差、久期敞口以及流动性溢价，预判组合的波动幅度，设定业绩基准</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asciiTheme="majorEastAsia" w:hAnsiTheme="majorEastAsia" w:eastAsiaTheme="majorEastAsia"/>
                <w:bCs/>
                <w:sz w:val="18"/>
                <w:szCs w:val="18"/>
              </w:rPr>
            </w:pPr>
            <w:r>
              <w:rPr>
                <w:rFonts w:asciiTheme="majorEastAsia" w:hAnsiTheme="majorEastAsia"/>
                <w:sz w:val="18"/>
              </w:rPr>
              <w:t>A</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2.50-3.50%】</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w:t>
            </w:r>
            <w:r>
              <w:rPr>
                <w:rFonts w:hint="eastAsia"/>
                <w:sz w:val="18"/>
                <w:szCs w:val="18"/>
              </w:rPr>
              <w:t>★</w:t>
            </w:r>
            <w:r>
              <w:rPr>
                <w:rFonts w:hint="eastAsia" w:asciiTheme="majorEastAsia" w:hAnsiTheme="majorEastAsia" w:eastAsiaTheme="majorEastAsia"/>
                <w:b/>
                <w:bCs/>
                <w:sz w:val="18"/>
                <w:szCs w:val="18"/>
              </w:rPr>
              <w:t>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ascii="宋体"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r>
              <w:rPr>
                <w:rFonts w:hint="eastAsia" w:ascii="宋体" w:hAnsi="宋体"/>
                <w:bCs/>
                <w:sz w:val="18"/>
                <w:szCs w:val="18"/>
              </w:rPr>
              <w:t>业绩比较基准中枢</w:t>
            </w:r>
            <w:r>
              <w:rPr>
                <w:rFonts w:hint="eastAsia" w:ascii="宋体" w:hAnsi="宋体"/>
                <w:sz w:val="18"/>
              </w:rPr>
              <w:t>】。</w:t>
            </w:r>
          </w:p>
          <w:p>
            <w:pPr>
              <w:spacing w:line="360" w:lineRule="auto"/>
              <w:jc w:val="left"/>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jc w:val="left"/>
              <w:rPr>
                <w:rFonts w:ascii="宋体" w:hAnsi="宋体"/>
                <w:b/>
                <w:bCs/>
                <w:sz w:val="18"/>
                <w:szCs w:val="18"/>
              </w:rPr>
            </w:pPr>
            <w:r>
              <w:rPr>
                <w:rFonts w:hint="eastAsia" w:ascii="宋体" w:hAnsi="宋体"/>
                <w:b/>
                <w:bCs/>
                <w:sz w:val="18"/>
                <w:szCs w:val="18"/>
              </w:rPr>
              <w:t>（1）</w:t>
            </w:r>
            <w:r>
              <w:rPr>
                <w:rFonts w:hint="eastAsia"/>
                <w:sz w:val="18"/>
                <w:szCs w:val="18"/>
              </w:rPr>
              <w:t>★</w:t>
            </w:r>
            <w:r>
              <w:rPr>
                <w:rFonts w:hint="eastAsia" w:ascii="宋体" w:hAnsi="宋体"/>
                <w:b/>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（2）</w:t>
            </w:r>
            <w:r>
              <w:rPr>
                <w:rFonts w:ascii="宋体" w:hAnsi="宋体"/>
                <w:b/>
                <w:bCs/>
                <w:color w:val="000000" w:themeColor="text1"/>
                <w:sz w:val="18"/>
                <w:szCs w:val="18"/>
                <w14:textFill>
                  <w14:solidFill>
                    <w14:schemeClr w14:val="tx1"/>
                  </w14:solidFill>
                </w14:textFill>
              </w:rPr>
              <w:t>申购费：</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（3）赎回费：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（4）</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20%】</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（6）产品托管费：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（7）超额业绩报酬：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30%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7"/>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2" w:name="_Toc92377132"/>
      <w:bookmarkStart w:id="73" w:name="_Toc116984886"/>
      <w:bookmarkStart w:id="74" w:name="_Toc79154666"/>
      <w:r>
        <w:rPr>
          <w:rFonts w:ascii="Times New Roman"/>
          <w:sz w:val="30"/>
        </w:rPr>
        <w:t>第</w:t>
      </w:r>
      <w:r>
        <w:rPr>
          <w:rFonts w:hint="eastAsia" w:ascii="Times New Roman"/>
          <w:sz w:val="30"/>
        </w:rPr>
        <w:t>三条</w:t>
      </w:r>
      <w:r>
        <w:rPr>
          <w:rFonts w:ascii="Times New Roman"/>
          <w:sz w:val="30"/>
        </w:rPr>
        <w:t xml:space="preserve">  </w:t>
      </w:r>
      <w:bookmarkStart w:id="75" w:name="_Toc79392573"/>
      <w:r>
        <w:rPr>
          <w:rFonts w:hint="eastAsia" w:ascii="Times New Roman"/>
          <w:sz w:val="30"/>
        </w:rPr>
        <w:t>理财产品的认购</w:t>
      </w:r>
      <w:bookmarkEnd w:id="72"/>
      <w:bookmarkEnd w:id="73"/>
      <w:bookmarkEnd w:id="74"/>
    </w:p>
    <w:p>
      <w:pPr>
        <w:spacing w:line="360" w:lineRule="auto"/>
        <w:ind w:firstLine="361" w:firstLineChars="200"/>
        <w:rPr>
          <w:rFonts w:asciiTheme="minorEastAsia" w:hAnsiTheme="minorEastAsia"/>
          <w:b/>
          <w:bCs/>
          <w:sz w:val="18"/>
          <w:szCs w:val="18"/>
        </w:rPr>
      </w:pPr>
      <w:bookmarkStart w:id="76" w:name="_Hlt88031774"/>
      <w:bookmarkEnd w:id="76"/>
      <w:bookmarkStart w:id="77"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10"/>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7"/>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7"/>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78" w:name="_Toc92377133"/>
      <w:bookmarkStart w:id="79" w:name="_Toc79154667"/>
      <w:bookmarkStart w:id="80" w:name="_Toc11698488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78"/>
      <w:bookmarkEnd w:id="79"/>
      <w:bookmarkEnd w:id="80"/>
    </w:p>
    <w:bookmarkEnd w:id="77"/>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17"/>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预约申购期内投资者可提交预约申购申请</w:t>
      </w:r>
      <w:r>
        <w:rPr>
          <w:rFonts w:hint="eastAsia" w:cs="Times New Roman" w:asciiTheme="minorEastAsia" w:hAnsiTheme="minorEastAsia" w:eastAsiaTheme="minorEastAsia"/>
          <w:color w:val="auto"/>
          <w:sz w:val="18"/>
          <w:szCs w:val="18"/>
        </w:rPr>
        <w:t>。</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7"/>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17"/>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17"/>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bCs/>
          <w:sz w:val="18"/>
          <w:szCs w:val="18"/>
        </w:rPr>
        <w:t>预约赎回期内投资者可提交预约赎回申请</w:t>
      </w:r>
      <w:r>
        <w:rPr>
          <w:rFonts w:hint="eastAsia" w:cs="Times New Roman" w:asciiTheme="minorEastAsia" w:hAnsiTheme="minorEastAsia" w:eastAsiaTheme="minorEastAsia"/>
          <w:sz w:val="18"/>
          <w:szCs w:val="18"/>
        </w:rPr>
        <w:t>。</w:t>
      </w:r>
      <w:r>
        <w:rPr>
          <w:rFonts w:hint="eastAsia" w:asciiTheme="majorEastAsia" w:hAnsiTheme="majorEastAsia" w:eastAsiaTheme="majorEastAsia"/>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7"/>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17"/>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75"/>
    <w:p>
      <w:pPr>
        <w:pStyle w:val="2"/>
        <w:spacing w:before="0" w:after="0" w:line="360" w:lineRule="auto"/>
        <w:jc w:val="center"/>
        <w:rPr>
          <w:rFonts w:ascii="Times New Roman"/>
          <w:sz w:val="30"/>
        </w:rPr>
      </w:pPr>
      <w:bookmarkStart w:id="81" w:name="_Toc7151"/>
      <w:bookmarkStart w:id="82" w:name="_Toc15203"/>
      <w:bookmarkStart w:id="83" w:name="_Toc16265"/>
      <w:bookmarkStart w:id="84" w:name="_Toc74065741"/>
      <w:bookmarkStart w:id="85" w:name="_Toc6714"/>
      <w:bookmarkStart w:id="86" w:name="_Toc29784"/>
      <w:bookmarkStart w:id="87" w:name="_Toc116984888"/>
      <w:bookmarkStart w:id="88" w:name="_Toc27226"/>
      <w:bookmarkStart w:id="89" w:name="_Toc27189"/>
      <w:bookmarkStart w:id="90" w:name="_Toc90742321"/>
      <w:bookmarkStart w:id="91" w:name="_Toc29948"/>
      <w:bookmarkStart w:id="92" w:name="_Toc90742390"/>
      <w:bookmarkStart w:id="93" w:name="_Toc22074"/>
      <w:bookmarkStart w:id="94" w:name="_Toc3266"/>
      <w:bookmarkStart w:id="95" w:name="_Toc92377134"/>
      <w:bookmarkStart w:id="96" w:name="_Toc79154668"/>
      <w:bookmarkStart w:id="97" w:name="_Toc9074268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7"/>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（1）银行存款、债券逆回购、货币基金等货币市场工具及其它银行间和交易所资金融通工具；</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（3）符合监管要求的债权类资产。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（4）以套期保值为目的的国债期货、利率互换、信用风险缓释工具、债券借贷。</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（6）其他风险不高于前述资产的资产。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（3）国债期货、利率互换、信用风险缓释工具等衍生品占产品总资产比例低于20%。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17"/>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7"/>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通过对经济基本面、企业盈利、无风险利率水平、资金面等因素进行定性和定量分析，根据产品的业绩目标和回撤目标制定各个阶段产品资产投资比例。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pPr>
        <w:pStyle w:val="7"/>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8" w:name="_Toc18329"/>
      <w:bookmarkStart w:id="99" w:name="_Toc116984889"/>
      <w:bookmarkStart w:id="100" w:name="_Toc79154669"/>
      <w:bookmarkStart w:id="101" w:name="_Toc18797"/>
      <w:bookmarkStart w:id="102" w:name="_Toc26986"/>
      <w:bookmarkStart w:id="103" w:name="_Toc17912"/>
      <w:bookmarkStart w:id="104" w:name="_Toc4741"/>
      <w:bookmarkStart w:id="105" w:name="_Toc74065742"/>
      <w:bookmarkStart w:id="106" w:name="_Toc1823"/>
      <w:bookmarkStart w:id="107" w:name="_Toc141703885"/>
      <w:bookmarkStart w:id="108" w:name="_Toc14893"/>
      <w:bookmarkStart w:id="109" w:name="_Toc21988"/>
      <w:bookmarkStart w:id="110" w:name="_Toc139991735"/>
      <w:bookmarkStart w:id="111" w:name="_Toc7848"/>
      <w:bookmarkStart w:id="112" w:name="_Toc18526"/>
      <w:bookmarkStart w:id="113" w:name="_Toc92377135"/>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spacing w:line="360" w:lineRule="auto"/>
        <w:ind w:firstLine="361" w:firstLineChars="200"/>
        <w:rPr>
          <w:rFonts w:asciiTheme="majorEastAsia" w:hAnsiTheme="majorEastAsia" w:eastAsiaTheme="majorEastAsia"/>
          <w:b/>
          <w:color w:val="auto"/>
          <w:sz w:val="18"/>
          <w:szCs w:val="18"/>
        </w:rPr>
      </w:pPr>
      <w:bookmarkStart w:id="114" w:name="_Hlk490214295"/>
      <w:r>
        <w:rPr>
          <w:rFonts w:hint="eastAsia" w:asciiTheme="majorEastAsia" w:hAnsiTheme="majorEastAsia" w:eastAsiaTheme="majorEastAsia"/>
          <w:b/>
          <w:color w:val="auto"/>
          <w:sz w:val="18"/>
          <w:szCs w:val="18"/>
        </w:rPr>
        <w:t>（一）理财产品的资产的保管和处分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14"/>
    <w:p>
      <w:pPr>
        <w:pStyle w:val="2"/>
        <w:spacing w:before="0" w:after="0" w:line="360" w:lineRule="auto"/>
        <w:jc w:val="center"/>
        <w:rPr>
          <w:rFonts w:ascii="Times New Roman"/>
          <w:sz w:val="28"/>
          <w:szCs w:val="28"/>
        </w:rPr>
      </w:pPr>
      <w:bookmarkStart w:id="115" w:name="_Toc83391971"/>
      <w:bookmarkStart w:id="116" w:name="_Toc116984890"/>
      <w:bookmarkStart w:id="117" w:name="_Toc92377136"/>
      <w:bookmarkStart w:id="118" w:name="_Toc79154670"/>
      <w:bookmarkStart w:id="119" w:name="_Toc23261"/>
      <w:bookmarkStart w:id="120" w:name="_Toc123051452"/>
      <w:bookmarkStart w:id="121" w:name="_Toc23822"/>
      <w:bookmarkStart w:id="122" w:name="_Toc79392606"/>
      <w:bookmarkStart w:id="123" w:name="_Toc17244"/>
      <w:bookmarkStart w:id="124" w:name="_Toc1427"/>
      <w:bookmarkStart w:id="125" w:name="_Toc98560352"/>
      <w:bookmarkStart w:id="126" w:name="_Toc123112234"/>
      <w:bookmarkStart w:id="127" w:name="_Toc610"/>
      <w:bookmarkStart w:id="128" w:name="_Toc20733"/>
      <w:bookmarkStart w:id="129" w:name="_Toc74065743"/>
      <w:bookmarkStart w:id="130" w:name="_Toc4003"/>
      <w:bookmarkStart w:id="131" w:name="_Toc7920"/>
      <w:bookmarkStart w:id="132" w:name="_Toc123102453"/>
      <w:bookmarkStart w:id="133" w:name="_Toc139991736"/>
      <w:bookmarkStart w:id="134" w:name="_Toc10463"/>
      <w:bookmarkStart w:id="135" w:name="_Toc1270"/>
      <w:bookmarkStart w:id="136" w:name="_Toc48649707"/>
      <w:bookmarkStart w:id="137" w:name="_Toc141703886"/>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15"/>
      <w:bookmarkEnd w:id="116"/>
      <w:bookmarkEnd w:id="117"/>
    </w:p>
    <w:p>
      <w:pPr>
        <w:pStyle w:val="17"/>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7"/>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17"/>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若无法获取净值，产品管理人可与托管人商定后，采用在当前情况下适用的估值技术确定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17"/>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17"/>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17"/>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17"/>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17"/>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pStyle w:val="2"/>
        <w:spacing w:before="0" w:after="0" w:line="360" w:lineRule="auto"/>
        <w:ind w:left="60" w:firstLine="10"/>
        <w:jc w:val="center"/>
        <w:rPr>
          <w:rFonts w:ascii="Times New Roman"/>
          <w:sz w:val="30"/>
        </w:rPr>
      </w:pPr>
      <w:bookmarkStart w:id="138" w:name="_Hlt70481650"/>
      <w:bookmarkEnd w:id="138"/>
      <w:bookmarkStart w:id="139" w:name="_Toc139991737"/>
      <w:bookmarkStart w:id="140" w:name="_Toc79154671"/>
      <w:bookmarkStart w:id="141" w:name="_Toc26207"/>
      <w:bookmarkStart w:id="142" w:name="_Toc123102454"/>
      <w:bookmarkStart w:id="143" w:name="_Toc3601"/>
      <w:bookmarkStart w:id="144" w:name="_Toc92377137"/>
      <w:bookmarkStart w:id="145" w:name="_Toc15143"/>
      <w:bookmarkStart w:id="146" w:name="_Toc123051453"/>
      <w:bookmarkStart w:id="147" w:name="_Toc98560353"/>
      <w:bookmarkStart w:id="148" w:name="_Toc116984891"/>
      <w:bookmarkStart w:id="149" w:name="_Toc31644"/>
      <w:bookmarkStart w:id="150" w:name="_Toc123112235"/>
      <w:bookmarkStart w:id="151" w:name="_Toc141703887"/>
      <w:bookmarkStart w:id="152" w:name="_Toc31653"/>
      <w:bookmarkStart w:id="153" w:name="_Toc74065744"/>
      <w:bookmarkStart w:id="154" w:name="_Toc29251"/>
      <w:bookmarkStart w:id="155" w:name="_Toc14835"/>
      <w:bookmarkStart w:id="156" w:name="_Toc31235"/>
      <w:bookmarkStart w:id="157" w:name="_Toc12245"/>
      <w:bookmarkStart w:id="158" w:name="_Toc6405"/>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_Hlt55355235"/>
      <w:bookmarkEnd w:id="159"/>
      <w:bookmarkStart w:id="160" w:name="_Toc15118234"/>
      <w:bookmarkStart w:id="161" w:name="_Toc57530239"/>
      <w:bookmarkStart w:id="162" w:name="_Toc79392580"/>
      <w:bookmarkStart w:id="163" w:name="_Toc523711668"/>
    </w:p>
    <w:p>
      <w:pPr>
        <w:pStyle w:val="17"/>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7"/>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7"/>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7"/>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7"/>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7"/>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7"/>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7"/>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7"/>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7"/>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7"/>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7"/>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7"/>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7"/>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7"/>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7"/>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7"/>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60"/>
    <w:bookmarkEnd w:id="161"/>
    <w:bookmarkEnd w:id="162"/>
    <w:bookmarkEnd w:id="163"/>
    <w:p>
      <w:pPr>
        <w:pStyle w:val="2"/>
        <w:spacing w:before="0" w:after="0" w:line="360" w:lineRule="auto"/>
        <w:jc w:val="center"/>
        <w:rPr>
          <w:rFonts w:ascii="Times New Roman"/>
          <w:sz w:val="30"/>
        </w:rPr>
      </w:pPr>
      <w:bookmarkStart w:id="164" w:name="_Hlt88897298"/>
      <w:bookmarkEnd w:id="164"/>
      <w:bookmarkStart w:id="165" w:name="_Hlt88825574"/>
      <w:bookmarkEnd w:id="165"/>
      <w:bookmarkStart w:id="166" w:name="_Toc139991738"/>
      <w:bookmarkStart w:id="167" w:name="_Toc4559"/>
      <w:bookmarkStart w:id="168" w:name="_Toc98560354"/>
      <w:bookmarkStart w:id="169" w:name="_Toc123102455"/>
      <w:bookmarkStart w:id="170" w:name="_Toc7058"/>
      <w:bookmarkStart w:id="171" w:name="_Toc9706"/>
      <w:bookmarkStart w:id="172" w:name="_Toc92377138"/>
      <w:bookmarkStart w:id="173" w:name="_Toc3321"/>
      <w:bookmarkStart w:id="174" w:name="_Toc79392583"/>
      <w:bookmarkStart w:id="175" w:name="_Toc18567"/>
      <w:bookmarkStart w:id="176" w:name="_Toc74065745"/>
      <w:bookmarkStart w:id="177" w:name="_Toc123051454"/>
      <w:bookmarkStart w:id="178" w:name="_Toc25783"/>
      <w:bookmarkStart w:id="179" w:name="_Toc10650"/>
      <w:bookmarkStart w:id="180" w:name="_Toc3771"/>
      <w:bookmarkStart w:id="181" w:name="_Toc141703888"/>
      <w:bookmarkStart w:id="182" w:name="_Toc116984892"/>
      <w:bookmarkStart w:id="183" w:name="_Toc79154672"/>
      <w:bookmarkStart w:id="184" w:name="_Toc6447"/>
      <w:bookmarkStart w:id="185" w:name="_Toc11030"/>
      <w:bookmarkStart w:id="186" w:name="_Toc123112236"/>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14"/>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7"/>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业绩报酬计提基准的设置、超额业绩报酬的具体比例数值以《产品说明书》“第二条 理财产品基本情况”为准。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③在每个投资周期赎回日提取超额业绩报酬的，超额业绩报酬从理财资金中扣除；在产品终止日提取超额业绩报酬的，超额业绩报酬从清算资金中扣除。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每份产品份额超额业绩报酬每日计提，每个投资周期赎回日或产品终止日结算。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产品管理人对每份产品份额当前年化收益率（R）超过当前业绩报酬计提基准的部分，按比例（N）以及该份产品份额当前投资周期天数（D）提取超额业绩报酬，计算方法如下：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当R＞当前业绩报酬计提基准，超额业绩报酬=投资者持有的产品份额数量×产品成立日或当前投资周期产品份额申购日的产品份额净值×（R-当前业绩报酬计提基准）×N×D/365。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7"/>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7"/>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17"/>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87" w:name="_Toc3963"/>
      <w:bookmarkStart w:id="188" w:name="_Toc1745"/>
      <w:r>
        <w:br w:type="page"/>
      </w:r>
      <w:bookmarkStart w:id="189" w:name="_Toc123051455"/>
      <w:bookmarkStart w:id="190" w:name="_Toc98560355"/>
      <w:bookmarkStart w:id="191" w:name="_Toc3080"/>
      <w:bookmarkStart w:id="192" w:name="_Toc21735"/>
      <w:bookmarkStart w:id="193" w:name="_Toc18206"/>
      <w:bookmarkStart w:id="194" w:name="_Toc139991739"/>
      <w:bookmarkStart w:id="195" w:name="_Toc123112237"/>
      <w:bookmarkStart w:id="196" w:name="_Toc725"/>
      <w:bookmarkStart w:id="197" w:name="_Toc74065746"/>
      <w:bookmarkStart w:id="198" w:name="_Toc123102456"/>
      <w:bookmarkStart w:id="199" w:name="_Toc79154673"/>
      <w:bookmarkStart w:id="200" w:name="_Toc141703889"/>
      <w:bookmarkStart w:id="201" w:name="_Toc3572"/>
      <w:bookmarkStart w:id="202" w:name="_Toc116984893"/>
      <w:bookmarkStart w:id="203" w:name="_Toc16164"/>
      <w:bookmarkStart w:id="204" w:name="_Toc31821"/>
      <w:bookmarkStart w:id="205" w:name="_Toc92377139"/>
      <w:bookmarkStart w:id="206" w:name="_Toc10398"/>
      <w:r>
        <w:rPr>
          <w:rFonts w:hint="eastAsia"/>
          <w:sz w:val="30"/>
        </w:rPr>
        <w:t>第十条</w:t>
      </w:r>
      <w:r>
        <w:rPr>
          <w:sz w:val="30"/>
        </w:rPr>
        <w:t xml:space="preserve">  </w:t>
      </w:r>
      <w:r>
        <w:rPr>
          <w:rFonts w:hint="eastAsia"/>
          <w:sz w:val="30"/>
        </w:rPr>
        <w:t>理财产品的终止与清算</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361" w:firstLineChars="200"/>
        <w:rPr>
          <w:rFonts w:asciiTheme="majorEastAsia" w:hAnsiTheme="majorEastAsia" w:eastAsiaTheme="majorEastAsia"/>
          <w:b/>
          <w:bCs/>
          <w:sz w:val="18"/>
          <w:szCs w:val="18"/>
        </w:rPr>
      </w:pPr>
      <w:bookmarkStart w:id="207" w:name="_Toc15118245"/>
      <w:bookmarkStart w:id="208" w:name="_Toc57530252"/>
      <w:bookmarkStart w:id="209"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207"/>
    <w:bookmarkEnd w:id="208"/>
    <w:bookmarkEnd w:id="209"/>
    <w:p>
      <w:pPr>
        <w:pStyle w:val="2"/>
        <w:spacing w:before="0" w:after="0" w:line="360" w:lineRule="auto"/>
        <w:jc w:val="center"/>
        <w:rPr>
          <w:rFonts w:ascii="Times New Roman"/>
          <w:sz w:val="18"/>
          <w:szCs w:val="18"/>
        </w:rPr>
      </w:pPr>
      <w:r>
        <w:rPr>
          <w:rFonts w:ascii="Times New Roman"/>
          <w:b w:val="0"/>
          <w:bCs w:val="0"/>
          <w:kern w:val="2"/>
        </w:rPr>
        <w:br w:type="page"/>
      </w:r>
      <w:bookmarkStart w:id="210" w:name="_Toc92377140"/>
      <w:bookmarkStart w:id="211" w:name="_Toc116984894"/>
      <w:bookmarkStart w:id="212" w:name="_Toc123102457"/>
      <w:bookmarkStart w:id="213" w:name="_Toc3329"/>
      <w:bookmarkStart w:id="214" w:name="_Toc83391975"/>
      <w:bookmarkStart w:id="215" w:name="_Toc17198"/>
      <w:bookmarkStart w:id="216" w:name="_Toc123051456"/>
      <w:bookmarkStart w:id="217" w:name="_Toc98560356"/>
      <w:bookmarkStart w:id="218" w:name="_Toc29408"/>
      <w:bookmarkStart w:id="219" w:name="_Toc48649708"/>
      <w:bookmarkStart w:id="220" w:name="_Toc5170"/>
      <w:bookmarkStart w:id="221" w:name="_Toc32092"/>
      <w:bookmarkStart w:id="222" w:name="_Toc123112238"/>
      <w:bookmarkStart w:id="223" w:name="_Toc79154674"/>
      <w:bookmarkStart w:id="224" w:name="_Toc79392622"/>
      <w:bookmarkStart w:id="225" w:name="_Toc17920"/>
      <w:bookmarkStart w:id="226" w:name="_Toc74065747"/>
      <w:bookmarkStart w:id="227" w:name="_Toc141703890"/>
      <w:bookmarkStart w:id="228" w:name="_Toc32584"/>
      <w:bookmarkStart w:id="229" w:name="_Toc139991740"/>
      <w:bookmarkStart w:id="230" w:name="_Toc8791"/>
      <w:bookmarkStart w:id="231" w:name="_Toc21237"/>
      <w:bookmarkStart w:id="232" w:name="_Toc739"/>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0"/>
      <w:bookmarkEnd w:id="211"/>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cs="Times New Roman" w:asciiTheme="minorEastAsia" w:hAnsiTheme="minorEastAsia" w:eastAsiaTheme="minorEastAsia"/>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将同步更新产品说明书中的业绩比较基准（如有）、业绩报酬计提基准（如有），以明确列示下一个完整投资周期对应的业绩比较基准（如有）、业绩报酬计提基准（如有）。</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233" w:name="_Toc116984895"/>
      <w:bookmarkStart w:id="234" w:name="_Toc92377141"/>
      <w:bookmarkStart w:id="235" w:name="_Toc7915467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33"/>
      <w:bookmarkEnd w:id="234"/>
      <w:bookmarkEnd w:id="23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（2）投资权益类资产的风险 </w:t>
      </w:r>
    </w:p>
    <w:p>
      <w:pPr>
        <w:spacing w:line="360" w:lineRule="auto"/>
        <w:ind w:firstLine="360" w:firstLineChars="200"/>
        <w:rPr>
          <w:rFonts w:ascii="宋体" w:hAnsi="宋体"/>
          <w:sz w:val="18"/>
          <w:szCs w:val="18"/>
        </w:rPr>
      </w:pPr>
      <w:r>
        <w:rPr>
          <w:rFonts w:hint="eastAsia" w:ascii="宋体" w:hAnsi="宋体"/>
          <w:sz w:val="18"/>
          <w:szCs w:val="18"/>
        </w:rPr>
        <w:t>1）投资股票类资产的风险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2）投资股权类资产的风险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（3）投资商品和金融衍生品类资产的风险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5"/>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7"/>
        <w:spacing w:line="360" w:lineRule="auto"/>
        <w:rPr>
          <w:rFonts w:hAnsi="宋体"/>
          <w:sz w:val="18"/>
          <w:szCs w:val="18"/>
        </w:rPr>
      </w:pPr>
    </w:p>
    <w:p>
      <w:pPr>
        <w:spacing w:line="360" w:lineRule="auto"/>
        <w:jc w:val="left"/>
        <w:rPr>
          <w:rFonts w:hint="eastAsia" w:ascii="宋体" w:hAnsi="宋体"/>
          <w:b/>
          <w:sz w:val="18"/>
          <w:szCs w:val="18"/>
        </w:rPr>
        <w:sectPr>
          <w:headerReference r:id="rId5" w:type="default"/>
          <w:footerReference r:id="rId6"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兴银理财【天天万利宝稳利净值型】理财产品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9"/>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7"/>
              <w:jc w:val="both"/>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sym w:font="Wingdings 2" w:char="0052"/>
      </w:r>
      <w:r>
        <w:rPr>
          <w:rFonts w:ascii="黑体" w:hAnsi="黑体" w:eastAsia="黑体"/>
          <w:bCs/>
          <w:sz w:val="18"/>
          <w:szCs w:val="18"/>
        </w:rPr>
        <w:t xml:space="preserve"> </w:t>
      </w:r>
      <w:r>
        <w:rPr>
          <w:rFonts w:hint="eastAsia" w:ascii="黑体" w:hAnsi="黑体" w:eastAsia="黑体" w:cs="仿宋_GB2312"/>
          <w:kern w:val="0"/>
          <w:sz w:val="18"/>
          <w:szCs w:val="18"/>
        </w:rPr>
        <w:t>代销适用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7"/>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7" w:type="default"/>
          <w:footerReference r:id="rId8"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兴银理财天天万利宝稳利净值型</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兴业银行天天万利宝稳利2号净值型理财产品A款</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宋体" w:hAnsi="宋体" w:cs="仿宋_GB2312"/>
          <w:kern w:val="0"/>
          <w:sz w:val="18"/>
          <w:szCs w:val="18"/>
        </w:rPr>
      </w:pPr>
      <w:r>
        <w:rPr>
          <w:rFonts w:hint="eastAsia" w:ascii="宋体" w:hAnsi="宋体"/>
          <w:bCs/>
          <w:sz w:val="18"/>
          <w:szCs w:val="18"/>
        </w:rPr>
        <w:t>【稳利恒盈A 6个月】</w:t>
      </w:r>
      <w:r>
        <w:rPr>
          <w:rFonts w:hint="eastAsia" w:ascii="宋体" w:hAnsi="宋体"/>
          <w:bCs/>
          <w:color w:val="000000" w:themeColor="text1"/>
          <w:sz w:val="18"/>
          <w:szCs w:val="18"/>
          <w14:textFill>
            <w14:solidFill>
              <w14:schemeClr w14:val="tx1"/>
            </w14:solidFill>
          </w14:textFill>
        </w:rPr>
        <w:t>（适用【A】类份额</w:t>
      </w:r>
      <w:r>
        <w:rPr>
          <w:rFonts w:hint="eastAsia" w:asciiTheme="majorEastAsia" w:hAnsiTheme="majorEastAsia" w:eastAsiaTheme="majorEastAsia"/>
          <w:bCs/>
          <w:kern w:val="0"/>
          <w:sz w:val="18"/>
          <w:szCs w:val="18"/>
        </w:rPr>
        <w:t>）</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Z7002020000018</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有固定期限：【】</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2】</w:t>
      </w:r>
      <w:r>
        <w:rPr>
          <w:rFonts w:hint="eastAsia" w:ascii="宋体" w:hAnsi="宋体" w:cs="仿宋_GB2312"/>
          <w:kern w:val="0"/>
          <w:sz w:val="18"/>
          <w:szCs w:val="18"/>
        </w:rPr>
        <w:t>（产品管理人定义的产品风险评级为【R</w:t>
      </w:r>
      <w:r>
        <w:rPr>
          <w:rFonts w:ascii="宋体" w:hAnsi="宋体" w:cs="仿宋_GB2312"/>
          <w:kern w:val="0"/>
          <w:sz w:val="18"/>
          <w:szCs w:val="18"/>
        </w:rPr>
        <w:t>2】</w:t>
      </w:r>
      <w:r>
        <w:rPr>
          <w:rFonts w:hint="eastAsia" w:ascii="宋体" w:hAnsi="宋体" w:cs="仿宋_GB2312"/>
          <w:kern w:val="0"/>
          <w:sz w:val="18"/>
          <w:szCs w:val="18"/>
        </w:rPr>
        <w:t>；代理销售机构定义的产品风险评级为【R</w:t>
      </w:r>
      <w:r>
        <w:rPr>
          <w:rFonts w:ascii="宋体" w:hAnsi="宋体" w:cs="仿宋_GB2312"/>
          <w:kern w:val="0"/>
          <w:sz w:val="18"/>
          <w:szCs w:val="18"/>
        </w:rPr>
        <w:t>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5"/>
        <w:ind w:firstLine="360"/>
        <w:rPr>
          <w:rFonts w:ascii="宋体" w:hAnsi="宋体"/>
          <w:sz w:val="18"/>
          <w:szCs w:val="18"/>
        </w:rPr>
      </w:pPr>
      <w:r>
        <w:rPr>
          <w:rFonts w:hint="eastAsia" w:ascii="宋体" w:hAnsi="宋体"/>
          <w:sz w:val="18"/>
          <w:szCs w:val="18"/>
        </w:rPr>
        <w:t>1.拟投资市场和资产的风险：</w:t>
      </w:r>
    </w:p>
    <w:p>
      <w:pPr>
        <w:pStyle w:val="15"/>
        <w:ind w:firstLine="360"/>
        <w:rPr>
          <w:rFonts w:ascii="宋体" w:hAnsi="宋体"/>
          <w:sz w:val="18"/>
          <w:szCs w:val="18"/>
        </w:rPr>
      </w:pPr>
      <w:r>
        <w:rPr>
          <w:rFonts w:hint="eastAsia" w:ascii="宋体" w:hAnsi="宋体"/>
          <w:sz w:val="18"/>
          <w:szCs w:val="18"/>
        </w:rPr>
        <w:t>（1）投资债权类资产的风险</w:t>
      </w:r>
    </w:p>
    <w:p>
      <w:pPr>
        <w:pStyle w:val="15"/>
        <w:ind w:firstLine="360"/>
        <w:rPr>
          <w:rFonts w:ascii="宋体" w:hAnsi="宋体"/>
          <w:sz w:val="18"/>
          <w:szCs w:val="18"/>
        </w:rPr>
      </w:pPr>
      <w:r>
        <w:rPr>
          <w:rFonts w:hint="eastAsia" w:ascii="宋体" w:hAnsi="宋体"/>
          <w:sz w:val="18"/>
          <w:szCs w:val="18"/>
        </w:rPr>
        <w:t>1）投资标准化债权类资产的风险</w:t>
      </w:r>
    </w:p>
    <w:p>
      <w:pPr>
        <w:pStyle w:val="15"/>
        <w:ind w:firstLine="36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5"/>
        <w:ind w:firstLine="360"/>
        <w:rPr>
          <w:rFonts w:ascii="宋体" w:hAnsi="宋体"/>
          <w:sz w:val="18"/>
          <w:szCs w:val="18"/>
        </w:rPr>
      </w:pPr>
      <w:r>
        <w:rPr>
          <w:rFonts w:hint="eastAsia" w:ascii="宋体" w:hAnsi="宋体"/>
          <w:sz w:val="18"/>
          <w:szCs w:val="18"/>
        </w:rPr>
        <w:t>2）投资非标准化债权类资产的风险</w:t>
      </w:r>
    </w:p>
    <w:p>
      <w:pPr>
        <w:pStyle w:val="15"/>
        <w:ind w:firstLine="36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5"/>
        <w:ind w:firstLine="360"/>
        <w:rPr>
          <w:rFonts w:ascii="宋体" w:hAnsi="宋体"/>
          <w:sz w:val="18"/>
          <w:szCs w:val="18"/>
        </w:rPr>
      </w:pPr>
      <w:r>
        <w:rPr>
          <w:rFonts w:hint="eastAsia" w:ascii="宋体" w:hAnsi="宋体"/>
          <w:sz w:val="18"/>
          <w:szCs w:val="18"/>
        </w:rPr>
        <w:t xml:space="preserve">（2）投资权益类资产的风险 </w:t>
      </w:r>
    </w:p>
    <w:p>
      <w:pPr>
        <w:pStyle w:val="15"/>
        <w:ind w:firstLine="360"/>
        <w:rPr>
          <w:rFonts w:ascii="宋体" w:hAnsi="宋体"/>
          <w:sz w:val="18"/>
          <w:szCs w:val="18"/>
        </w:rPr>
      </w:pPr>
      <w:r>
        <w:rPr>
          <w:rFonts w:hint="eastAsia" w:ascii="宋体" w:hAnsi="宋体"/>
          <w:sz w:val="18"/>
          <w:szCs w:val="18"/>
        </w:rPr>
        <w:t>1）投资股票类资产的风险</w:t>
      </w:r>
    </w:p>
    <w:p>
      <w:pPr>
        <w:pStyle w:val="15"/>
        <w:ind w:firstLine="360"/>
        <w:rPr>
          <w:rFonts w:ascii="宋体" w:hAnsi="宋体"/>
          <w:sz w:val="18"/>
          <w:szCs w:val="18"/>
        </w:rPr>
      </w:pPr>
      <w:r>
        <w:rPr>
          <w:rFonts w:hint="eastAsia" w:ascii="宋体" w:hAnsi="宋体"/>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15"/>
        <w:ind w:firstLine="360"/>
        <w:rPr>
          <w:rFonts w:ascii="宋体" w:hAnsi="宋体"/>
          <w:sz w:val="18"/>
          <w:szCs w:val="18"/>
        </w:rPr>
      </w:pPr>
      <w:r>
        <w:rPr>
          <w:rFonts w:hint="eastAsia" w:ascii="宋体" w:hAnsi="宋体"/>
          <w:sz w:val="18"/>
          <w:szCs w:val="18"/>
        </w:rPr>
        <w:t>2）投资股权类资产的风险</w:t>
      </w:r>
    </w:p>
    <w:p>
      <w:pPr>
        <w:pStyle w:val="15"/>
        <w:ind w:firstLine="360"/>
        <w:rPr>
          <w:rFonts w:ascii="宋体" w:hAnsi="宋体"/>
          <w:sz w:val="18"/>
          <w:szCs w:val="18"/>
        </w:rPr>
      </w:pPr>
      <w:r>
        <w:rPr>
          <w:rFonts w:hint="eastAsia" w:ascii="宋体" w:hAnsi="宋体"/>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pStyle w:val="15"/>
        <w:ind w:firstLine="360"/>
        <w:rPr>
          <w:rFonts w:ascii="宋体" w:hAnsi="宋体"/>
          <w:sz w:val="18"/>
          <w:szCs w:val="18"/>
        </w:rPr>
      </w:pPr>
      <w:r>
        <w:rPr>
          <w:rFonts w:hint="eastAsia" w:ascii="宋体" w:hAnsi="宋体"/>
          <w:sz w:val="18"/>
          <w:szCs w:val="18"/>
        </w:rPr>
        <w:t xml:space="preserve">（3）投资商品和金融衍生品类资产的风险 </w:t>
      </w:r>
    </w:p>
    <w:p>
      <w:pPr>
        <w:pStyle w:val="15"/>
        <w:ind w:firstLine="360"/>
        <w:rPr>
          <w:rFonts w:ascii="宋体" w:hAnsi="宋体"/>
          <w:bCs/>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bCs/>
          <w:sz w:val="18"/>
          <w:szCs w:val="18"/>
        </w:rPr>
        <w:t>。</w:t>
      </w:r>
    </w:p>
    <w:p>
      <w:pPr>
        <w:pStyle w:val="15"/>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5"/>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5"/>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5"/>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5"/>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5"/>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5"/>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5"/>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5"/>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5"/>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5"/>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5"/>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5"/>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5"/>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5"/>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5"/>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5"/>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5"/>
        <w:ind w:firstLineChars="0"/>
        <w:rPr>
          <w:rFonts w:ascii="宋体" w:hAnsi="宋体"/>
          <w:b/>
          <w:bCs/>
          <w:sz w:val="18"/>
          <w:szCs w:val="18"/>
        </w:rPr>
      </w:pPr>
      <w:r>
        <w:rPr>
          <w:rFonts w:hint="eastAsia" w:ascii="宋体" w:hAnsi="宋体"/>
          <w:b/>
          <w:bCs/>
          <w:sz w:val="18"/>
          <w:szCs w:val="18"/>
        </w:rPr>
        <w:t>17.关联交易风险</w:t>
      </w:r>
    </w:p>
    <w:p>
      <w:pPr>
        <w:pStyle w:val="15"/>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10"/>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10"/>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福建省农村信用社联合社</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3"/>
          <w:rFonts w:hint="eastAsia" w:ascii="宋体" w:hAnsi="宋体"/>
          <w:sz w:val="18"/>
          <w:szCs w:val="18"/>
        </w:rPr>
        <w:t>9</w:t>
      </w:r>
      <w:r>
        <w:rPr>
          <w:rStyle w:val="13"/>
          <w:rFonts w:ascii="宋体" w:hAnsi="宋体"/>
          <w:sz w:val="18"/>
          <w:szCs w:val="18"/>
        </w:rPr>
        <w:t>5561</w:t>
      </w:r>
      <w:r>
        <w:rPr>
          <w:rStyle w:val="13"/>
          <w:rFonts w:hint="eastAsia" w:ascii="宋体" w:hAnsi="宋体"/>
          <w:sz w:val="18"/>
          <w:szCs w:val="18"/>
        </w:rPr>
        <w:t>@</w:t>
      </w:r>
      <w:r>
        <w:rPr>
          <w:rStyle w:val="13"/>
          <w:rFonts w:asciiTheme="minorEastAsia" w:hAnsiTheme="minorEastAsia"/>
          <w:sz w:val="18"/>
          <w:szCs w:val="18"/>
        </w:rPr>
        <w:t>cib.com.cn</w:t>
      </w:r>
      <w:r>
        <w:rPr>
          <w:rStyle w:val="13"/>
          <w:rFonts w:hint="eastAsia" w:ascii="宋体" w:hAnsi="宋体"/>
          <w:sz w:val="18"/>
          <w:szCs w:val="18"/>
        </w:rPr>
        <w:t>】</w:t>
      </w:r>
      <w:r>
        <w:rPr>
          <w:rStyle w:val="13"/>
          <w:rFonts w:hint="eastAsia" w:ascii="宋体" w:hAnsi="宋体"/>
          <w:sz w:val="18"/>
          <w:szCs w:val="18"/>
        </w:rPr>
        <w:fldChar w:fldCharType="end"/>
      </w:r>
      <w:r>
        <w:rPr>
          <w:rFonts w:hint="eastAsia" w:ascii="宋体" w:hAnsi="宋体"/>
          <w:sz w:val="18"/>
          <w:szCs w:val="18"/>
        </w:rPr>
        <w:t>。</w:t>
      </w:r>
    </w:p>
    <w:p>
      <w:pPr>
        <w:autoSpaceDE w:val="0"/>
        <w:autoSpaceDN w:val="0"/>
        <w:adjustRightInd w:val="0"/>
        <w:ind w:firstLine="360" w:firstLineChars="200"/>
        <w:jc w:val="left"/>
        <w:rPr>
          <w:rFonts w:ascii="仿宋_GB2312" w:eastAsia="仿宋_GB2312" w:cs="仿宋_GB2312"/>
          <w:color w:val="000000"/>
          <w:kern w:val="0"/>
          <w:sz w:val="24"/>
          <w:szCs w:val="24"/>
        </w:rPr>
      </w:pPr>
      <w:bookmarkStart w:id="236" w:name="_GoBack"/>
      <w:bookmarkEnd w:id="236"/>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9"/>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rPr>
      </w:pPr>
    </w:p>
    <w:sectPr>
      <w:headerReference r:id="rId11" w:type="default"/>
      <w:footerReference r:id="rId12"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4"/>
          <w:jc w:val="center"/>
        </w:pPr>
        <w:r>
          <w:fldChar w:fldCharType="begin"/>
        </w:r>
        <w:r>
          <w:instrText xml:space="preserve"> PAGE   \* MERGEFORMAT </w:instrText>
        </w:r>
        <w:r>
          <w:fldChar w:fldCharType="separate"/>
        </w:r>
        <w:r>
          <w:rPr>
            <w:lang w:val="zh-CN"/>
          </w:rPr>
          <w:t>33</w:t>
        </w:r>
        <w:r>
          <w:fldChar w:fldCharType="end"/>
        </w:r>
      </w:p>
    </w:sdtContent>
  </w:sdt>
  <w:p>
    <w:pPr>
      <w:pStyle w:val="3"/>
      <w:jc w:val="both"/>
      <w:rPr>
        <w:rFonts w:ascii="黑体" w:hAnsi="黑体" w:eastAsia="黑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rPr>
    </w:pPr>
    <w:r>
      <w:rPr>
        <w:rFonts w:hint="eastAsia"/>
        <w:b/>
      </w:rPr>
      <w:t>投资协议书</w:t>
    </w:r>
  </w:p>
  <w:p>
    <w:pPr>
      <w:pStyle w:val="5"/>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D7779"/>
    <w:rsid w:val="273A436A"/>
    <w:rsid w:val="510B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widowControl/>
      <w:jc w:val="left"/>
    </w:pPr>
    <w:rPr>
      <w:rFonts w:ascii="宋体" w:hAnsi="宋体"/>
      <w:kern w:val="0"/>
      <w:sz w:val="24"/>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39"/>
    <w:pPr>
      <w:tabs>
        <w:tab w:val="right" w:leader="dot" w:pos="8296"/>
      </w:tabs>
      <w:spacing w:line="360" w:lineRule="auto"/>
    </w:p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qFormat/>
    <w:uiPriority w:val="99"/>
    <w:rPr>
      <w:sz w:val="21"/>
      <w:szCs w:val="21"/>
    </w:rPr>
  </w:style>
  <w:style w:type="paragraph" w:styleId="15">
    <w:name w:val="List Paragraph"/>
    <w:basedOn w:val="1"/>
    <w:qFormat/>
    <w:uiPriority w:val="0"/>
    <w:pPr>
      <w:ind w:firstLine="420" w:firstLineChars="200"/>
    </w:p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2023-07-24T02:28:00Z</dcterms:created>
  <dc:creator>admin</dc:creator>
  <cp:lastModifiedBy>高炳荣</cp:lastModifiedBy>
  <dcterms:modified xsi:type="dcterms:W3CDTF">2023-07-24T08:46:20Z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