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00" w:lineRule="exact"/>
        <w:jc w:val="center"/>
        <w:outlineLvl w:val="9"/>
        <w:rPr>
          <w:rFonts w:hint="eastAsia" w:ascii="黑体" w:hAnsi="黑体" w:eastAsia="黑体" w:cs="黑体"/>
          <w:sz w:val="36"/>
          <w:szCs w:val="36"/>
          <w:lang w:eastAsia="zh-CN"/>
        </w:rPr>
      </w:pPr>
      <w:r>
        <w:rPr>
          <w:rFonts w:hint="eastAsia" w:ascii="黑体" w:hAnsi="黑体" w:eastAsia="黑体" w:cs="黑体"/>
          <w:sz w:val="36"/>
          <w:szCs w:val="36"/>
          <w:lang w:eastAsia="zh-CN"/>
        </w:rPr>
        <w:t>福建莆田农村商业银行股份有限公司</w:t>
      </w:r>
    </w:p>
    <w:p>
      <w:pPr>
        <w:keepNext w:val="0"/>
        <w:keepLines w:val="0"/>
        <w:pageBreakBefore w:val="0"/>
        <w:kinsoku/>
        <w:wordWrap/>
        <w:overflowPunct/>
        <w:topLinePunct w:val="0"/>
        <w:autoSpaceDE/>
        <w:autoSpaceDN/>
        <w:bidi w:val="0"/>
        <w:adjustRightInd/>
        <w:snapToGrid/>
        <w:spacing w:line="500" w:lineRule="exact"/>
        <w:jc w:val="center"/>
        <w:outlineLvl w:val="9"/>
        <w:rPr>
          <w:rFonts w:hint="eastAsia" w:ascii="黑体" w:hAnsi="黑体" w:eastAsia="黑体" w:cs="黑体"/>
          <w:lang w:val="en-US" w:eastAsia="zh-CN"/>
        </w:rPr>
      </w:pPr>
      <w:r>
        <w:rPr>
          <w:rFonts w:hint="eastAsia" w:ascii="黑体" w:hAnsi="黑体" w:eastAsia="黑体" w:cs="黑体"/>
          <w:sz w:val="36"/>
          <w:szCs w:val="36"/>
          <w:lang w:val="en-US" w:eastAsia="zh-CN"/>
        </w:rPr>
        <w:t>2025年度自然相关</w:t>
      </w:r>
      <w:r>
        <w:rPr>
          <w:rFonts w:hint="default" w:ascii="Times New Roman" w:hAnsi="Times New Roman" w:eastAsia="黑体" w:cs="Times New Roman"/>
          <w:sz w:val="36"/>
          <w:szCs w:val="36"/>
          <w:lang w:val="en-US" w:eastAsia="zh-CN"/>
        </w:rPr>
        <w:t>信息披露（TNFD）</w:t>
      </w:r>
      <w:r>
        <w:rPr>
          <w:rFonts w:hint="eastAsia" w:ascii="黑体" w:hAnsi="黑体" w:eastAsia="黑体" w:cs="黑体"/>
          <w:sz w:val="36"/>
          <w:szCs w:val="36"/>
          <w:lang w:val="en-US" w:eastAsia="zh-CN"/>
        </w:rPr>
        <w:t>报告</w:t>
      </w:r>
    </w:p>
    <w:p>
      <w:pPr>
        <w:keepNext w:val="0"/>
        <w:keepLines w:val="0"/>
        <w:pageBreakBefore w:val="0"/>
        <w:kinsoku/>
        <w:wordWrap/>
        <w:overflowPunct/>
        <w:topLinePunct w:val="0"/>
        <w:autoSpaceDE/>
        <w:autoSpaceDN/>
        <w:bidi w:val="0"/>
        <w:adjustRightInd/>
        <w:snapToGrid/>
        <w:spacing w:line="500" w:lineRule="exact"/>
        <w:jc w:val="both"/>
        <w:rPr>
          <w:rFonts w:hint="default" w:ascii="Times New Roman" w:hAnsi="Times New Roman" w:cs="Times New Roman"/>
          <w:lang w:val="en-US" w:eastAsia="zh-CN"/>
        </w:rPr>
      </w:pP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0"/>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一、关于本报告</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本报告是福建莆田农村商业银行股份有限公司首份TNFD报告，我们期望通过发布TNFD报告的方式，展示我行在经营</w:t>
      </w:r>
      <w:r>
        <w:rPr>
          <w:rFonts w:hint="eastAsia" w:ascii="Times New Roman" w:hAnsi="Times New Roman" w:eastAsia="仿宋_GB2312" w:cs="Times New Roman"/>
          <w:sz w:val="28"/>
          <w:szCs w:val="28"/>
          <w:lang w:val="en-US" w:eastAsia="zh-CN"/>
        </w:rPr>
        <w:t>实践中</w:t>
      </w:r>
      <w:r>
        <w:rPr>
          <w:rFonts w:hint="default" w:ascii="Times New Roman" w:hAnsi="Times New Roman" w:eastAsia="仿宋_GB2312" w:cs="Times New Roman"/>
          <w:sz w:val="28"/>
          <w:szCs w:val="28"/>
          <w:lang w:val="en-US" w:eastAsia="zh-CN"/>
        </w:rPr>
        <w:t>对自然的依赖与影响，以及识别、评估和管理自然相关风险与机遇的实践成效。</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（一）报告范围</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本报告有关数据以福建莆田农村商业银行股份有限公司为主体，除特别说明外，本报告范围与本公司年报范围保持一致。</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（二）时间范围</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本报告报告期为2025年1月1日至2025年12月31日，部分历史数据及长期规划内容适当超出上述时间范围。</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（三）编制依据</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本报告依据自然相关财务披露工作组（TNFD）发布的《自然相关财务信息披露框架》（</w:t>
      </w:r>
      <w:r>
        <w:rPr>
          <w:rFonts w:hint="eastAsia" w:ascii="Times New Roman" w:hAnsi="Times New Roman" w:eastAsia="仿宋_GB2312" w:cs="Times New Roman"/>
          <w:sz w:val="28"/>
          <w:szCs w:val="28"/>
          <w:lang w:val="en-US" w:eastAsia="zh-CN"/>
        </w:rPr>
        <w:t>V1.0</w:t>
      </w:r>
      <w:r>
        <w:rPr>
          <w:rFonts w:hint="default" w:ascii="Times New Roman" w:hAnsi="Times New Roman" w:eastAsia="仿宋_GB2312" w:cs="Times New Roman"/>
          <w:sz w:val="28"/>
          <w:szCs w:val="28"/>
          <w:lang w:val="en-US" w:eastAsia="zh-CN"/>
        </w:rPr>
        <w:t>版）编制，遵循治理（Governance）、战略（Strategy）、风险与影响管理（Risk and Impact Management）、指标与目标（Metrics and Targets）四大支柱的披露要求。同时</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参考金融行业标准《金融机构环境信息披露指南》（JR/T 0227‑2021），以及《银行业保险业绿色金融指引》《银行业金融机构绿色金融评价方案》等监管制度，结合《福建省金融机构环境信息披露工作安排》《关于加强金融支持生物多样性保护的指导意见》等政策文件</w:t>
      </w:r>
      <w:r>
        <w:rPr>
          <w:rFonts w:hint="eastAsia" w:ascii="Times New Roman" w:hAnsi="Times New Roman" w:eastAsia="仿宋_GB2312" w:cs="Times New Roman"/>
          <w:sz w:val="28"/>
          <w:szCs w:val="28"/>
          <w:lang w:val="en-US" w:eastAsia="zh-CN"/>
        </w:rPr>
        <w:t>要求</w:t>
      </w:r>
      <w:r>
        <w:rPr>
          <w:rFonts w:hint="default" w:ascii="Times New Roman" w:hAnsi="Times New Roman" w:eastAsia="仿宋_GB2312" w:cs="Times New Roman"/>
          <w:sz w:val="28"/>
          <w:szCs w:val="28"/>
          <w:lang w:val="en-US" w:eastAsia="zh-CN"/>
        </w:rPr>
        <w:t>，形成本次报告分析框架。</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（四）数据说明</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报告所涉财务数据均来自本行2025年度经审计财务报告。绿色贷款数据来自本行信贷管理系统及绿色金融统计报表。生态环境相关数据主要来源于莆田市生态环境局、自然资源局、林业局、海洋与渔业局等政府部门公开信息，以及本行实地调研数据。</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部分自然相关量化指标因当前数据基础与评估方法限制，采用估算方法得出，本行将在后续报告中持续改进数据质量与评估精度。本报告所有数据与信息均经过本行相关部门审核确认。</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（五）称谓说明</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为便于表述和阅读，“福建莆田农村商业银行股份有限公司”有时以“莆田农商银行”“公司”“我们”“我行”或“本行”表示。</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0"/>
        <w:rPr>
          <w:rFonts w:hint="default" w:ascii="Times New Roman" w:hAnsi="Times New Roman" w:eastAsia="仿宋_GB2312" w:cs="Times New Roman"/>
          <w:sz w:val="28"/>
          <w:szCs w:val="28"/>
          <w:lang w:val="en-US" w:eastAsia="zh-CN"/>
        </w:rPr>
      </w:pPr>
      <w:r>
        <w:rPr>
          <w:rFonts w:hint="default" w:ascii="Times New Roman" w:hAnsi="Times New Roman" w:eastAsia="黑体" w:cs="Times New Roman"/>
          <w:sz w:val="28"/>
          <w:szCs w:val="28"/>
          <w:lang w:val="en-US" w:eastAsia="zh-CN"/>
        </w:rPr>
        <w:t>二、机构概况与业务范围</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（一）基本概况</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莆田农村商业银行股份有限公司成立</w:t>
      </w:r>
      <w:r>
        <w:rPr>
          <w:rFonts w:hint="default" w:ascii="Times New Roman" w:hAnsi="Times New Roman" w:eastAsia="仿宋_GB2312" w:cs="Times New Roman"/>
          <w:sz w:val="28"/>
          <w:szCs w:val="28"/>
          <w:highlight w:val="none"/>
          <w:lang w:val="en-US" w:eastAsia="zh-CN"/>
        </w:rPr>
        <w:t>于2010年9月</w:t>
      </w:r>
      <w:r>
        <w:rPr>
          <w:rFonts w:hint="default" w:ascii="Times New Roman" w:hAnsi="Times New Roman" w:eastAsia="仿宋_GB2312" w:cs="Times New Roman"/>
          <w:sz w:val="28"/>
          <w:szCs w:val="28"/>
          <w:lang w:val="en-US" w:eastAsia="zh-CN"/>
        </w:rPr>
        <w:t>，是在原莆田市荔城区、城厢区、涵江区、秀屿区四家农村信用合作联社基础上合并组建的股份制农村商业银行，注册资本</w:t>
      </w:r>
      <w:r>
        <w:rPr>
          <w:rFonts w:hint="default" w:ascii="Times New Roman" w:hAnsi="Times New Roman" w:eastAsia="仿宋_GB2312" w:cs="Times New Roman"/>
          <w:sz w:val="28"/>
          <w:szCs w:val="28"/>
          <w:highlight w:val="none"/>
          <w:lang w:val="en-US" w:eastAsia="zh-CN"/>
        </w:rPr>
        <w:t>18.76亿</w:t>
      </w:r>
      <w:r>
        <w:rPr>
          <w:rFonts w:hint="default" w:ascii="Times New Roman" w:hAnsi="Times New Roman" w:eastAsia="仿宋_GB2312" w:cs="Times New Roman"/>
          <w:sz w:val="28"/>
          <w:szCs w:val="28"/>
          <w:lang w:val="en-US" w:eastAsia="zh-CN"/>
        </w:rPr>
        <w:t>元，总行位于福建省莆田市。</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截至2025年末，本行资产总额665.11亿元，各项贷款余额340.86亿元，各项存款余额508.23亿元，是莆田市资产规模最大、网点覆盖最广的地方法人银行业金融机构。</w:t>
      </w:r>
      <w:r>
        <w:rPr>
          <w:rFonts w:hint="default" w:ascii="Times New Roman" w:hAnsi="Times New Roman" w:eastAsia="仿宋_GB2312" w:cs="Times New Roman"/>
          <w:sz w:val="28"/>
          <w:szCs w:val="28"/>
          <w:highlight w:val="none"/>
          <w:lang w:val="en-US" w:eastAsia="zh-CN"/>
        </w:rPr>
        <w:t>本行下辖营业网点85个，员工</w:t>
      </w:r>
      <w:r>
        <w:rPr>
          <w:rFonts w:hint="default" w:ascii="Times New Roman" w:hAnsi="Times New Roman" w:eastAsia="仿宋_GB2312" w:cs="Times New Roman"/>
          <w:sz w:val="28"/>
          <w:szCs w:val="28"/>
          <w:lang w:val="en-US" w:eastAsia="zh-CN"/>
        </w:rPr>
        <w:t>近千人，服务覆盖莆田市全域，是服务</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三农</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、小微企业和地方经济发展的金融主力军。</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lang w:val="en-US" w:eastAsia="zh-CN"/>
        </w:rPr>
        <w:t>本行坚持</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支农支小</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市场定位，深耕本土市场，形成了以公司金融、普惠金融为主体，以蓝色金融、绿色金融为特色的业务发展格局。近年来，</w:t>
      </w:r>
      <w:r>
        <w:rPr>
          <w:rFonts w:hint="default" w:ascii="Times New Roman" w:hAnsi="Times New Roman" w:eastAsia="仿宋_GB2312" w:cs="Times New Roman"/>
          <w:sz w:val="28"/>
          <w:szCs w:val="28"/>
          <w:highlight w:val="none"/>
          <w:lang w:val="en-US" w:eastAsia="zh-CN"/>
        </w:rPr>
        <w:t>本行先后获得</w:t>
      </w:r>
      <w:r>
        <w:rPr>
          <w:rFonts w:hint="eastAsia" w:ascii="Times New Roman" w:hAnsi="Times New Roman" w:eastAsia="仿宋_GB2312" w:cs="Times New Roman"/>
          <w:sz w:val="28"/>
          <w:szCs w:val="28"/>
          <w:highlight w:val="none"/>
          <w:lang w:val="en-US" w:eastAsia="zh-CN"/>
        </w:rPr>
        <w:t>“</w:t>
      </w:r>
      <w:r>
        <w:rPr>
          <w:rFonts w:hint="default" w:ascii="Times New Roman" w:hAnsi="Times New Roman" w:eastAsia="仿宋_GB2312" w:cs="Times New Roman"/>
          <w:sz w:val="28"/>
          <w:szCs w:val="28"/>
          <w:highlight w:val="none"/>
          <w:lang w:val="en-US" w:eastAsia="zh-CN"/>
        </w:rPr>
        <w:t>农村商业银行高质量发展100强</w:t>
      </w:r>
      <w:r>
        <w:rPr>
          <w:rFonts w:hint="eastAsia" w:ascii="Times New Roman" w:hAnsi="Times New Roman" w:eastAsia="仿宋_GB2312" w:cs="Times New Roman"/>
          <w:sz w:val="28"/>
          <w:szCs w:val="28"/>
          <w:highlight w:val="none"/>
          <w:lang w:val="en-US" w:eastAsia="zh-CN"/>
        </w:rPr>
        <w:t>”“</w:t>
      </w:r>
      <w:r>
        <w:rPr>
          <w:rFonts w:hint="default" w:ascii="Times New Roman" w:hAnsi="Times New Roman" w:eastAsia="仿宋_GB2312" w:cs="Times New Roman"/>
          <w:sz w:val="28"/>
          <w:szCs w:val="28"/>
          <w:highlight w:val="none"/>
          <w:lang w:val="en-US" w:eastAsia="zh-CN"/>
        </w:rPr>
        <w:t>2025农村金融十佳零售金融机构</w:t>
      </w:r>
      <w:r>
        <w:rPr>
          <w:rFonts w:hint="eastAsia" w:ascii="Times New Roman" w:hAnsi="Times New Roman" w:eastAsia="仿宋_GB2312" w:cs="Times New Roman"/>
          <w:sz w:val="28"/>
          <w:szCs w:val="28"/>
          <w:highlight w:val="none"/>
          <w:lang w:val="en-US" w:eastAsia="zh-CN"/>
        </w:rPr>
        <w:t>”“</w:t>
      </w:r>
      <w:r>
        <w:rPr>
          <w:rFonts w:hint="default" w:ascii="Times New Roman" w:hAnsi="Times New Roman" w:eastAsia="仿宋_GB2312" w:cs="Times New Roman"/>
          <w:sz w:val="28"/>
          <w:szCs w:val="28"/>
          <w:highlight w:val="none"/>
          <w:lang w:val="en-US" w:eastAsia="zh-CN"/>
        </w:rPr>
        <w:t>突出经济贡献奖</w:t>
      </w:r>
      <w:r>
        <w:rPr>
          <w:rFonts w:hint="eastAsia" w:ascii="Times New Roman" w:hAnsi="Times New Roman" w:eastAsia="仿宋_GB2312" w:cs="Times New Roman"/>
          <w:sz w:val="28"/>
          <w:szCs w:val="28"/>
          <w:highlight w:val="none"/>
          <w:lang w:val="en-US" w:eastAsia="zh-CN"/>
        </w:rPr>
        <w:t>”</w:t>
      </w:r>
      <w:r>
        <w:rPr>
          <w:rFonts w:hint="default" w:ascii="Times New Roman" w:hAnsi="Times New Roman" w:eastAsia="仿宋_GB2312" w:cs="Times New Roman"/>
          <w:sz w:val="28"/>
          <w:szCs w:val="28"/>
          <w:highlight w:val="none"/>
          <w:lang w:val="en-US" w:eastAsia="zh-CN"/>
        </w:rPr>
        <w:t>等荣誉称号。</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（二）业务结构</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截至2025年末，本行贷款总额340.86亿元，按业务类型划分结构如下：</w:t>
      </w:r>
    </w:p>
    <w:tbl>
      <w:tblPr>
        <w:tblStyle w:val="5"/>
        <w:tblW w:w="83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27"/>
        <w:gridCol w:w="1479"/>
        <w:gridCol w:w="1644"/>
        <w:gridCol w:w="35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jc w:val="center"/>
        </w:trPr>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业务类型</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贷款余额（亿元）</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占比</w:t>
            </w:r>
          </w:p>
        </w:tc>
        <w:tc>
          <w:tcPr>
            <w:tcW w:w="35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主要服务领域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公司贷款</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22.36</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6.56%</w:t>
            </w:r>
          </w:p>
        </w:tc>
        <w:tc>
          <w:tcPr>
            <w:tcW w:w="35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制造业、批发零售业、建筑业、农林牧渔业、水利环境业等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个人贷款</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299.78</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87.95%</w:t>
            </w:r>
          </w:p>
        </w:tc>
        <w:tc>
          <w:tcPr>
            <w:tcW w:w="35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个人经营性贷款、个人消费贷款、农户贷款、按揭贷款等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票据贴现</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8.83</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2.59%</w:t>
            </w:r>
          </w:p>
        </w:tc>
        <w:tc>
          <w:tcPr>
            <w:tcW w:w="35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实体经济票据融资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贷记卡</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5.89</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1.73%</w:t>
            </w:r>
          </w:p>
        </w:tc>
        <w:tc>
          <w:tcPr>
            <w:tcW w:w="356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其他</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4.00</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1.17%</w:t>
            </w:r>
          </w:p>
        </w:tc>
        <w:tc>
          <w:tcPr>
            <w:tcW w:w="356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jc w:val="center"/>
        </w:trPr>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1"/>
                <w:szCs w:val="21"/>
                <w:u w:val="none"/>
              </w:rPr>
            </w:pPr>
            <w:r>
              <w:rPr>
                <w:rFonts w:hint="default" w:ascii="Times New Roman" w:hAnsi="Times New Roman" w:eastAsia="仿宋_GB2312" w:cs="Times New Roman"/>
                <w:b/>
                <w:bCs/>
                <w:i w:val="0"/>
                <w:iCs w:val="0"/>
                <w:color w:val="000000"/>
                <w:kern w:val="0"/>
                <w:sz w:val="21"/>
                <w:szCs w:val="21"/>
                <w:u w:val="none"/>
                <w:lang w:val="en-US" w:eastAsia="zh-CN" w:bidi="ar"/>
              </w:rPr>
              <w:t>合计</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1"/>
                <w:szCs w:val="21"/>
                <w:u w:val="none"/>
              </w:rPr>
            </w:pPr>
            <w:r>
              <w:rPr>
                <w:rFonts w:hint="default" w:ascii="Times New Roman" w:hAnsi="Times New Roman" w:eastAsia="仿宋_GB2312" w:cs="Times New Roman"/>
                <w:b/>
                <w:bCs/>
                <w:i w:val="0"/>
                <w:iCs w:val="0"/>
                <w:color w:val="000000"/>
                <w:kern w:val="0"/>
                <w:sz w:val="21"/>
                <w:szCs w:val="21"/>
                <w:u w:val="none"/>
                <w:lang w:val="en-US" w:eastAsia="zh-CN" w:bidi="ar"/>
              </w:rPr>
              <w:t>340.86</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1"/>
                <w:szCs w:val="21"/>
                <w:u w:val="none"/>
              </w:rPr>
            </w:pPr>
            <w:r>
              <w:rPr>
                <w:rFonts w:hint="default" w:ascii="Times New Roman" w:hAnsi="Times New Roman" w:eastAsia="仿宋_GB2312" w:cs="Times New Roman"/>
                <w:b/>
                <w:bCs/>
                <w:i w:val="0"/>
                <w:iCs w:val="0"/>
                <w:color w:val="000000"/>
                <w:kern w:val="0"/>
                <w:sz w:val="21"/>
                <w:szCs w:val="21"/>
                <w:u w:val="none"/>
                <w:lang w:val="en-US" w:eastAsia="zh-CN" w:bidi="ar"/>
              </w:rPr>
              <w:t>100.00%</w:t>
            </w:r>
          </w:p>
        </w:tc>
        <w:tc>
          <w:tcPr>
            <w:tcW w:w="35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lang w:val="en-US" w:eastAsia="zh-CN"/>
        </w:rPr>
        <w:t>按行业划分，本行存量客户主要集中在以下领域</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highlight w:val="none"/>
          <w:lang w:val="en-US" w:eastAsia="zh-CN"/>
        </w:rPr>
        <w:t>批发零售业主要服务商贸流通领域小微企业和个体工商户，贷款占比60.32%。制造业以制鞋、食品加工、木材加工、电子信息等莆田传统优势产业为主，贷款占比7.68%。农林牧渔业涵盖水产养殖、畜禽养殖、种植业、林业等，是本行传统优势领域，贷款占比5.52%。建筑业包括房屋建筑、土木工程建筑等，贷款占比2.57%。其他行业包括住宿餐饮业、交通运输业、居民服务业等，合计占比23.88%。</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（三）绿色金融发展概况</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高度重视绿色金融发展，将绿色金融纳入全行发展战略，建立了较为完善的绿色金融组织体系、政策制度体系和产品服务体系。截至2025年末，本行绿色贷款余额6.22亿元，惠及客户2554户，较年初实现较快增长。本行绿色贷款主要投向以下领域：绿色渔业</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天然林保护修复</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节能工业设备、农机及绿色建材贸易</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污水污泥处理处置设施建设和运营</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废旧物资循环利用</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绿色建筑材料制造</w:t>
      </w:r>
      <w:r>
        <w:rPr>
          <w:rFonts w:hint="eastAsia" w:ascii="Times New Roman" w:hAnsi="Times New Roman" w:eastAsia="仿宋_GB2312" w:cs="Times New Roman"/>
          <w:sz w:val="28"/>
          <w:szCs w:val="28"/>
          <w:lang w:val="en-US" w:eastAsia="zh-CN"/>
        </w:rPr>
        <w:t>。</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（四）蓝色金融特色发展</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依托莆田海洋大市区位优势，本行将蓝色金融作为差异化竞争的核心特色，创新打造</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福海</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系列蓝色金融产品体系，持续加大海洋经济领域金融支持力度。截至2025年末，本行蓝色贷款余额3.50亿元，服务客户1757户。重点支持领域包括：鲍鱼、海带、紫菜、缢蛏、花蛤、星虫等特色海产养殖</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远洋捕捞、水产品精深加工、冷链物流等</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湄洲岛妈祖文化旅游、南日岛海岛旅游、平海湾滨海度假等。本行创新推出</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福海</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系列十大贷款产品，包括</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福鲍·乡村振兴贷</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福渔贷</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福船贷</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等，针对性满足不同海洋经济主体的融资需求。其中，针对南日岛鲍鱼全产业链的</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福鲍·乡村振兴贷</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累计投放5990余万元，支持60户鲍鱼养殖户发展生产，成为本行蓝色金融的标志性产品。</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0"/>
        <w:rPr>
          <w:rFonts w:hint="default" w:ascii="Times New Roman" w:hAnsi="Times New Roman" w:eastAsia="仿宋_GB2312" w:cs="Times New Roman"/>
          <w:sz w:val="28"/>
          <w:szCs w:val="28"/>
          <w:lang w:val="en-US" w:eastAsia="zh-CN"/>
        </w:rPr>
      </w:pPr>
      <w:r>
        <w:rPr>
          <w:rFonts w:hint="default" w:ascii="Times New Roman" w:hAnsi="Times New Roman" w:eastAsia="黑体" w:cs="Times New Roman"/>
          <w:sz w:val="28"/>
          <w:szCs w:val="28"/>
          <w:lang w:val="en-US" w:eastAsia="zh-CN"/>
        </w:rPr>
        <w:t>三、治理架构</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w:t>
      </w:r>
      <w:r>
        <w:rPr>
          <w:rFonts w:hint="eastAsia" w:ascii="Times New Roman" w:hAnsi="Times New Roman" w:eastAsia="楷体" w:cs="Times New Roman"/>
          <w:b/>
          <w:bCs/>
          <w:sz w:val="28"/>
          <w:szCs w:val="28"/>
          <w:lang w:val="en-US" w:eastAsia="zh-CN"/>
        </w:rPr>
        <w:t>一</w:t>
      </w:r>
      <w:r>
        <w:rPr>
          <w:rFonts w:hint="default" w:ascii="Times New Roman" w:hAnsi="Times New Roman" w:eastAsia="楷体" w:cs="Times New Roman"/>
          <w:b/>
          <w:bCs/>
          <w:sz w:val="28"/>
          <w:szCs w:val="28"/>
          <w:lang w:val="en-US" w:eastAsia="zh-CN"/>
        </w:rPr>
        <w:t>）</w:t>
      </w:r>
      <w:r>
        <w:rPr>
          <w:rFonts w:hint="eastAsia" w:ascii="Times New Roman" w:hAnsi="Times New Roman" w:eastAsia="楷体" w:cs="Times New Roman"/>
          <w:b/>
          <w:bCs/>
          <w:sz w:val="28"/>
          <w:szCs w:val="28"/>
          <w:lang w:val="en-US" w:eastAsia="zh-CN"/>
        </w:rPr>
        <w:t>自然相关治理架构</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本行高度重视自然相关风险与机遇的治理工作，建立了</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董事会统筹决策、高级管理层组织实施、各部门分工落实</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的三级治理架构，明确董事会、高级管理层及各职能部门在自然相关风险管理中的职责分工，确保自然相关治理融入全行公司治理体系。</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为有序推进全行绿色转型进程，大力发展绿色金融业务，我行把绿色发展及自然相关议题纳入公司治理体系。由董事会下设专门委员会统筹绿色转型及自然相关工作，承担战略规划与监督职能，主要负责研究确立本行绿色转型、自然相关领域的发展战略与远景规划，牵头拟订发展战略，审议高级管理层拟定的业务发展目标，同时对绿色转型、自然相关事务战略落地实施情况开展监督与成效评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高级管理层依据董事会专门委员会确定的绿色转型及自然相关事务发展战略，细化制定年度绿色信贷经营目标（涵盖生物多样性、蓝色金融等业务）以及内部运营目标，配套搭建工作机制与业务审批流程，厘清各业务部门工作职责与履职边界，组织开展内控核查与考核评价工作，把自然环境相关评估要素嵌入日常经营管理与风险全流程管理。高级管理层每年向董事会专题汇报绿色金融工作推进成效，并按监管要求及时报送相关业务材料。</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本行成立了由董事长任组长、行长及分管副行长任副组长、各相关部门负责人为成员的绿色金融工作领导小组，作为全行绿色金融、</w:t>
      </w:r>
      <w:r>
        <w:rPr>
          <w:rFonts w:hint="eastAsia" w:ascii="Times New Roman" w:hAnsi="Times New Roman" w:eastAsia="仿宋_GB2312" w:cs="Times New Roman"/>
          <w:sz w:val="28"/>
          <w:szCs w:val="28"/>
          <w:lang w:val="en-US" w:eastAsia="zh-CN"/>
        </w:rPr>
        <w:t>生物多样性</w:t>
      </w:r>
      <w:r>
        <w:rPr>
          <w:rFonts w:hint="default" w:ascii="Times New Roman" w:hAnsi="Times New Roman" w:eastAsia="仿宋_GB2312" w:cs="Times New Roman"/>
          <w:sz w:val="28"/>
          <w:szCs w:val="28"/>
          <w:lang w:val="en-US" w:eastAsia="zh-CN"/>
        </w:rPr>
        <w:t>金融</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蓝色金融及自然相关风险管理的统筹协调机构。领导小组下设办公室，挂靠公司金融部，负责日常工作的组织协调。</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w:t>
      </w:r>
      <w:r>
        <w:rPr>
          <w:rFonts w:hint="eastAsia" w:ascii="Times New Roman" w:hAnsi="Times New Roman" w:eastAsia="楷体" w:cs="Times New Roman"/>
          <w:b/>
          <w:bCs/>
          <w:sz w:val="28"/>
          <w:szCs w:val="28"/>
          <w:lang w:val="en-US" w:eastAsia="zh-CN"/>
        </w:rPr>
        <w:t>二</w:t>
      </w:r>
      <w:r>
        <w:rPr>
          <w:rFonts w:hint="default" w:ascii="Times New Roman" w:hAnsi="Times New Roman" w:eastAsia="楷体" w:cs="Times New Roman"/>
          <w:b/>
          <w:bCs/>
          <w:sz w:val="28"/>
          <w:szCs w:val="28"/>
          <w:lang w:val="en-US" w:eastAsia="zh-CN"/>
        </w:rPr>
        <w:t>）利益相关方参与</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按照TNFD框架治理支柱披露建议的要求，构建了与政府机构及监管部门、股东、客户、内部员工、社区及社会公众等核心利益相关方的常态化沟通与协作机制，将自然相关风险防控与机遇挖掘深度融入经营决策各环节，广泛凝聚各方力量参与自然相关管理工作。</w:t>
      </w:r>
    </w:p>
    <w:tbl>
      <w:tblPr>
        <w:tblStyle w:val="6"/>
        <w:tblW w:w="92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6" w:hRule="atLeast"/>
          <w:jc w:val="center"/>
        </w:trPr>
        <w:tc>
          <w:tcPr>
            <w:tcW w:w="9200" w:type="dxa"/>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drawing>
                <wp:inline distT="0" distB="0" distL="114300" distR="114300">
                  <wp:extent cx="4481830" cy="3361690"/>
                  <wp:effectExtent l="0" t="0" r="1270" b="3810"/>
                  <wp:docPr id="3" name="图片 3" descr="福建莆田农村商业银行2025年度TNFD报告修订建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福建莆田农村商业银行2025年度TNFD报告修订建议"/>
                          <pic:cNvPicPr>
                            <a:picLocks noChangeAspect="1"/>
                          </pic:cNvPicPr>
                        </pic:nvPicPr>
                        <pic:blipFill>
                          <a:blip r:embed="rId6"/>
                          <a:stretch>
                            <a:fillRect/>
                          </a:stretch>
                        </pic:blipFill>
                        <pic:spPr>
                          <a:xfrm>
                            <a:off x="0" y="0"/>
                            <a:ext cx="4481830" cy="336169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9200" w:type="dxa"/>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1"/>
                <w:szCs w:val="21"/>
                <w:vertAlign w:val="baseline"/>
                <w:lang w:val="en-US" w:eastAsia="zh-CN"/>
              </w:rPr>
            </w:pPr>
            <w:r>
              <w:rPr>
                <w:rFonts w:hint="eastAsia" w:ascii="Times New Roman" w:hAnsi="Times New Roman" w:eastAsia="仿宋_GB2312" w:cs="Times New Roman"/>
                <w:b/>
                <w:bCs/>
                <w:sz w:val="21"/>
                <w:szCs w:val="21"/>
                <w:vertAlign w:val="baseline"/>
                <w:lang w:val="en-US" w:eastAsia="zh-CN"/>
              </w:rPr>
              <w:t>图1  莆田农商银行自然相关利益相关方参与示意图</w:t>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高度重视声誉管理与品牌建设，把与利益相关方的有效沟通作为防范声誉风险、维护品牌形象的重要抓手，通过公开透明的信息披露和负责任的社会形象，持续增进各方对本行的信任与认可，稳步推进自身向“生态友好的本土特色银行”方向发展升级。</w:t>
      </w:r>
    </w:p>
    <w:tbl>
      <w:tblPr>
        <w:tblStyle w:val="5"/>
        <w:tblW w:w="86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7"/>
        <w:gridCol w:w="75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blHeader/>
          <w:jc w:val="center"/>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利益相关方</w:t>
            </w:r>
          </w:p>
        </w:tc>
        <w:tc>
          <w:tcPr>
            <w:tcW w:w="7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参与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政府机构及监管部门</w:t>
            </w:r>
          </w:p>
        </w:tc>
        <w:tc>
          <w:tcPr>
            <w:tcW w:w="7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本行定期向政府部门、金融监管部门汇报绿色金融、蓝色金融及自然相关风险管理工作，主动参与地方生态保护与海洋经济发展规划部署，积极落实监管机构提出的政策建议和要求。通过常态化监管沟通及时掌握政策导向、校准管理方向，以合规稳健的经营表现和主动担当的社会责任形象，巩固监管信任，维护良好监管声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股东</w:t>
            </w:r>
          </w:p>
        </w:tc>
        <w:tc>
          <w:tcPr>
            <w:tcW w:w="7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本行积极听取股东关于绿色金融、蓝色金融创新的合理化建议，凝聚生态金融发展共识。以实打实的绿色经营业绩与清晰的转型路径，持续增进股东对本行绿色可持续发展的认可度与信心，构建“资本赋能生态、生态反哺资本”的共赢格局，以良好的经营质效和品牌形象保障股东权益、维护股东声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客户</w:t>
            </w:r>
          </w:p>
        </w:tc>
        <w:tc>
          <w:tcPr>
            <w:tcW w:w="7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本行积极创新绿色金融、蓝色金融产品与服务，全力支持客户在生物多样性保护、海洋生态养殖、生态产品价值实现等领域开展项目与经营活动，促进生态保护与产业发展协同共进。同时，将环保合规与生态友好要求嵌入客户准入、授信审批与贷后管理全流程，引导客户绿色转型，在服务客户高质量发展的同时，防范客户环境风险对本行声誉的传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内部员工</w:t>
            </w:r>
          </w:p>
        </w:tc>
        <w:tc>
          <w:tcPr>
            <w:tcW w:w="7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本行将绿色发展理念融入经营管理各环节，建立跨部门绿色金融工作协调机制，明确各岗位在环境风险管控、绿色产品创新、生态信息披露中的职责。加强员工绿色金融与声誉风险管理培训，普及生态保护政策与绿色金融知识，提升全员环境风险识别与管控能力，将绿色金融成效纳入绩效考核体系，激励员工以规范履职和优质服务共同守护本行声誉与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社区及社会公众</w:t>
            </w:r>
          </w:p>
        </w:tc>
        <w:tc>
          <w:tcPr>
            <w:tcW w:w="7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本行立足本土金融机构定位，积极践行社会责任，深度参与乡村生态振兴与社区生态治理，通过金融知识普及、绿色信贷宣传、生态保护公益活动等形式，加强与社区及社会公众的沟通互动，主动回应社会关切。以负责任的社会形象赢得公众口碑与信任，防范化解潜在声誉风险，营造支持本行可持续发展的良好社会氛围。</w:t>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0"/>
        <w:rPr>
          <w:rFonts w:hint="default" w:ascii="Times New Roman" w:hAnsi="Times New Roman" w:eastAsia="仿宋_GB2312" w:cs="Times New Roman"/>
          <w:sz w:val="28"/>
          <w:szCs w:val="28"/>
          <w:lang w:val="en-US" w:eastAsia="zh-CN"/>
        </w:rPr>
      </w:pPr>
      <w:r>
        <w:rPr>
          <w:rFonts w:hint="default" w:ascii="Times New Roman" w:hAnsi="Times New Roman" w:eastAsia="黑体" w:cs="Times New Roman"/>
          <w:sz w:val="28"/>
          <w:szCs w:val="28"/>
          <w:lang w:val="en-US" w:eastAsia="zh-CN"/>
        </w:rPr>
        <w:t>四、战略与自然相关性</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本行坚持以服务地方生态文明建设为己任，将自然相关因素纳入全行发展战略，深度融合莆田</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山海兼备、林水相依</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的生态禀赋特征，构建了以蓝色金融为特色、绿色金融为支撑的可持续金融发展战略。本行采用TNFD推荐的LEAP评估方法，系统开展自然相关风险与机遇评估，全面识别业务活动与自然生态系统的交互关系，科学评估对自然的依赖与影响，深入分析自然相关风险与机遇对业务发展的潜在影响。</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highlight w:val="none"/>
          <w:lang w:val="en-US" w:eastAsia="zh-CN"/>
        </w:rPr>
      </w:pPr>
      <w:r>
        <w:rPr>
          <w:rFonts w:hint="default" w:ascii="Times New Roman" w:hAnsi="Times New Roman" w:eastAsia="楷体" w:cs="Times New Roman"/>
          <w:b/>
          <w:bCs/>
          <w:sz w:val="28"/>
          <w:szCs w:val="28"/>
          <w:highlight w:val="none"/>
          <w:lang w:val="en-US" w:eastAsia="zh-CN"/>
        </w:rPr>
        <w:t>（一）LEAP评估：Locate定位分析</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莆田市地处福建省沿海中部，台湾海峡西岸，市域面积4200平方公里，海域面积1.1万平方公里，海岸线总长336公里。莆田市生态类型丰富多样，拥有山地森林、河流水系、滨海湿地、浅海滩涂、海岛海洋等多种生态系统，生物多样性资源丰富，生态区位十分重要。</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1.</w:t>
      </w:r>
      <w:r>
        <w:rPr>
          <w:rFonts w:hint="default" w:ascii="Times New Roman" w:hAnsi="Times New Roman" w:eastAsia="仿宋_GB2312" w:cs="Times New Roman"/>
          <w:b/>
          <w:bCs/>
          <w:sz w:val="28"/>
          <w:szCs w:val="28"/>
          <w:lang w:val="en-US" w:eastAsia="zh-CN"/>
        </w:rPr>
        <w:t>陆地生态系统</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木兰溪流域生态系统。木兰溪是莆田的</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母亲河</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干流全长105公里，流域面积1732平方公里，贯穿莆田市核心区域。木兰溪源省级自然保护区位于流域上游，总面积18025公顷，森林覆盖率达97.9%，主要保护中南北亚热带过渡地带山地森林生态系统、珍稀濒危野生动植物及其栖息地、水源涵养林。保护区内分布有南方红豆杉、伯乐树等国家一级保护植物，以及云豹、蟒蛇等国家一级保护动物，是莆田市重要的生态屏障和生物基因库。</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木兰溪口湿地生态系统。木兰溪入海口形成的河口湿地是福建省重要湿地，总面积514.196公顷，是东亚-澳大利西亚候鸟迁徙通道上的重要驿站。目前已记录鸟类110种，其中珍稀濒危鸟类17种，包括黑脸琵鹭、黑嘴鸥、黄嘴白鹭等国家重点保护鸟类。湿地内分布有秋茄、白骨壤、桐花树等红树植物，是福建省重要的红树林分布区之一。</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荔枝林生态系统。莆田是著名的</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荔城</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，拥有独特的荔枝林生态景观。东阳村、北大村等村落保存有1500多棵百年以上树龄的古荔枝树，形成了</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荔林水乡</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的独特生态风貌。古荔枝林不仅具有重要的经济价值，更承载着丰富的历史文化价值和生态价值，是莆田城市生态系统的重要组成部分。</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生态绿心。莆田市中心城区规划有65平方公里的生态绿心，是城市重要的生态隔离带和生态功能区，涵盖荔枝林、河网水系、农田等多种生态要素，承担着城市生态调节、生物多样性维持、休闲游憩等重要功能。</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2.</w:t>
      </w:r>
      <w:r>
        <w:rPr>
          <w:rFonts w:hint="default" w:ascii="Times New Roman" w:hAnsi="Times New Roman" w:eastAsia="仿宋_GB2312" w:cs="Times New Roman"/>
          <w:b/>
          <w:bCs/>
          <w:sz w:val="28"/>
          <w:szCs w:val="28"/>
          <w:lang w:val="en-US" w:eastAsia="zh-CN"/>
        </w:rPr>
        <w:t>海洋生态系统</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兴化湾与湄洲湾。莆田市拥有兴化湾、湄洲湾两大海湾，是福建省重要的海湾生态系统。海湾内分布有红树林、滩涂、浅海等多种海洋生境，是重要的海洋生物产卵场、索饵场和越冬场。近年来，莆田市大力推进红树林保护修复工程，在兴化湾、湄洲湾沿岸营造和修复红树林，有效改善了海湾生态环境。</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南日岛海洋生态系统。南日岛是莆田市第一大岛，也是福建省第三大岛，周边海域水质优良，海洋生物资源丰富。南日岛周边海域是国家级海洋牧场示范区，发展有鲍鱼养殖、深水网箱养殖、藻类养殖等多种海洋养殖产业，盛产鲍鱼、海带、紫菜、缢蛏、花蛤、星虫等特色海产品。</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三江口咸淡水交汇生态。木兰溪、延寿溪、萩芦溪三条河流在三江口汇入兴化湾，形成独特的咸淡水交汇生态系统。三江口地区有600余年缢蛏养殖历史，是莆田传统的海水养殖区，独特的咸淡水交汇环境孕育了品质优良的缢蛏等特色海产。</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红树林生态系统。莆田市沿海分布有秋茄、白骨壤、桐花树等红树植物，主要分布在木兰溪口、兴化湾北岸等地。红树林作为</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海岸卫士</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，具有防风消浪、促淤造陆、净化水质、维持生物多样性等重要生态功能，是海洋生态系统的重要组成部分。</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3.本行业务分布概述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作为本土法人银行，授信业务高度集中于莆田市行政区域内，主要覆盖莆田市下辖的荔城区、城厢区、涵江区、秀屿区、湄洲岛国家旅游度假区、北岸经济开发区。从空间分布看，本行授信业务呈现以下特征：一是沿海区域集中。秀屿区、北岸开发区、涵江区等沿海区域授信占比较高，主要服务海洋渔业、临港产业、滨海旅游等海洋经济领域。其中，南日岛、湄洲岛等海岛地区是本行蓝色金融服务的重点区域。二是流域沿线分布。木兰溪干流沿线的城厢区、荔城区、涵江区授信分布密集，服务制造业、农业、商贸业等多元产业。三是产业集群集聚。制鞋产业集中的荔城区、涵江区，水产养殖集中的秀屿区南日岛、平海镇，是本行授信业务的集中分布区。</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（二）LEAP评估：Evaluate依赖与影响评估</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1.对自然的依赖和影响评估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基于Locate阶段的空间定位结果，本行进一步分行业评估</w:t>
      </w:r>
      <w:r>
        <w:rPr>
          <w:rFonts w:hint="eastAsia" w:ascii="Times New Roman" w:hAnsi="Times New Roman" w:eastAsia="仿宋_GB2312" w:cs="Times New Roman"/>
          <w:sz w:val="28"/>
          <w:szCs w:val="28"/>
          <w:lang w:val="en-US" w:eastAsia="zh-CN"/>
        </w:rPr>
        <w:t>本行</w:t>
      </w:r>
      <w:r>
        <w:rPr>
          <w:rFonts w:hint="default" w:ascii="Times New Roman" w:hAnsi="Times New Roman" w:eastAsia="仿宋_GB2312" w:cs="Times New Roman"/>
          <w:sz w:val="28"/>
          <w:szCs w:val="28"/>
          <w:lang w:val="en-US" w:eastAsia="zh-CN"/>
        </w:rPr>
        <w:t>业务对自然的依赖程度与影响程度。依赖评估主要分析各行业经营活动对生态系统服务的依赖程度，即自然退化可能对行业经营产生的影响；影响评估主要分析各行业经营活动对生态系统和生物多样性的负面影响程度，即行业经营可能对自然造成的损害。</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b/>
          <w:bCs/>
          <w:sz w:val="28"/>
          <w:szCs w:val="28"/>
          <w:lang w:val="en-US" w:eastAsia="zh-CN"/>
        </w:rPr>
        <w:t>（1）对自然的依赖评估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我行结合商业模式与价值链定位与自然相关的关键连接点，并对自然相关依赖开展评价分析。基于我行信贷资产结构，结合行业对自然生态系统依赖程度，选取农、林、牧、渔业，制造业，批发和零售业，住宿和餐饮业，建筑业等重点一级行业及其下29个二级行业进行依赖评估。本报告运用ENCODE（Exploring Natural Capital Opportunities, Risks and Exposure）工具，系统评估上述行业的经济活动对自然生态系统的依赖，具体结果如下。</w:t>
      </w:r>
    </w:p>
    <w:p>
      <w:pPr>
        <w:keepNext w:val="0"/>
        <w:keepLines w:val="0"/>
        <w:pageBreakBefore w:val="0"/>
        <w:widowControl/>
        <w:kinsoku/>
        <w:wordWrap/>
        <w:overflowPunct/>
        <w:topLinePunct w:val="0"/>
        <w:autoSpaceDE/>
        <w:autoSpaceDN/>
        <w:bidi w:val="0"/>
        <w:adjustRightInd/>
        <w:snapToGrid/>
        <w:spacing w:line="500" w:lineRule="exact"/>
        <w:ind w:left="0" w:firstLine="560" w:firstLineChars="200"/>
        <w:jc w:val="both"/>
        <w:textAlignment w:val="auto"/>
        <w:rPr>
          <w:rFonts w:hint="eastAsia" w:ascii="仿宋_GB2312" w:hAnsi="仿宋_GB2312" w:eastAsia="仿宋_GB2312" w:cs="仿宋_GB2312"/>
          <w:kern w:val="0"/>
          <w:sz w:val="28"/>
          <w:szCs w:val="28"/>
        </w:rPr>
      </w:pPr>
      <w:r>
        <w:rPr>
          <w:rFonts w:hint="default" w:ascii="Times New Roman" w:hAnsi="Times New Roman" w:eastAsia="仿宋_GB2312" w:cs="Times New Roman"/>
          <w:sz w:val="28"/>
          <w:szCs w:val="28"/>
          <w:lang w:val="en-US" w:eastAsia="zh-CN"/>
        </w:rPr>
        <w:t>下表列示我行选取的29个二级行业对12项关键生态系统服务（降雨模式调节、气候调节、土壤与沉积物维持、生物防治、固体废物修复、风暴减缓、供水、空气过滤、水净化服务、水流调节、洪水缓解、噪音减弱）的依赖程度评级。其中，VH表示非常高度依赖，H表示高度依赖，M表示中度依赖，L表示低度依赖，VL表示非常低度依赖，“/”表示不涉及或无数据。</w:t>
      </w:r>
    </w:p>
    <w:tbl>
      <w:tblPr>
        <w:tblStyle w:val="5"/>
        <w:tblW w:w="10934" w:type="dxa"/>
        <w:jc w:val="center"/>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Layout w:type="autofit"/>
        <w:tblCellMar>
          <w:top w:w="0" w:type="dxa"/>
          <w:left w:w="10" w:type="dxa"/>
          <w:bottom w:w="0" w:type="dxa"/>
          <w:right w:w="10" w:type="dxa"/>
        </w:tblCellMar>
      </w:tblPr>
      <w:tblGrid>
        <w:gridCol w:w="1143"/>
        <w:gridCol w:w="2883"/>
        <w:gridCol w:w="579"/>
        <w:gridCol w:w="579"/>
        <w:gridCol w:w="579"/>
        <w:gridCol w:w="579"/>
        <w:gridCol w:w="579"/>
        <w:gridCol w:w="579"/>
        <w:gridCol w:w="551"/>
        <w:gridCol w:w="579"/>
        <w:gridCol w:w="564"/>
        <w:gridCol w:w="580"/>
        <w:gridCol w:w="580"/>
        <w:gridCol w:w="580"/>
      </w:tblGrid>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589" w:hRule="atLeast"/>
          <w:tblHeader/>
          <w:jc w:val="center"/>
        </w:trPr>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一级行业</w:t>
            </w: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二级行业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降雨调节</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气候调节</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土壤保持</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生物防治</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固废修复</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风暴减缓</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供水</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空气过滤</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水净化</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水流调节</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洪水缓解</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噪音减弱</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restart"/>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b/>
                <w:kern w:val="0"/>
                <w:sz w:val="24"/>
                <w:szCs w:val="24"/>
              </w:rPr>
              <w:t>农、林、牧、渔业</w:t>
            </w: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农业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316"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农、林、牧、渔专业及辅助性活动</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林业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渔业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畜牧业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restart"/>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b/>
                <w:kern w:val="0"/>
                <w:sz w:val="24"/>
                <w:szCs w:val="24"/>
              </w:rPr>
              <w:t>制造业</w:t>
            </w: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农副食品加工业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食品制造业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其他制造业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316"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皮革、毛皮、羽毛及其制品和制鞋业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316"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有色金属冶炼和压延加工业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非金属矿物制品业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金属制品业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316"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木材加工和木、竹、藤、棕、草制品业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纺织服装、服饰业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316"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文教、工美、体育和娱乐用品制造业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家具制造业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造纸和纸制品业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纺织业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316"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计算机、通信和其他电子设备制造业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通用设备制造业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橡胶和塑料制品业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restart"/>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b/>
                <w:kern w:val="0"/>
                <w:sz w:val="24"/>
                <w:szCs w:val="24"/>
              </w:rPr>
              <w:t>批发和零售业</w:t>
            </w: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零售业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批发业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restart"/>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b/>
                <w:kern w:val="0"/>
                <w:sz w:val="24"/>
                <w:szCs w:val="24"/>
              </w:rPr>
              <w:t>住宿和餐饮业</w:t>
            </w:r>
          </w:p>
        </w:tc>
        <w:tc>
          <w:tcPr>
            <w:tcW w:w="288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住宿业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餐饮业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restart"/>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b/>
                <w:kern w:val="0"/>
                <w:sz w:val="24"/>
                <w:szCs w:val="24"/>
              </w:rPr>
              <w:t>建筑业</w:t>
            </w:r>
          </w:p>
        </w:tc>
        <w:tc>
          <w:tcPr>
            <w:tcW w:w="2883"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土木工程建筑业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0"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房屋建筑业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316" w:hRule="atLeast"/>
          <w:tblHeader/>
          <w:jc w:val="center"/>
        </w:trPr>
        <w:tc>
          <w:tcPr>
            <w:tcW w:w="0" w:type="auto"/>
            <w:vMerge w:val="continue"/>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建筑装饰、装修和其他建筑业</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r>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85" w:hRule="atLeast"/>
          <w:tblHeader/>
          <w:jc w:val="center"/>
        </w:trPr>
        <w:tc>
          <w:tcPr>
            <w:tcW w:w="1143" w:type="dxa"/>
            <w:vMerge w:val="continue"/>
            <w:tcBorders>
              <w:left w:val="single" w:color="auto" w:sz="4" w:space="0"/>
              <w:bottom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p>
        </w:tc>
        <w:tc>
          <w:tcPr>
            <w:tcW w:w="2883"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建筑安装业</w:t>
            </w:r>
          </w:p>
        </w:tc>
        <w:tc>
          <w:tcPr>
            <w:tcW w:w="579"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579"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579"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79"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579"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579"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51"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579"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564"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58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r>
    </w:tbl>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综合各行业信贷资产余额以及生态系统服务依赖性程度的分布结果来看，研究样本内的信贷资产对“洪水缓解服务”“风暴减缓服务”“土壤与沉积物维持”“水净化服务”“供水”等关键生态系统服务具有较高的依赖性，上述服务主要支撑了农林牧渔业的生产基础等基础设施建设的抗灾能力以及相关产业的水资源保障。</w:t>
      </w:r>
    </w:p>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在二级行业生态系统服务依赖性评估方面，我行采用赋值法计算各二级行业依赖总分值：对12项关键生态系统服务按VH=5、H=4、M=3、L=2、VL=1赋分并求和（满分60分），不涉及或无数据的服务不计分。经测算，各二级行业依赖强度排序如下图所示。</w:t>
      </w:r>
    </w:p>
    <w:tbl>
      <w:tblPr>
        <w:tblStyle w:val="6"/>
        <w:tblW w:w="92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6" w:hRule="atLeast"/>
          <w:jc w:val="center"/>
        </w:trPr>
        <w:tc>
          <w:tcPr>
            <w:tcW w:w="9200" w:type="dxa"/>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drawing>
                <wp:inline distT="0" distB="0" distL="114300" distR="114300">
                  <wp:extent cx="5689600" cy="3204210"/>
                  <wp:effectExtent l="0" t="0" r="0" b="8890"/>
                  <wp:docPr id="5" name="图片 5" descr="128e3fc056d384a50eead2240e0251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28e3fc056d384a50eead2240e0251a0"/>
                          <pic:cNvPicPr>
                            <a:picLocks noChangeAspect="1"/>
                          </pic:cNvPicPr>
                        </pic:nvPicPr>
                        <pic:blipFill>
                          <a:blip r:embed="rId7"/>
                          <a:stretch>
                            <a:fillRect/>
                          </a:stretch>
                        </pic:blipFill>
                        <pic:spPr>
                          <a:xfrm>
                            <a:off x="0" y="0"/>
                            <a:ext cx="5689600" cy="32042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9200" w:type="dxa"/>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1"/>
                <w:szCs w:val="21"/>
                <w:vertAlign w:val="baseline"/>
                <w:lang w:val="en-US" w:eastAsia="zh-CN"/>
              </w:rPr>
            </w:pPr>
            <w:r>
              <w:rPr>
                <w:rFonts w:hint="eastAsia" w:ascii="Times New Roman" w:hAnsi="Times New Roman" w:eastAsia="仿宋_GB2312" w:cs="Times New Roman"/>
                <w:b/>
                <w:bCs/>
                <w:sz w:val="21"/>
                <w:szCs w:val="21"/>
                <w:vertAlign w:val="baseline"/>
                <w:lang w:val="en-US" w:eastAsia="zh-CN"/>
              </w:rPr>
              <w:t>图2  莆田农商银行29个二级行业对生态系统的依赖强度</w:t>
            </w:r>
          </w:p>
        </w:tc>
      </w:tr>
    </w:tbl>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经测算，自然相关高依赖行业为农业、林业、渔业、畜牧业、农、林、牧、渔专业及辅助性活动、住宿业，上述行业的经营活动高度或非常高度依赖于一种或多种生态系统服务，尤其表现为对“气候调节”“降雨模式调节服务”“土壤与沉积物维持”“供水”“水净化服务”的高度依赖。其中，农业、林业、渔业、畜牧业及农林牧渔专业及辅助性活动构成我行涉农信贷投向的主要自然依赖敞口，其生产活动对气候、水土、生物多样性等自然条件高度敏感；住宿业（主要对应文旅及住宿设施运营）对“休闲相关服务”“视觉景观服务”“精神、艺术和象征类服务”等文化调节服务依赖突出，契合莆田湄洲岛、木兰溪流域等区域文旅生态禀赋。</w:t>
      </w:r>
    </w:p>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土木工程建筑业、房屋建筑业、农副食品加工业、食品制造业、其他制造业等行业的依赖强度处于中高水平，主要依赖“土壤与沉积物维持”“防洪服务”“供水”“水净化服务”等调节与供给服务；批发业、零售业及多数消费品制造业的依赖强度整体较低，主要体现为对“供水”“洪水缓解”等基础服务的间接依赖。</w:t>
      </w:r>
    </w:p>
    <w:p>
      <w:pPr>
        <w:keepNext w:val="0"/>
        <w:keepLines w:val="0"/>
        <w:pageBreakBefore w:val="0"/>
        <w:widowControl/>
        <w:kinsoku/>
        <w:wordWrap/>
        <w:overflowPunct/>
        <w:topLinePunct w:val="0"/>
        <w:autoSpaceDE/>
        <w:autoSpaceDN/>
        <w:bidi w:val="0"/>
        <w:adjustRightInd/>
        <w:snapToGrid/>
        <w:spacing w:line="500" w:lineRule="exact"/>
        <w:ind w:left="0" w:firstLine="562" w:firstLineChars="200"/>
        <w:jc w:val="both"/>
        <w:textAlignment w:val="auto"/>
        <w:outlineLvl w:val="2"/>
        <w:rPr>
          <w:rFonts w:hint="eastAsia" w:ascii="Times New Roman" w:hAnsi="Times New Roman" w:eastAsia="仿宋_GB2312" w:cs="Times New Roman"/>
          <w:b/>
          <w:bCs/>
          <w:kern w:val="2"/>
          <w:sz w:val="28"/>
          <w:szCs w:val="28"/>
        </w:rPr>
      </w:pPr>
      <w:r>
        <w:rPr>
          <w:rFonts w:hint="eastAsia" w:ascii="Times New Roman" w:hAnsi="Times New Roman" w:eastAsia="仿宋_GB2312" w:cs="Times New Roman"/>
          <w:b/>
          <w:bCs/>
          <w:kern w:val="2"/>
          <w:sz w:val="28"/>
          <w:szCs w:val="28"/>
          <w:lang w:val="en-US" w:eastAsia="zh-CN"/>
        </w:rPr>
        <w:t>（2）对自然的影响评估</w:t>
      </w:r>
    </w:p>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贷款投向的行业差异决定了投融资活动对自然环境影响的类型与程度。</w:t>
      </w:r>
      <w:r>
        <w:rPr>
          <w:rFonts w:hint="eastAsia" w:ascii="仿宋_GB2312" w:hAnsi="仿宋_GB2312" w:eastAsia="仿宋_GB2312" w:cs="仿宋_GB2312"/>
          <w:kern w:val="0"/>
          <w:sz w:val="28"/>
          <w:szCs w:val="28"/>
          <w:lang w:val="en-US" w:eastAsia="zh-CN"/>
        </w:rPr>
        <w:t>根据</w:t>
      </w:r>
      <w:r>
        <w:rPr>
          <w:rFonts w:hint="eastAsia" w:ascii="仿宋_GB2312" w:hAnsi="仿宋_GB2312" w:eastAsia="仿宋_GB2312" w:cs="仿宋_GB2312"/>
          <w:kern w:val="0"/>
          <w:sz w:val="28"/>
          <w:szCs w:val="28"/>
        </w:rPr>
        <w:t>我行信贷资金投向行业</w:t>
      </w:r>
      <w:r>
        <w:rPr>
          <w:rFonts w:hint="eastAsia" w:ascii="仿宋_GB2312" w:hAnsi="仿宋_GB2312" w:eastAsia="仿宋_GB2312" w:cs="仿宋_GB2312"/>
          <w:kern w:val="0"/>
          <w:sz w:val="28"/>
          <w:szCs w:val="28"/>
          <w:lang w:val="en-US" w:eastAsia="zh-CN"/>
        </w:rPr>
        <w:t>评估</w:t>
      </w:r>
      <w:r>
        <w:rPr>
          <w:rFonts w:hint="eastAsia" w:ascii="仿宋_GB2312" w:hAnsi="仿宋_GB2312" w:eastAsia="仿宋_GB2312" w:cs="仿宋_GB2312"/>
          <w:kern w:val="0"/>
          <w:sz w:val="28"/>
          <w:szCs w:val="28"/>
        </w:rPr>
        <w:t>对自然生态系统产生的直接影响，识别高影响行业与关键影响因子。</w:t>
      </w:r>
    </w:p>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运用ENCODE工具对经济活动施加于自然的环境压力进行评估，涵盖干扰活动（噪音、光线）、淡水使用、温室气体排放、非温室气体空气污染物排放、有毒污染物水土排放、营养污染物水土排放、固体废物产生排放、土地利用、水资源利用、入侵物种引入等10项关键影响因素（以下统称“自然相关影响因子”），具体结果如下。</w:t>
      </w:r>
    </w:p>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下表列示我行选取的29个二级行业对10项自然相关影响因子的影响程度评级。其中，VH表示影响程度非常高，H表示高，M表示中，L表示低，VL表示非常低，“/”表示不涉及或无数据。</w:t>
      </w:r>
    </w:p>
    <w:tbl>
      <w:tblPr>
        <w:tblStyle w:val="5"/>
        <w:tblW w:w="10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066"/>
        <w:gridCol w:w="3274"/>
        <w:gridCol w:w="651"/>
        <w:gridCol w:w="651"/>
        <w:gridCol w:w="651"/>
        <w:gridCol w:w="651"/>
        <w:gridCol w:w="651"/>
        <w:gridCol w:w="651"/>
        <w:gridCol w:w="651"/>
        <w:gridCol w:w="651"/>
        <w:gridCol w:w="651"/>
        <w:gridCol w:w="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一级行业</w:t>
            </w: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二级行业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噪音、光线</w:t>
            </w:r>
            <w:r>
              <w:rPr>
                <w:rFonts w:hint="eastAsia" w:ascii="仿宋_GB2312" w:hAnsi="仿宋_GB2312" w:eastAsia="仿宋_GB2312" w:cs="仿宋_GB2312"/>
                <w:b/>
                <w:kern w:val="0"/>
                <w:sz w:val="24"/>
                <w:szCs w:val="24"/>
                <w:lang w:val="en-US" w:eastAsia="zh-CN"/>
              </w:rPr>
              <w:t>等</w:t>
            </w:r>
            <w:r>
              <w:rPr>
                <w:rFonts w:hint="eastAsia" w:ascii="仿宋_GB2312" w:hAnsi="仿宋_GB2312" w:eastAsia="仿宋_GB2312" w:cs="仿宋_GB2312"/>
                <w:b/>
                <w:kern w:val="0"/>
                <w:sz w:val="24"/>
                <w:szCs w:val="24"/>
              </w:rPr>
              <w:t>干扰</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淡水使用</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温室气体排放</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非温室气体空气污染</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有毒污染物水土排放</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营养污染物水土排放</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固体废物产生排放</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土地利用</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水资源利用</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入侵物种引入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restart"/>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b/>
                <w:kern w:val="0"/>
                <w:sz w:val="24"/>
                <w:szCs w:val="24"/>
              </w:rPr>
              <w:t>农、林、牧、渔业</w:t>
            </w: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农业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畜牧业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农、林、牧、渔专业及辅助性活动</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林业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渔业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restart"/>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b/>
                <w:kern w:val="0"/>
                <w:sz w:val="24"/>
                <w:szCs w:val="24"/>
              </w:rPr>
              <w:t>制造业</w:t>
            </w: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非金属矿物制品业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有色金属冶炼和压延加工业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农副食品加工业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皮革、毛皮、羽毛及其制品和制鞋业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造纸和纸制品业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纺织业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家具制造业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其他制造业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计算机、通信和其他电子设备制造业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木材加工和木、竹、藤、棕、草制品业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橡胶和塑料制品业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文教、工美、体育和娱乐用品制造业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金属制品业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纺织服装、服饰业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食品制造业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通用设备制造业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restart"/>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b/>
                <w:kern w:val="0"/>
                <w:sz w:val="24"/>
                <w:szCs w:val="24"/>
              </w:rPr>
              <w:t>批发和零售业</w:t>
            </w: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批发业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零售业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restart"/>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b/>
                <w:kern w:val="0"/>
                <w:sz w:val="24"/>
                <w:szCs w:val="24"/>
              </w:rPr>
              <w:t>住宿和餐饮业</w:t>
            </w: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住宿业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餐饮业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restart"/>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b/>
                <w:kern w:val="0"/>
                <w:sz w:val="24"/>
                <w:szCs w:val="24"/>
              </w:rPr>
              <w:t>建筑业</w:t>
            </w: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土木工程建筑业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房屋建筑业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建筑装饰、装修和其他建筑业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VH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H</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066" w:type="dxa"/>
            <w:vMerge w:val="continue"/>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p>
        </w:tc>
        <w:tc>
          <w:tcPr>
            <w:tcW w:w="3274"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建筑安装业</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M</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1"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c>
          <w:tcPr>
            <w:tcW w:w="655" w:type="dxa"/>
            <w:tcMar>
              <w:top w:w="60" w:type="dxa"/>
              <w:left w:w="120" w:type="dxa"/>
              <w:bottom w:w="30" w:type="dxa"/>
              <w:right w:w="120" w:type="dxa"/>
            </w:tcMar>
            <w:vAlign w:val="center"/>
          </w:tcPr>
          <w:p>
            <w:pPr>
              <w:keepNext/>
              <w:snapToGrid w:val="0"/>
              <w:spacing w:before="0" w:after="0" w:line="240" w:lineRule="auto"/>
              <w:ind w:left="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w:t>
            </w:r>
          </w:p>
        </w:tc>
      </w:tr>
    </w:tbl>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综合各行业信贷资产余额以及自然相关因素影响程度的分布结果来看，研究样本内的信贷资产对自然环境会产生一定影响，其中，“水资源利用”“温室气体排放”“非温室气体空气污染物排放”“有毒污染物水土排放”“干扰活动（噪音、光线）”是影响程度最大的5项影响因子，主要来源于农林牧渔业生产活动的资源消耗与污染排放，以及非金属矿物制品、有色金属冶炼等高耗能、高排放制造业的废气与污染物排放。</w:t>
      </w:r>
    </w:p>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在二级行业自然相关影响程度评估方面，我行采用赋值法计算各二级行业影响总分值：对10项自然相关影响因子按VH=5、H=4、M=3、L=2、VL=1赋分并求和（满分50分），不涉及或无数据的因子不计分。经测算，各二级行业影响强度排序如下图所示。</w:t>
      </w:r>
    </w:p>
    <w:tbl>
      <w:tblPr>
        <w:tblStyle w:val="5"/>
        <w:tblW w:w="92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6" w:hRule="atLeast"/>
          <w:jc w:val="center"/>
        </w:trPr>
        <w:tc>
          <w:tcPr>
            <w:tcW w:w="9200" w:type="dxa"/>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drawing>
                <wp:inline distT="0" distB="0" distL="114300" distR="114300">
                  <wp:extent cx="5691505" cy="3270885"/>
                  <wp:effectExtent l="0" t="0" r="10795" b="5715"/>
                  <wp:docPr id="8" name="图片 8" descr="75371cd5546e9d4bd5325bfb3b05b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5371cd5546e9d4bd5325bfb3b05be64"/>
                          <pic:cNvPicPr>
                            <a:picLocks noChangeAspect="1"/>
                          </pic:cNvPicPr>
                        </pic:nvPicPr>
                        <pic:blipFill>
                          <a:blip r:embed="rId8"/>
                          <a:stretch>
                            <a:fillRect/>
                          </a:stretch>
                        </pic:blipFill>
                        <pic:spPr>
                          <a:xfrm>
                            <a:off x="0" y="0"/>
                            <a:ext cx="5691505" cy="327088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9200" w:type="dxa"/>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1"/>
                <w:szCs w:val="21"/>
                <w:vertAlign w:val="baseline"/>
                <w:lang w:val="en-US" w:eastAsia="zh-CN"/>
              </w:rPr>
            </w:pPr>
            <w:r>
              <w:rPr>
                <w:rFonts w:hint="eastAsia" w:ascii="Times New Roman" w:hAnsi="Times New Roman" w:eastAsia="仿宋_GB2312" w:cs="Times New Roman"/>
                <w:b/>
                <w:bCs/>
                <w:sz w:val="21"/>
                <w:szCs w:val="21"/>
                <w:vertAlign w:val="baseline"/>
                <w:lang w:val="en-US" w:eastAsia="zh-CN"/>
              </w:rPr>
              <w:t>图3  莆田农商银行29个二级行业对生态系统的影响强度</w:t>
            </w:r>
          </w:p>
        </w:tc>
      </w:tr>
    </w:tbl>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u w:val="none"/>
        </w:rPr>
        <w:t>经测算，自然相关高影响行业为农业、林业、渔业、畜牧业、农、林、牧、渔专业及辅助性活动，上述行业的经营活动对自然环境造成高度或非常高度的影响，尤其表现为对“土地利用”“水资源利用”“非温室气体空气污染物排放”“有毒污染物水土</w:t>
      </w:r>
      <w:r>
        <w:rPr>
          <w:rFonts w:hint="eastAsia" w:ascii="仿宋_GB2312" w:hAnsi="仿宋_GB2312" w:eastAsia="仿宋_GB2312" w:cs="仿宋_GB2312"/>
          <w:kern w:val="0"/>
          <w:sz w:val="28"/>
          <w:szCs w:val="28"/>
        </w:rPr>
        <w:t>排放”“营养污染物水土排放”的高度影响。其中，农业、畜牧业及农林牧渔专业及辅助性活动的资源消耗与污染排放影响面最广，涉及土地、淡水、温室气体及多类污染排放；林业、渔业则对土地利用、淡水/海床使用及生物资源开采影响突出。非金属矿物制品业、土木工程建筑业、有色金属冶炼和压延加工业、房屋建筑业等行业的直接影响强度处于中高水平，主要体现在“非温室气体空气污染物排放”“有毒污染物水土排放”“温室气体排放”“干扰活动（噪音、光线）”等方面；批发业、零售业、住宿和餐饮业及多数消费品制造业的直接影响相对有限，主要通过价值链间接作用于自然。</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（3）</w:t>
      </w:r>
      <w:r>
        <w:rPr>
          <w:rFonts w:hint="default" w:ascii="Times New Roman" w:hAnsi="Times New Roman" w:eastAsia="仿宋_GB2312" w:cs="Times New Roman"/>
          <w:b/>
          <w:bCs/>
          <w:sz w:val="28"/>
          <w:szCs w:val="28"/>
          <w:lang w:val="en-US" w:eastAsia="zh-CN"/>
        </w:rPr>
        <w:t>行业依赖与影响综合评估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从评估结果可以看出，本行授信业务的自然相关风险呈现以下特征：综合本行各主要授信行业自然依赖、自然影响评估结果及贷款结构占比，本行授信业务自然相关风险整体结构清晰、层级分明，各行业风险特征差异化显著，具体综合特征如下：</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从贷款结构来看，本行授信资产结构高度集中于批发零售业，该行业贷款占比达60.32%，为第一大授信行业。其整体自然依赖度、自然影响度均为低-中等级，综合风险等级为中等，虽单户风险水平相对可控，但因其授信占比绝对偏高，是本行自然相关风险的核心基数板块。制鞋制造业、农林牧渔业为高风险特征代表行业。其中制鞋制造业贷款占比7.68%，自然依赖度为中等、自然影响度为高，综合风险等级中高，是本行生态环境负面影响最突出的行业；农林牧渔业贷款占比5.52%，自然依赖度为高、自然影响度为中等，综合风险等级同样为中高，是本行受自然生态条件约束最强的行业，两大行业共同构成本行自然相关重点风险领域。建筑业贷款占比2.57%，自然依赖度中低、自然影响度中高，综合风险为中等，整体风险敞口较小，主要存在工程施工环节的阶段性生态影响风险。其他行业贷款合计占比25.51%，自然依赖度、自然影响度均为低等级，综合风险等级低，整体生态风险基本可控。</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总体来看，本行自然相关风险呈现“大头基数可控、细分领域集中”的特征：主体授信资产（批发零售）风险平稳可控，中高风险主要集中于制鞋制造、农林牧渔业两大特色本土产业，风险板块清晰、集中度有限，无系统性、全域性自然相关风险，全行自然生态相关风险整体可控、风险底数稳健。</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2</w:t>
      </w:r>
      <w:r>
        <w:rPr>
          <w:rFonts w:hint="default" w:ascii="Times New Roman" w:hAnsi="Times New Roman" w:eastAsia="仿宋_GB2312" w:cs="Times New Roman"/>
          <w:b/>
          <w:bCs/>
          <w:sz w:val="28"/>
          <w:szCs w:val="28"/>
          <w:lang w:val="en-US" w:eastAsia="zh-CN"/>
        </w:rPr>
        <w:t xml:space="preserve">. </w:t>
      </w:r>
      <w:r>
        <w:rPr>
          <w:rFonts w:hint="eastAsia" w:ascii="Times New Roman" w:hAnsi="Times New Roman" w:eastAsia="仿宋_GB2312" w:cs="Times New Roman"/>
          <w:b/>
          <w:bCs/>
          <w:sz w:val="28"/>
          <w:szCs w:val="28"/>
          <w:lang w:val="en-US" w:eastAsia="zh-CN"/>
        </w:rPr>
        <w:t>识别与自然的关联</w:t>
      </w:r>
    </w:p>
    <w:p>
      <w:pPr>
        <w:keepNext w:val="0"/>
        <w:keepLines w:val="0"/>
        <w:pageBreakBefore w:val="0"/>
        <w:widowControl/>
        <w:kinsoku/>
        <w:wordWrap/>
        <w:overflowPunct/>
        <w:topLinePunct w:val="0"/>
        <w:autoSpaceDE/>
        <w:autoSpaceDN/>
        <w:bidi w:val="0"/>
        <w:adjustRightInd/>
        <w:snapToGrid/>
        <w:spacing w:line="500" w:lineRule="exact"/>
        <w:ind w:firstLine="562" w:firstLineChars="200"/>
        <w:jc w:val="both"/>
        <w:outlineLvl w:val="2"/>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（1）生态敏感性</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本行运用</w:t>
      </w:r>
      <w:r>
        <w:rPr>
          <w:rFonts w:hint="eastAsia" w:ascii="Times New Roman" w:hAnsi="Times New Roman" w:eastAsia="仿宋_GB2312" w:cs="Times New Roman"/>
          <w:sz w:val="28"/>
          <w:szCs w:val="28"/>
          <w:lang w:val="en-US" w:eastAsia="zh-CN"/>
        </w:rPr>
        <w:t>福建省</w:t>
      </w:r>
      <w:r>
        <w:rPr>
          <w:rFonts w:hint="default" w:ascii="Times New Roman" w:hAnsi="Times New Roman" w:eastAsia="仿宋_GB2312" w:cs="Times New Roman"/>
          <w:sz w:val="28"/>
          <w:szCs w:val="28"/>
          <w:lang w:val="en-US" w:eastAsia="zh-CN"/>
        </w:rPr>
        <w:t>生态环境分区管控平台</w:t>
      </w:r>
      <w:r>
        <w:rPr>
          <w:rFonts w:hint="eastAsia" w:ascii="Times New Roman" w:hAnsi="Times New Roman" w:eastAsia="仿宋_GB2312" w:cs="Times New Roman"/>
          <w:sz w:val="28"/>
          <w:szCs w:val="28"/>
          <w:lang w:val="en-US" w:eastAsia="zh-CN"/>
        </w:rPr>
        <w:t>（图4，绿色区域）</w:t>
      </w:r>
      <w:r>
        <w:rPr>
          <w:rFonts w:hint="default" w:ascii="Times New Roman" w:hAnsi="Times New Roman" w:eastAsia="仿宋_GB2312" w:cs="Times New Roman"/>
          <w:sz w:val="28"/>
          <w:szCs w:val="28"/>
          <w:lang w:val="en-US" w:eastAsia="zh-CN"/>
        </w:rPr>
        <w:t>，识别位于生态敏感区内及周边的授信客户，评估生态敏感区授信敞口。</w:t>
      </w:r>
    </w:p>
    <w:tbl>
      <w:tblPr>
        <w:tblStyle w:val="6"/>
        <w:tblW w:w="87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3" w:hRule="atLeast"/>
        </w:trPr>
        <w:tc>
          <w:tcPr>
            <w:tcW w:w="8720" w:type="dxa"/>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8"/>
                <w:szCs w:val="28"/>
                <w:vertAlign w:val="baseline"/>
                <w:lang w:val="en-US" w:eastAsia="zh-CN"/>
              </w:rPr>
            </w:pPr>
            <w:r>
              <w:rPr>
                <w:rFonts w:ascii="Times New Roman" w:hAnsi="Times New Roman" w:cs="Times New Roman"/>
              </w:rPr>
              <w:drawing>
                <wp:inline distT="0" distB="0" distL="114300" distR="114300">
                  <wp:extent cx="4327525" cy="2849245"/>
                  <wp:effectExtent l="0" t="0" r="3175" b="825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rcRect t="9882"/>
                          <a:stretch>
                            <a:fillRect/>
                          </a:stretch>
                        </pic:blipFill>
                        <pic:spPr>
                          <a:xfrm>
                            <a:off x="0" y="0"/>
                            <a:ext cx="4327525" cy="284924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 w:hRule="atLeast"/>
        </w:trPr>
        <w:tc>
          <w:tcPr>
            <w:tcW w:w="8720" w:type="dxa"/>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1"/>
                <w:szCs w:val="21"/>
                <w:vertAlign w:val="baseline"/>
                <w:lang w:val="en-US" w:eastAsia="zh-CN"/>
              </w:rPr>
            </w:pPr>
            <w:r>
              <w:rPr>
                <w:rFonts w:hint="eastAsia" w:ascii="Times New Roman" w:hAnsi="Times New Roman" w:eastAsia="仿宋_GB2312" w:cs="Times New Roman"/>
                <w:b/>
                <w:bCs/>
                <w:sz w:val="21"/>
                <w:szCs w:val="21"/>
                <w:vertAlign w:val="baseline"/>
                <w:lang w:val="en-US" w:eastAsia="zh-CN"/>
              </w:rPr>
              <w:t>图4  莆田市生态环境管控单元图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 w:hRule="atLeast"/>
        </w:trPr>
        <w:tc>
          <w:tcPr>
            <w:tcW w:w="8720" w:type="dxa"/>
          </w:tcPr>
          <w:p>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仿宋_GB2312" w:cs="Times New Roman"/>
                <w:b/>
                <w:bCs/>
                <w:sz w:val="21"/>
                <w:szCs w:val="21"/>
                <w:vertAlign w:val="baseline"/>
                <w:lang w:val="en-US" w:eastAsia="zh-CN"/>
              </w:rPr>
            </w:pPr>
            <w:r>
              <w:rPr>
                <w:rFonts w:hint="eastAsia" w:ascii="Times New Roman" w:hAnsi="Times New Roman" w:eastAsia="仿宋_GB2312" w:cs="Times New Roman"/>
                <w:b/>
                <w:bCs/>
                <w:sz w:val="21"/>
                <w:szCs w:val="21"/>
                <w:vertAlign w:val="baseline"/>
                <w:lang w:val="en-US" w:eastAsia="zh-CN"/>
              </w:rPr>
              <w:t>资料来源：《莆田市生态环境管控单元图（2023版）》</w:t>
            </w:r>
            <w:r>
              <w:rPr>
                <w:rStyle w:val="8"/>
                <w:rFonts w:hint="eastAsia" w:ascii="Times New Roman" w:hAnsi="Times New Roman" w:eastAsia="仿宋_GB2312" w:cs="Times New Roman"/>
                <w:b/>
                <w:bCs/>
                <w:sz w:val="21"/>
                <w:szCs w:val="21"/>
                <w:lang w:val="en-US" w:eastAsia="zh-CN"/>
              </w:rPr>
              <w:footnoteReference w:id="0"/>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经初步评估，本行授信业务与生态敏感区的空间关联情况如下：</w:t>
      </w:r>
    </w:p>
    <w:tbl>
      <w:tblPr>
        <w:tblStyle w:val="5"/>
        <w:tblW w:w="8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64"/>
        <w:gridCol w:w="1871"/>
        <w:gridCol w:w="3300"/>
        <w:gridCol w:w="12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生态敏感区类型</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涉及区域</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授信敞口特征</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风险等级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重要湿地（省级）</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木兰溪口省级重要湿地</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周边分布有水产养殖、农业授信，余额约0.15亿元</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jc w:val="center"/>
        </w:trPr>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海洋生态敏感区</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兴化湾、湄洲湾、南日岛周边海域</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大量水产养殖授信分布在敏感区周边，蓝色贷款余额3.50亿元，海洋经济贷款超12亿元</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jc w:val="center"/>
        </w:trPr>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饮用水源保护区</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东圳水库、外度水库等饮用水源地</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保护区内禁止开发建设，周边分布少量农业、林业授信，余额约3.95亿元</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生态保护红线</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全市各生态保护红线区域</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红线内无新增授信，存量授信极少且均为历史遗留农户贷款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低</w:t>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从评估结果看，本行授信业务总体上与陆地生态敏感区重叠度较低，主要风险敞口集中在海洋生态敏感区周边的水产养殖领域。海洋经济是莆田市特色优势产业，也是本行重点服务领域，相关授信客户的生产经营高度依赖海洋生态系统，受海洋生态环境变化影响较大，是本行自然相关风险管理的重点领域。</w:t>
      </w:r>
    </w:p>
    <w:p>
      <w:pPr>
        <w:keepNext w:val="0"/>
        <w:keepLines w:val="0"/>
        <w:pageBreakBefore w:val="0"/>
        <w:widowControl/>
        <w:kinsoku/>
        <w:wordWrap/>
        <w:overflowPunct/>
        <w:topLinePunct w:val="0"/>
        <w:autoSpaceDE/>
        <w:autoSpaceDN/>
        <w:bidi w:val="0"/>
        <w:adjustRightInd/>
        <w:snapToGrid/>
        <w:spacing w:line="500" w:lineRule="exact"/>
        <w:ind w:firstLine="562" w:firstLineChars="200"/>
        <w:jc w:val="both"/>
        <w:outlineLvl w:val="2"/>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（2）水资源压力</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使用由世界资源研究所（WRI）开发的Aqueduct 4.0 Water Risk Atlas工具，评估显示，莆田市整体水资源压力处于中</w:t>
      </w:r>
      <w:r>
        <w:rPr>
          <w:rFonts w:hint="eastAsia" w:ascii="Times New Roman" w:hAnsi="Times New Roman" w:eastAsia="仿宋_GB2312" w:cs="Times New Roman"/>
          <w:sz w:val="28"/>
          <w:szCs w:val="28"/>
          <w:lang w:val="en-US" w:eastAsia="zh-CN"/>
        </w:rPr>
        <w:t>-高</w:t>
      </w:r>
      <w:r>
        <w:rPr>
          <w:rFonts w:hint="default" w:ascii="Times New Roman" w:hAnsi="Times New Roman" w:eastAsia="仿宋_GB2312" w:cs="Times New Roman"/>
          <w:sz w:val="28"/>
          <w:szCs w:val="28"/>
          <w:lang w:val="en-US" w:eastAsia="zh-CN"/>
        </w:rPr>
        <w:t>等水平</w:t>
      </w:r>
      <w:r>
        <w:rPr>
          <w:rFonts w:hint="eastAsia" w:ascii="Times New Roman" w:hAnsi="Times New Roman" w:eastAsia="仿宋_GB2312" w:cs="Times New Roman"/>
          <w:sz w:val="28"/>
          <w:szCs w:val="28"/>
          <w:lang w:val="en-US" w:eastAsia="zh-CN"/>
        </w:rPr>
        <w:t>（图2）</w:t>
      </w:r>
      <w:r>
        <w:rPr>
          <w:rFonts w:hint="default" w:ascii="Times New Roman" w:hAnsi="Times New Roman" w:eastAsia="仿宋_GB2312" w:cs="Times New Roman"/>
          <w:sz w:val="28"/>
          <w:szCs w:val="28"/>
          <w:lang w:val="en-US" w:eastAsia="zh-CN"/>
        </w:rPr>
        <w:t>，部分季节和局部区域存在水资源紧张情况。</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522" w:type="dxa"/>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drawing>
                <wp:inline distT="0" distB="0" distL="114300" distR="114300">
                  <wp:extent cx="5260975" cy="2115185"/>
                  <wp:effectExtent l="0" t="0" r="9525" b="5715"/>
                  <wp:docPr id="6" name="图片 6" descr="57427e4173cee2056ce5ddc2054e3d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7427e4173cee2056ce5ddc2054e3ddf"/>
                          <pic:cNvPicPr>
                            <a:picLocks noChangeAspect="1"/>
                          </pic:cNvPicPr>
                        </pic:nvPicPr>
                        <pic:blipFill>
                          <a:blip r:embed="rId10"/>
                          <a:stretch>
                            <a:fillRect/>
                          </a:stretch>
                        </pic:blipFill>
                        <pic:spPr>
                          <a:xfrm>
                            <a:off x="0" y="0"/>
                            <a:ext cx="5260975" cy="211518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522" w:type="dxa"/>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1"/>
                <w:szCs w:val="21"/>
                <w:vertAlign w:val="baseline"/>
                <w:lang w:val="en-US" w:eastAsia="zh-CN"/>
              </w:rPr>
            </w:pPr>
            <w:r>
              <w:rPr>
                <w:rFonts w:hint="eastAsia" w:ascii="Times New Roman" w:hAnsi="Times New Roman" w:eastAsia="仿宋_GB2312" w:cs="Times New Roman"/>
                <w:b/>
                <w:bCs/>
                <w:sz w:val="24"/>
                <w:szCs w:val="24"/>
                <w:vertAlign w:val="baseline"/>
                <w:lang w:val="en-US" w:eastAsia="zh-CN"/>
              </w:rPr>
              <w:t>图5</w:t>
            </w:r>
            <w:r>
              <w:rPr>
                <w:rFonts w:hint="eastAsia" w:ascii="Times New Roman" w:hAnsi="Times New Roman" w:eastAsia="仿宋_GB2312" w:cs="Times New Roman"/>
                <w:b/>
                <w:bCs/>
                <w:sz w:val="21"/>
                <w:szCs w:val="21"/>
                <w:vertAlign w:val="baseline"/>
                <w:lang w:val="en-US" w:eastAsia="zh-CN"/>
              </w:rPr>
              <w:t xml:space="preserve">  莆田市水资源压力区域分布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仿宋_GB2312" w:cs="Times New Roman"/>
                <w:b/>
                <w:bCs/>
                <w:sz w:val="21"/>
                <w:szCs w:val="21"/>
                <w:vertAlign w:val="baseline"/>
                <w:lang w:val="en-US" w:eastAsia="zh-CN"/>
              </w:rPr>
            </w:pPr>
            <w:r>
              <w:rPr>
                <w:rFonts w:hint="eastAsia" w:ascii="Times New Roman" w:hAnsi="Times New Roman" w:eastAsia="仿宋_GB2312" w:cs="Times New Roman"/>
                <w:b/>
                <w:bCs/>
                <w:sz w:val="21"/>
                <w:szCs w:val="21"/>
                <w:vertAlign w:val="baseline"/>
                <w:lang w:val="en-US" w:eastAsia="zh-CN"/>
              </w:rPr>
              <w:t>资料来源：World Resources Institute（WRI，世界资源研究所）</w:t>
            </w:r>
            <w:r>
              <w:rPr>
                <w:rFonts w:hint="eastAsia" w:ascii="Times New Roman" w:hAnsi="Times New Roman" w:eastAsia="仿宋_GB2312" w:cs="Times New Roman"/>
                <w:b/>
                <w:bCs/>
                <w:sz w:val="21"/>
                <w:szCs w:val="21"/>
                <w:vertAlign w:val="superscript"/>
                <w:lang w:val="en-US" w:eastAsia="zh-CN"/>
              </w:rPr>
              <w:footnoteReference w:id="1"/>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莆田市属亚热带季风气候，降水丰沛但时空分布不均。全市共有流域面积大于50平方公里的河流30条，最大河流为木兰溪，萩芦溪次之；全市多年平均水资源总量约36.86亿立方米，人均水资源量约1300立方米，约为全国人均水平的二分之一、全省的三分之一，属水资源相对紧张地区，存在一定的资源性缺水压力。结合莆田市区域水资源禀赋，我行投融资客户的水资源风险呈现以下特征：农林牧渔业客户（农业、畜牧业、渔业及农、林、牧、渔专业及辅助性活动）对供水、水体净化服务依赖度高、水资源利用强度大，在莆田水资源相对紧张的背景下，面临用水成本上升、供水受限及农业面源污染管控趋严等风险；农副食品加工业、食品制造业、其他制造业等涉农加工及轻工行业对水体净化服务高度依赖，取水许可、排水达标等合规要求趋严；土木工程建筑业、房屋建筑业等建设类行业对淡水使用影响较大，项目建设期用水保障及临港区域供水压力需关注；湄洲岛、南日岛等海岛区域及临港工业区、滨海新区等用水需求集中区域，供水保障对东圳水库等水利工程依赖度高，相关区域客户面临的水资源约束相对更强。</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综上</w:t>
      </w:r>
      <w:r>
        <w:rPr>
          <w:rFonts w:hint="default" w:ascii="Times New Roman" w:hAnsi="Times New Roman" w:eastAsia="仿宋_GB2312" w:cs="Times New Roman"/>
          <w:sz w:val="28"/>
          <w:szCs w:val="28"/>
          <w:lang w:val="en-US" w:eastAsia="zh-CN"/>
        </w:rPr>
        <w:t>，莆田市水资源供需总体平衡但存在结构性压力</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人均水资源量偏低、水资源时空分布不均，叠加临港工业、滨海新区建设带来的用水需求持续增长，水资源供需矛盾有所凸显；但依托东圳水库等骨干水利工程与木兰溪流域综合治理，城乡供水安全总体有保障，区域水资源压力总体可控，需重点关注水资源相对紧缺区域及高耗水、高水依赖行业客户的潜在风险。</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w:t>
      </w:r>
      <w:r>
        <w:rPr>
          <w:rFonts w:hint="eastAsia" w:ascii="Times New Roman" w:hAnsi="Times New Roman" w:eastAsia="楷体" w:cs="Times New Roman"/>
          <w:b/>
          <w:bCs/>
          <w:sz w:val="28"/>
          <w:szCs w:val="28"/>
          <w:lang w:val="en-US" w:eastAsia="zh-CN"/>
        </w:rPr>
        <w:t>三</w:t>
      </w:r>
      <w:r>
        <w:rPr>
          <w:rFonts w:hint="default" w:ascii="Times New Roman" w:hAnsi="Times New Roman" w:eastAsia="楷体" w:cs="Times New Roman"/>
          <w:b/>
          <w:bCs/>
          <w:sz w:val="28"/>
          <w:szCs w:val="28"/>
          <w:lang w:val="en-US" w:eastAsia="zh-CN"/>
        </w:rPr>
        <w:t>）LEAP评估：Assess风险与机遇评估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在Locate定位和Evaluate评价的基础上，本行进一步评估自然相关风险与机遇的财务重要性，分析其对本行业务发展、资产质量、财务状况的潜在影响。本行将自然相关风险分为物理风险、转型风险和系统性风险三大类，同时识别自然相关的业务机遇。</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 物理风险评估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物理风险是指自然生态系统退化、极端天气事件、自然灾害等物理变化对银行授信客户经营产生负面影响，进而传导至银行的信用风险、市场风险等。物理风险可分为急性物理风险和慢性物理风险。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（1）急性物理风险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急性物理风险指突发的、短期的极端自然事件造成的风险。莆田市地处东南沿海，是台风、暴雨、风暴潮等极端天气事件的高发区域，急性物理风险较为突出。主要急性物理风险类型：</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台风与风暴潮：莆田市年均受台风影响3-5次，台风带来的强风、暴雨、风暴潮可能对沿海地区的水产养殖、滨海旅游、农业生产造成严重损失。南日岛、湄洲岛等海岛地区受台风影响尤为严重，一次强台风可能导致鲍鱼养殖损失数千万元。</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•暴雨与洪涝：木兰溪流域汛期暴雨频发，可能引发流域性洪水和城市内涝，对沿岸制造业、农业、商贸业造成损失。</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•赤潮灾害：兴化湾、湄洲湾海域春夏季节易发生赤潮，可能导致大面积养殖物死亡，给水产养殖户造成毁灭性打击。赤潮是海水养殖面临的主要自然灾害之一。</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•高温热浪：夏季极端高温天气可能影响鲍鱼等对温度敏感的养殖品种存活，同时影响制鞋等劳动密集型企业生产效率。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lang w:val="en-US" w:eastAsia="zh-CN"/>
        </w:rPr>
        <w:t>风险敞口评估：</w:t>
      </w:r>
      <w:r>
        <w:rPr>
          <w:rFonts w:hint="default" w:ascii="Times New Roman" w:hAnsi="Times New Roman" w:eastAsia="仿宋_GB2312" w:cs="Times New Roman"/>
          <w:sz w:val="28"/>
          <w:szCs w:val="28"/>
          <w:highlight w:val="none"/>
          <w:lang w:val="en-US" w:eastAsia="zh-CN"/>
        </w:rPr>
        <w:t>经评估，本行受急性物理风险影响较大的授信敞口约30亿元，占贷款总额的8.80%。其中：水产养殖相关贷款10亿元，主要受台风、赤潮风险影响；木兰溪沿岸制造业贷款约5亿元，主要受洪涝风险影响；农林种植业贷款约15亿元，主要受台风、暴雨风险影响。</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财务影响分析：极端灾害事件可能导致受灾客户还款能力下降，形成不良贷款。参考历史灾害损失情况，重大台风灾害年份可能造成</w:t>
      </w:r>
      <w:r>
        <w:rPr>
          <w:rFonts w:hint="default" w:ascii="Times New Roman" w:hAnsi="Times New Roman" w:eastAsia="仿宋_GB2312" w:cs="Times New Roman"/>
          <w:sz w:val="28"/>
          <w:szCs w:val="28"/>
          <w:highlight w:val="none"/>
          <w:lang w:val="en-US" w:eastAsia="zh-CN"/>
        </w:rPr>
        <w:t>本行相关行业不良率上升0.3-0.5个百分点，预计增加不良贷款900万元-1500万元。</w:t>
      </w:r>
      <w:r>
        <w:rPr>
          <w:rFonts w:hint="default" w:ascii="Times New Roman" w:hAnsi="Times New Roman" w:eastAsia="仿宋_GB2312" w:cs="Times New Roman"/>
          <w:sz w:val="28"/>
          <w:szCs w:val="28"/>
          <w:lang w:val="en-US" w:eastAsia="zh-CN"/>
        </w:rPr>
        <w:t>同时，灾后重建贷款需求增加，也带来一定的业务机遇。</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（2）慢性物理风险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慢性物理风险指长期的、渐进式的自然生态退化带来的风险，其影响是逐步累积的，但长期影响更为深远。主要慢性物理风险类型：</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•海洋生态退化：近海海域水质下降、海洋生物资源衰退、海水酸化等长期变化，将影响水产养殖的可持续发展。养殖环境恶化导致病害增多、品质下降、产量降低，逐步削弱养殖户的盈利能力和还款能力。</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•水资源压力：随着经济社会发展，莆田市部分区域水资源供需矛盾逐步显现，特别是枯水期工业用水、农业用水紧张。水资源短缺可能影响制鞋、食品加工等耗水企业的正常生产。</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•海平面上升：全球气候变暖导致的海平面上升，将长期侵蚀海岸带，淹没滩涂养殖区，加剧风暴潮灾害影响，对沿海养殖和滨海旅游造成长期威胁。</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•土壤退化：农业面源污染、不合理耕作导致的土壤肥力下降、土壤污染，将影响农业长期生产力。</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•生物多样性丧失：传粉昆虫减少、天敌生物减少、种质资源退化等生物多样性丧失问题，将长期影响农业和养殖业的可持续发展。</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highlight w:val="none"/>
          <w:lang w:val="en-US" w:eastAsia="zh-CN"/>
        </w:rPr>
        <w:t>风险敞口评估：本行受慢性物理风险影响的授信敞口约38亿元，占贷款总额的</w:t>
      </w:r>
      <w:r>
        <w:rPr>
          <w:rFonts w:hint="eastAsia" w:ascii="Times New Roman" w:hAnsi="Times New Roman" w:eastAsia="仿宋_GB2312" w:cs="Times New Roman"/>
          <w:sz w:val="28"/>
          <w:szCs w:val="28"/>
          <w:highlight w:val="none"/>
          <w:lang w:val="en-US" w:eastAsia="zh-CN"/>
        </w:rPr>
        <w:t>1</w:t>
      </w:r>
      <w:bookmarkStart w:id="3" w:name="_GoBack"/>
      <w:bookmarkEnd w:id="3"/>
      <w:r>
        <w:rPr>
          <w:rFonts w:hint="default" w:ascii="Times New Roman" w:hAnsi="Times New Roman" w:eastAsia="仿宋_GB2312" w:cs="Times New Roman"/>
          <w:sz w:val="28"/>
          <w:szCs w:val="28"/>
          <w:highlight w:val="none"/>
          <w:lang w:val="en-US" w:eastAsia="zh-CN"/>
        </w:rPr>
        <w:t>1.15%。主要集中在水产养殖、农林种植、高耗水制造业等领域。慢性物理风险</w:t>
      </w:r>
      <w:r>
        <w:rPr>
          <w:rFonts w:hint="default" w:ascii="Times New Roman" w:hAnsi="Times New Roman" w:eastAsia="仿宋_GB2312" w:cs="Times New Roman"/>
          <w:sz w:val="28"/>
          <w:szCs w:val="28"/>
          <w:lang w:val="en-US" w:eastAsia="zh-CN"/>
        </w:rPr>
        <w:t>虽然短期影响不显著，但长期来看可能导致相关行业整体盈利能力下降，信用风险逐步上升。</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 转型风险评估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转型风险是指社会向自然友好型经济转型过程中，由于政策法规变化、技术革新、市场偏好转变等因素，对银行授信客户经营产生负面影响，进而传导至银行的风险。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（1）政策与法律风险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随着国家生态文明建设深入推进，生态环境保护、自然资源管理领域的法律法规日趋严格，监管执法力度持续加大，高环境影响、高生态消耗的行业面临的合规压力不断增加。主要政策法律风险：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•环保标准提升：制鞋、食品加工等行业污染物排放标准不断提高，企业需要投入大量资金进行环保设施升级改造，部分环保不达标企业可能面临限产、停产甚至关闭。</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•生态保护红线管控：生态保护红线、自然保护地等管控区域内的生产经营活动受到严格限制，位于管控区内的养殖、农业、旅游项目可能面临清退、搬迁。</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•水产养殖管控：海洋生态环境保护力度加大，网箱养殖、滩涂养殖面临养殖面积压缩、养殖密度限制、排污管控等政策约束，传统养殖模式发展空间受限。</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•流域水环境治理：木兰溪全流域系统治理深入推进，沿岸工业企业、畜禽养殖场面临更严格的排污管控，部分高污染企业可能被淘汰。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•环境违法成本提高：生态环境损害赔偿制度、环保信用评价制度等逐步完善，环境违法行为的经济成本和声誉成本大幅提高。</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lang w:val="en-US" w:eastAsia="zh-CN"/>
        </w:rPr>
        <w:t>风险敞口评估：</w:t>
      </w:r>
      <w:r>
        <w:rPr>
          <w:rFonts w:hint="default" w:ascii="Times New Roman" w:hAnsi="Times New Roman" w:eastAsia="仿宋_GB2312" w:cs="Times New Roman"/>
          <w:sz w:val="28"/>
          <w:szCs w:val="28"/>
          <w:highlight w:val="none"/>
          <w:lang w:val="en-US" w:eastAsia="zh-CN"/>
        </w:rPr>
        <w:t>本行面临较高转型风险的授信敞口约16亿元，占贷款总额的4.69%。主要集中在环保设施不完善的中小制鞋企业、禁养区内的畜禽养殖场、生态敏感区内的水产养殖等领域。随着环保监管趋严，这部分客户的信用风险可能逐步显现。</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（2）技术风险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绿色技术、生态技术的快速发展迭代，可能导致传统技术路线的企业面临技术淘汰风险，同时也为技术领先企业带来竞争优势。主要技术风险：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•清洁生产技术替代：制鞋行业绿色制鞋技术、无水染色技术等新技术的推广应用，可能使沿用传统高污染工艺的企业逐步丧失竞争力。</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•生态养殖技术替代：深水网箱、循环水养殖、多营养层级综合养殖等生态养殖技术的发展，可能使传统滩涂养殖、围塘养殖模式被市场淘汰。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•资源循环利用技术：废弃物资源化、水循环利用等技术的普及，将改变行业成本结构，技术落后企业成本劣势凸显。</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（3）市场风险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随着消费者生态环保意识提升，市场对绿色产品、生态产品的偏好增强，对高环境影响产品的需求下降，可能对相关企业的市场销售产生影响。主要市场风险：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•绿色消费偏好：消费者对环保鞋服、有机农产品、生态海产品的需求增长，传统非绿色产品市场空间受到挤压。</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•供应链绿色要求：大型品牌商、采购商对供应链企业提出越来越高的环保要求、ESG要求，达不到标准的中小供应商可能被排除出供应链。</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•生态认证溢价：获得绿色认证、有机认证、生态认证的产品享有市场溢价，未认证产品价格竞争力下降。</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（4）声誉风险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声誉风险是指因授信客户环境违法行为、生态破坏事件被曝光，或本行自身自然相关风险管理与信息披露表现不足，导致利益相关方、社会公众、媒体等对本行形成负面评价，从而损害品牌价值、影响正常经营的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随着社会各界、监管机构、投资者及媒体对生态环境保护与生物多样性保护关注度和监督力度持续提升，若本行融资支持的项目位于生态保护红线、自然保护地等生态敏感区域并造成生态破坏，或合作客户发生超标排放、非法捕捞、违法占用生态空间等重大环境违规事件并被曝光，可能严重损害本行品牌声誉，进而影响客户合作、资金筹集和市场公信力。</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同时，本行自身的自然相关风险管理表现、绿色金融发展成效与信息披露质量，也直接影响市场声誉和社会形象；积极稳健的自然相关管理实践和高质量的信息披露，有助于树立负责任银行形象，形成声誉提升的正向效应。</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 系统性风险评估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自然退化是典型的系统性风险，生态系统的临界阈值一旦突破，可能引发级联效应，对整个区域经济和金融体系产生广泛而深远的影响。主要系统性风险场景：</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•海洋生态系统崩溃：如果兴化湾、湄洲湾海洋生态系统持续退化，达到不可逆的临界点，将导致整个海洋渔业崩溃，对莆田海洋经济造成毁灭性打击，本行12.74亿元海洋经济贷款将面临系统性信用风险。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•流域水环境恶化：如果木兰溪流域水质持续恶化，将影响流域内工农业生产和居民生活用水，制约整个区域经济发展，对本行资产质量造成系统性影响。</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•生物多样性持续丧失：区域生物多样性大幅下降，将削弱生态系统的稳定性和服务功能，对农业、渔业、旅游业等多个产业产生连锁负面影响。</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系统性风险发生概率较低，但一旦发生影响巨大。本行高度关注系统性自然风险，通过支持生态保护修复、推动产业绿色转型等方式，积极参与区域生态治理，降低系统性风险发生概率。</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4. 自然相关机遇识别</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结合莆田市生态治理、绿色产业、蓝色经济发展布局及本行本土普惠小微的经营定位，聚焦小微绿色场景、产业配套环节、生态普惠领域，迎来多元化、本土化的绿色金融发展机遇。</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（1）生态保护修复普惠投融资机遇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当前莆田市全力推进木兰溪全流域综合治理、滨海红树林保护修复、近海海洋牧场建设、城乡小微生态整治等重大生态工程，区域生态环境持续优化。区别于国有大行对接的大型生态基建项目，本行依托地方法人、深耕乡镇、贴近小微的优势，重点承接生态工程配套的本地化普惠投融资需求，包括生态治理配套小微商户经营周转、乡村生态整治配套农户改造、湿地周边小微业态升级、生态管护配套小微企业资金需求等细分场景。此类小微普惠项目资金需求碎片化、频次高、额度适中，契合本行信贷产品体系与客户服务能力，是本行差异化布局绿色金融的基础机遇。</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（2）本土绿色产业小微升级机遇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全市清洁能源、节能环保、生态农业、绿色制造等绿色产业加速落地转型，产业升级过程中产生大量中小微市场主体融资需求，为本行绿色信贷业务扩容提供广阔空间。本行避开大型新能源、节能环保重资产项目的资金成本竞争，聚焦产业链上下游小微主体、中小微企业绿色改造、个体经营户绿色转型等普惠场景，核心重点机遇领域如下：</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•本地制鞋产业绿色化改造普惠融资，聚焦中小鞋企节能改造、环保设备更新、污染治理、绿色生产线升级等小微资金需求；</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•绿色农业、有机农业发展融资，重点支持本地种植养殖农户、家庭农场、小微农业合作社生态化、标准化转型升级；</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•节能环保技术、小型环保装备推广应用的小微商户、小微企业周转融资；</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•新能源汽车终端销售、乡镇充电配套设施建设等小微经营主体融资需求。</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（3）蓝色经济小微业态升级机遇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莆田海洋经济处于传统渔业向现代化蓝色经济转型升级的关键阶段，现代生态渔业、水产品精深加工、滨海生态旅游、海洋配套服务等产业快速发展。本行立足蓝色金融特色，聚焦海洋产业末端普惠客群，规避大型海洋工程、远洋重工等大额项目竞争，深耕本土海洋小微业态升级机遇，重点机遇领域如下：</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•南日岛鲍鱼、本地特色水产全产业链小微升级融资，支持养殖户生态养殖改造、小微加工坊提质升级；</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•深水网箱养殖、工厂化循环水养殖等新型生态养殖模式下，中小养殖户、小微养殖企业的设备更新、备货周转融资；</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•水产品精深加工、本地冷链物流小微主体设备升级、仓储周转资金需求；</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•湄洲岛、南日岛滨海生态旅游配套的民宿、餐饮、文旅零售等小微经营主体融资；</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•海洋产业创新创业小微主体、海洋轻资产服务型企业的普惠信贷需求。</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（4）生态产品价值实现普惠创新机遇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sz w:val="28"/>
          <w:szCs w:val="28"/>
          <w:lang w:val="en-US" w:eastAsia="zh-CN"/>
        </w:rPr>
        <w:t>随着全市生态产品价值实现机制不断完善，荔枝林保护、红树林修复、湿地保育等生态资源的经济价值持续显化，生态旅游、乡村生态康养、林业碳汇、绿色农品品牌化等新业态、新场景加速涌现。对应产生的经营主体以农户、个体工商户、小微合作社、轻型文旅企业为主，高度契合本行普惠小微客群定位。本行可依托本土场景优势，创新适配小微主体的绿色信贷产品，聚焦荔枝文旅配套经营、湿地生态康养服务、乡村碳汇配套小微产业、绿色生态农产品产销等场景，挖掘生态价值转化过程中的普惠金融机遇，打造本土化、特色化的绿色普惠金融服务体系。</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5. 风险与机遇综合评估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综合评估来看，本行自然相关风险总体可控，机遇大于挑战。</w:t>
      </w:r>
    </w:p>
    <w:tbl>
      <w:tblPr>
        <w:tblStyle w:val="5"/>
        <w:tblW w:w="85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74"/>
        <w:gridCol w:w="1794"/>
        <w:gridCol w:w="1235"/>
        <w:gridCol w:w="1248"/>
        <w:gridCol w:w="10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jc w:val="center"/>
        </w:trPr>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风险/机遇类型</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涉及敞口/潜力</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影响程度</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发生概率</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优先级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急性物理风险（台风、赤潮等）</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bidi="ar"/>
              </w:rPr>
            </w:pPr>
            <w:r>
              <w:rPr>
                <w:rFonts w:hint="default" w:ascii="Times New Roman" w:hAnsi="Times New Roman" w:eastAsia="仿宋_GB2312" w:cs="Times New Roman"/>
                <w:b w:val="0"/>
                <w:bCs w:val="0"/>
                <w:i w:val="0"/>
                <w:iCs w:val="0"/>
                <w:color w:val="000000"/>
                <w:kern w:val="0"/>
                <w:sz w:val="24"/>
                <w:szCs w:val="24"/>
                <w:u w:val="none"/>
                <w:lang w:val="en-US" w:eastAsia="zh-CN" w:bidi="ar"/>
              </w:rPr>
              <w:t>敞口</w:t>
            </w:r>
            <w:r>
              <w:rPr>
                <w:rFonts w:hint="default" w:ascii="Times New Roman" w:hAnsi="Times New Roman" w:eastAsia="仿宋_GB2312" w:cs="Times New Roman"/>
                <w:i w:val="0"/>
                <w:iCs w:val="0"/>
                <w:color w:val="000000"/>
                <w:kern w:val="0"/>
                <w:sz w:val="24"/>
                <w:szCs w:val="24"/>
                <w:u w:val="none"/>
                <w:lang w:val="en-US" w:eastAsia="zh-CN" w:bidi="ar"/>
              </w:rPr>
              <w:t>约30亿元</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慢性物理风险（生态退化等）</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bidi="ar"/>
              </w:rPr>
            </w:pPr>
            <w:r>
              <w:rPr>
                <w:rFonts w:hint="default" w:ascii="Times New Roman" w:hAnsi="Times New Roman" w:eastAsia="仿宋_GB2312" w:cs="Times New Roman"/>
                <w:b w:val="0"/>
                <w:bCs w:val="0"/>
                <w:i w:val="0"/>
                <w:iCs w:val="0"/>
                <w:color w:val="000000"/>
                <w:kern w:val="0"/>
                <w:sz w:val="24"/>
                <w:szCs w:val="24"/>
                <w:u w:val="none"/>
                <w:lang w:val="en-US" w:eastAsia="zh-CN" w:bidi="ar"/>
              </w:rPr>
              <w:t>敞口</w:t>
            </w:r>
            <w:r>
              <w:rPr>
                <w:rFonts w:hint="default" w:ascii="Times New Roman" w:hAnsi="Times New Roman" w:eastAsia="仿宋_GB2312" w:cs="Times New Roman"/>
                <w:i w:val="0"/>
                <w:iCs w:val="0"/>
                <w:color w:val="000000"/>
                <w:kern w:val="0"/>
                <w:sz w:val="24"/>
                <w:szCs w:val="24"/>
                <w:u w:val="none"/>
                <w:lang w:val="en-US" w:eastAsia="zh-CN" w:bidi="ar"/>
              </w:rPr>
              <w:t>约38亿元</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中高</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政策转型风险</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bidi="ar"/>
              </w:rPr>
            </w:pPr>
            <w:r>
              <w:rPr>
                <w:rFonts w:hint="default" w:ascii="Times New Roman" w:hAnsi="Times New Roman" w:eastAsia="仿宋_GB2312" w:cs="Times New Roman"/>
                <w:b w:val="0"/>
                <w:bCs w:val="0"/>
                <w:i w:val="0"/>
                <w:iCs w:val="0"/>
                <w:color w:val="000000"/>
                <w:kern w:val="0"/>
                <w:sz w:val="24"/>
                <w:szCs w:val="24"/>
                <w:u w:val="none"/>
                <w:lang w:val="en-US" w:eastAsia="zh-CN" w:bidi="ar"/>
              </w:rPr>
              <w:t>敞口</w:t>
            </w:r>
            <w:r>
              <w:rPr>
                <w:rFonts w:hint="default" w:ascii="Times New Roman" w:hAnsi="Times New Roman" w:eastAsia="仿宋_GB2312" w:cs="Times New Roman"/>
                <w:i w:val="0"/>
                <w:iCs w:val="0"/>
                <w:color w:val="000000"/>
                <w:kern w:val="0"/>
                <w:sz w:val="24"/>
                <w:szCs w:val="24"/>
                <w:u w:val="none"/>
                <w:lang w:val="en-US" w:eastAsia="zh-CN" w:bidi="ar"/>
              </w:rPr>
              <w:t>约16亿元</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中高</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系统性自然风险</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全行业传导</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极高</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低</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生态保护修复机遇</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潜力约25亿元</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绿色产业发展机遇</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潜力约20亿元</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蓝色经济升级机遇</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潜力约20亿元</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w:t>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从风险端看，本行自然相关风险以中度风险为主，高风险敞口占比不高，整体风险可控。急性物理风险是当前最突出的风险类型，需要重点关注和应对。从机遇端看，莆田作为海洋大市、生态建设重点区域，</w:t>
      </w:r>
      <w:r>
        <w:rPr>
          <w:rFonts w:hint="eastAsia" w:ascii="Times New Roman" w:hAnsi="Times New Roman" w:eastAsia="仿宋_GB2312" w:cs="Times New Roman"/>
          <w:sz w:val="28"/>
          <w:szCs w:val="28"/>
          <w:lang w:val="en-US" w:eastAsia="zh-CN"/>
        </w:rPr>
        <w:t>绿色金融、生物多样性、蓝色金融</w:t>
      </w:r>
      <w:r>
        <w:rPr>
          <w:rFonts w:hint="default" w:ascii="Times New Roman" w:hAnsi="Times New Roman" w:eastAsia="仿宋_GB2312" w:cs="Times New Roman"/>
          <w:sz w:val="28"/>
          <w:szCs w:val="28"/>
          <w:lang w:val="en-US" w:eastAsia="zh-CN"/>
        </w:rPr>
        <w:t>发展空间广阔，为本行打造特色优势、实现差异化竞争提供了重大机遇。</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6.</w:t>
      </w:r>
      <w:r>
        <w:rPr>
          <w:rFonts w:hint="eastAsia"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val="en-US" w:eastAsia="zh-CN"/>
        </w:rPr>
        <w:t>情景分析</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为深入评估自然相关风险对本行的长期影响，本行设置了三种情景，分析不同自然演化路径下本行业务发展和风险状况的变化。</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3"/>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（1）</w:t>
      </w:r>
      <w:r>
        <w:rPr>
          <w:rFonts w:hint="default" w:ascii="Times New Roman" w:hAnsi="Times New Roman" w:eastAsia="仿宋_GB2312" w:cs="Times New Roman"/>
          <w:b/>
          <w:bCs/>
          <w:sz w:val="28"/>
          <w:szCs w:val="28"/>
          <w:lang w:val="en-US" w:eastAsia="zh-CN"/>
        </w:rPr>
        <w:t>情景设置</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基准情景（自然持续退化）假设：</w:t>
      </w:r>
      <w:r>
        <w:rPr>
          <w:rFonts w:hint="default" w:ascii="Times New Roman" w:hAnsi="Times New Roman" w:eastAsia="仿宋_GB2312" w:cs="Times New Roman"/>
          <w:sz w:val="28"/>
          <w:szCs w:val="28"/>
          <w:lang w:val="en-US" w:eastAsia="zh-CN"/>
        </w:rPr>
        <w:t>全球和区域生态退化趋势延续，生物多样性持续丧失，极端天气事件频率和强度增加；生态环境保护政策稳步推进但力度有限，经济转型相对平缓。这一情景代表当前趋势自然延续的基准状态</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假设参数：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•极端台风事件年均增加5%，赤潮发生频率年均增加3%</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•近海海域水质缓慢下降，养殖病害发生率年均上升2%</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•环保标准稳步提升，企业环保成本年均增加3%</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•绿色产业年均增速8%，蓝色产业年均增速6%</w:t>
      </w:r>
    </w:p>
    <w:p>
      <w:pPr>
        <w:keepNext w:val="0"/>
        <w:keepLines w:val="0"/>
        <w:pageBreakBefore w:val="0"/>
        <w:kinsoku/>
        <w:wordWrap/>
        <w:overflowPunct/>
        <w:topLinePunct w:val="0"/>
        <w:autoSpaceDE/>
        <w:autoSpaceDN/>
        <w:bidi w:val="0"/>
        <w:adjustRightInd/>
        <w:snapToGrid/>
        <w:spacing w:line="500" w:lineRule="exact"/>
        <w:ind w:firstLine="562"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压力情景（生态快速恶化）假设：</w:t>
      </w:r>
      <w:r>
        <w:rPr>
          <w:rFonts w:hint="default" w:ascii="Times New Roman" w:hAnsi="Times New Roman" w:eastAsia="仿宋_GB2312" w:cs="Times New Roman"/>
          <w:sz w:val="28"/>
          <w:szCs w:val="28"/>
          <w:lang w:val="en-US" w:eastAsia="zh-CN"/>
        </w:rPr>
        <w:t>自然退化加速，突破部分生态临界点，极端灾害事件显著增多；同时生态环保政策大幅收紧，高环境影响行业面临强力整改和淘汰。这一情景代表风险集中释放的压力状态</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假设参数：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•重大台风灾害每2-3年发生一次，单次灾害造成水产养殖损失30%以上</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•兴化湾、湄洲湾出现阶段性生态功能退化，海水养殖容量下降20%</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•环保监管大幅趋严，20%的中小制鞋企业因不达标面临限产或关停</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•生态保护红线管控全面收紧，15%的滩涂养殖面临清退</w:t>
      </w:r>
    </w:p>
    <w:p>
      <w:pPr>
        <w:keepNext w:val="0"/>
        <w:keepLines w:val="0"/>
        <w:pageBreakBefore w:val="0"/>
        <w:kinsoku/>
        <w:wordWrap/>
        <w:overflowPunct/>
        <w:topLinePunct w:val="0"/>
        <w:autoSpaceDE/>
        <w:autoSpaceDN/>
        <w:bidi w:val="0"/>
        <w:adjustRightInd/>
        <w:snapToGrid/>
        <w:spacing w:line="500" w:lineRule="exact"/>
        <w:ind w:firstLine="562"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乐观情景（生态良性循环）假设：</w:t>
      </w:r>
      <w:r>
        <w:rPr>
          <w:rFonts w:hint="default" w:ascii="Times New Roman" w:hAnsi="Times New Roman" w:eastAsia="仿宋_GB2312" w:cs="Times New Roman"/>
          <w:sz w:val="28"/>
          <w:szCs w:val="28"/>
          <w:lang w:val="en-US" w:eastAsia="zh-CN"/>
        </w:rPr>
        <w:t>生态文明建设取得显著成效，生态环境质量持续改善，生物多样性下降趋势得到遏制；绿色低碳转型加速，绿色经济、蓝色经济蓬勃发展。这一情景代表人与自然和谐共生的理想状态</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假设参数：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•木兰溪流域水质持续改善，近岸海域水质优良比例达到90%以上</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•红树林面积持续增长，海洋生态系统稳定性增强，赤潮发生率下降</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•绿色产业年均增速15%，蓝色经济年均增速12%</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•生态产品价值实现机制完善，生态资源经济价值显著提升</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3"/>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（2）</w:t>
      </w:r>
      <w:r>
        <w:rPr>
          <w:rFonts w:hint="default" w:ascii="Times New Roman" w:hAnsi="Times New Roman" w:eastAsia="仿宋_GB2312" w:cs="Times New Roman"/>
          <w:b/>
          <w:bCs/>
          <w:sz w:val="28"/>
          <w:szCs w:val="28"/>
          <w:lang w:val="en-US" w:eastAsia="zh-CN"/>
        </w:rPr>
        <w:t>情景影响分析</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对资产质量的影响</w:t>
      </w:r>
      <w:r>
        <w:rPr>
          <w:rFonts w:hint="eastAsia" w:ascii="Times New Roman" w:hAnsi="Times New Roman" w:eastAsia="仿宋_GB2312" w:cs="Times New Roman"/>
          <w:sz w:val="28"/>
          <w:szCs w:val="28"/>
          <w:lang w:val="en-US" w:eastAsia="zh-CN"/>
        </w:rPr>
        <w:t>：</w:t>
      </w:r>
    </w:p>
    <w:tbl>
      <w:tblPr>
        <w:tblStyle w:val="5"/>
        <w:tblW w:w="79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61"/>
        <w:gridCol w:w="2228"/>
        <w:gridCol w:w="2256"/>
        <w:gridCol w:w="1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情景</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整体不良率变化</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重点受影响行业</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预计新增不良（亿元）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基准情景</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+0.2个百分点</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水产养殖、传统制鞋</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0.5-0.8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压力情景</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+0.8-1.2个百分点</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水产养殖、中小制鞋、畜禽养殖</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乐观情景</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-0.1个百分点</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绿色产业、蓝色产业资产质量提升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-0.3左右</w:t>
            </w:r>
          </w:p>
        </w:tc>
      </w:tr>
    </w:tbl>
    <w:p>
      <w:pPr>
        <w:keepNext w:val="0"/>
        <w:keepLines w:val="0"/>
        <w:pageBreakBefore w:val="0"/>
        <w:kinsoku/>
        <w:wordWrap/>
        <w:overflowPunct/>
        <w:topLinePunct w:val="0"/>
        <w:autoSpaceDE/>
        <w:autoSpaceDN/>
        <w:bidi w:val="0"/>
        <w:adjustRightInd/>
        <w:snapToGrid/>
        <w:spacing w:line="500" w:lineRule="exact"/>
        <w:ind w:firstLine="0" w:firstLineChars="0"/>
        <w:jc w:val="both"/>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对业务结构的影响</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基准情景下：本行信贷结构稳步调整，绿色贷款、蓝色贷款占比逐步提升，</w:t>
      </w:r>
      <w:r>
        <w:rPr>
          <w:rFonts w:hint="default" w:ascii="Times New Roman" w:hAnsi="Times New Roman" w:eastAsia="仿宋_GB2312" w:cs="Times New Roman"/>
          <w:sz w:val="28"/>
          <w:szCs w:val="28"/>
          <w:highlight w:val="none"/>
          <w:lang w:val="en-US" w:eastAsia="zh-CN"/>
        </w:rPr>
        <w:t>预计到2030年绿色贷款占比达到2.5%，蓝色贷款占比达到1.5%。传统高环境影响行业贷款占比缓慢下降。</w:t>
      </w:r>
      <w:r>
        <w:rPr>
          <w:rFonts w:hint="default" w:ascii="Times New Roman" w:hAnsi="Times New Roman" w:eastAsia="仿宋_GB2312" w:cs="Times New Roman"/>
          <w:sz w:val="28"/>
          <w:szCs w:val="28"/>
          <w:lang w:val="en-US" w:eastAsia="zh-CN"/>
        </w:rPr>
        <w:t>压力情景下：信贷结构加速调整，高风险行业贷款快速压降，绿色低碳行业贷款占比快速提升</w:t>
      </w:r>
      <w:r>
        <w:rPr>
          <w:rFonts w:hint="default" w:ascii="Times New Roman" w:hAnsi="Times New Roman" w:eastAsia="仿宋_GB2312" w:cs="Times New Roman"/>
          <w:sz w:val="28"/>
          <w:szCs w:val="28"/>
          <w:highlight w:val="none"/>
          <w:lang w:val="en-US" w:eastAsia="zh-CN"/>
        </w:rPr>
        <w:t>。预计到2030年绿色贷款占比达到4%，蓝色贷款占比达到2.5%。但短期资产质量压力较大，业务转型成本较高。</w:t>
      </w:r>
      <w:r>
        <w:rPr>
          <w:rFonts w:hint="default" w:ascii="Times New Roman" w:hAnsi="Times New Roman" w:eastAsia="仿宋_GB2312" w:cs="Times New Roman"/>
          <w:sz w:val="28"/>
          <w:szCs w:val="28"/>
          <w:lang w:val="en-US" w:eastAsia="zh-CN"/>
        </w:rPr>
        <w:t>乐观情景下：</w:t>
      </w:r>
      <w:r>
        <w:rPr>
          <w:rFonts w:hint="eastAsia" w:ascii="Times New Roman" w:hAnsi="Times New Roman" w:eastAsia="仿宋_GB2312" w:cs="Times New Roman"/>
          <w:sz w:val="28"/>
          <w:szCs w:val="28"/>
          <w:lang w:val="en-US" w:eastAsia="zh-CN"/>
        </w:rPr>
        <w:t>绿色金融、生物多样性、蓝色金融</w:t>
      </w:r>
      <w:r>
        <w:rPr>
          <w:rFonts w:hint="default" w:ascii="Times New Roman" w:hAnsi="Times New Roman" w:eastAsia="仿宋_GB2312" w:cs="Times New Roman"/>
          <w:sz w:val="28"/>
          <w:szCs w:val="28"/>
          <w:lang w:val="en-US" w:eastAsia="zh-CN"/>
        </w:rPr>
        <w:t>迎来快速发展期，本行特色优势充分发挥，预计到2030年绿色贷款余额突破25亿元，蓝色贷款余额突破15亿元，成为本行重要的业务增长极和利润增长点。对盈利能力的影响</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基准情景下：自然相关风险对盈利的影响有限，风险成本小幅上升，绿色蓝色业务贡献逐步增加，整体盈利保持稳定增长。压力情景下：短期不良贷款增加导致拨备计提增多，盈利受到一定冲击。但长期来看，信贷结构优化完成后，绿色蓝色业务的良好成长性将支撑盈利持续增长。乐观情景下：</w:t>
      </w:r>
      <w:r>
        <w:rPr>
          <w:rFonts w:hint="eastAsia" w:ascii="Times New Roman" w:hAnsi="Times New Roman" w:eastAsia="仿宋_GB2312" w:cs="Times New Roman"/>
          <w:sz w:val="28"/>
          <w:szCs w:val="28"/>
          <w:lang w:val="en-US" w:eastAsia="zh-CN"/>
        </w:rPr>
        <w:t>绿色金融、生物多样性、蓝色金融</w:t>
      </w:r>
      <w:r>
        <w:rPr>
          <w:rFonts w:hint="default" w:ascii="Times New Roman" w:hAnsi="Times New Roman" w:eastAsia="仿宋_GB2312" w:cs="Times New Roman"/>
          <w:sz w:val="28"/>
          <w:szCs w:val="28"/>
          <w:lang w:val="en-US" w:eastAsia="zh-CN"/>
        </w:rPr>
        <w:t>业务快速发展，成为新的盈利增长点，带动本行盈利能力提升。同时，良好的生态环境降低了物理风险损失，风险成本下降，进一步改善盈利水平。</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3"/>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（3）</w:t>
      </w:r>
      <w:r>
        <w:rPr>
          <w:rFonts w:hint="default" w:ascii="Times New Roman" w:hAnsi="Times New Roman" w:eastAsia="仿宋_GB2312" w:cs="Times New Roman"/>
          <w:b/>
          <w:bCs/>
          <w:sz w:val="28"/>
          <w:szCs w:val="28"/>
          <w:lang w:val="en-US" w:eastAsia="zh-CN"/>
        </w:rPr>
        <w:t>情景分析结论</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情景分析表明，自然相关因素对本行的影响是多维度的，既存在风险挑战，也蕴含发展机遇。压力情景下本行面临较大的短期风险冲击，但整体风险仍在可承受范围内；乐观情景下本行有望凭借蓝色金融、绿色金融特色实现差异化发展，获得显著的发展红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基于情景分析结果，本行将坚持</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风险防控与机遇把握并重</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的原则，一方面加强自然相关风险管控，积极应对物理风险和转型风险挑战；另一方面抢抓绿色发展、蓝色经济机遇，加快特色金融业务发展，推动业务结构绿色化转型，不断提升发展韧性。</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w:t>
      </w:r>
      <w:r>
        <w:rPr>
          <w:rFonts w:hint="eastAsia" w:ascii="Times New Roman" w:hAnsi="Times New Roman" w:eastAsia="楷体" w:cs="Times New Roman"/>
          <w:b/>
          <w:bCs/>
          <w:sz w:val="28"/>
          <w:szCs w:val="28"/>
          <w:lang w:val="en-US" w:eastAsia="zh-CN"/>
        </w:rPr>
        <w:t>四</w:t>
      </w:r>
      <w:r>
        <w:rPr>
          <w:rFonts w:hint="default" w:ascii="Times New Roman" w:hAnsi="Times New Roman" w:eastAsia="楷体" w:cs="Times New Roman"/>
          <w:b/>
          <w:bCs/>
          <w:sz w:val="28"/>
          <w:szCs w:val="28"/>
          <w:lang w:val="en-US" w:eastAsia="zh-CN"/>
        </w:rPr>
        <w:t>）LEAP评估：Prepare应对措施</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 战略规划</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本行将自然相关因素全面融入发展战略，在《莆田农商银行推进绿色金融高质量发展行动方案（2026-2027年）》中明确了自然相关风险管理和可持续金融发展的战略目标与实施路径。</w:t>
      </w:r>
    </w:p>
    <w:p>
      <w:pPr>
        <w:keepNext w:val="0"/>
        <w:keepLines w:val="0"/>
        <w:pageBreakBefore w:val="0"/>
        <w:kinsoku/>
        <w:wordWrap/>
        <w:overflowPunct/>
        <w:topLinePunct w:val="0"/>
        <w:autoSpaceDE/>
        <w:autoSpaceDN/>
        <w:bidi w:val="0"/>
        <w:adjustRightInd/>
        <w:snapToGrid/>
        <w:spacing w:line="500" w:lineRule="exact"/>
        <w:ind w:firstLine="562" w:firstLineChars="200"/>
        <w:jc w:val="both"/>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b/>
          <w:bCs/>
          <w:sz w:val="28"/>
          <w:szCs w:val="28"/>
          <w:lang w:val="en-US" w:eastAsia="zh-CN"/>
        </w:rPr>
        <w:t>指导思想</w:t>
      </w:r>
      <w:r>
        <w:rPr>
          <w:rFonts w:hint="default" w:ascii="Times New Roman" w:hAnsi="Times New Roman" w:eastAsia="仿宋_GB2312" w:cs="Times New Roman"/>
          <w:b/>
          <w:bCs/>
          <w:sz w:val="28"/>
          <w:szCs w:val="28"/>
          <w:lang w:val="en-US" w:eastAsia="zh-CN"/>
        </w:rPr>
        <w:t>：</w:t>
      </w:r>
      <w:r>
        <w:rPr>
          <w:rFonts w:hint="default" w:ascii="Times New Roman" w:hAnsi="Times New Roman" w:eastAsia="仿宋_GB2312" w:cs="Times New Roman"/>
          <w:sz w:val="28"/>
          <w:szCs w:val="28"/>
          <w:lang w:val="en-US" w:eastAsia="zh-CN"/>
        </w:rPr>
        <w:t>坚持以习近平新时代中国特色社会主义思想为指导，全面贯彻党的二十大和二十届二中、三中、四中全会精神，深入践行习近平生态文明思想和在闽金融论述与实践经验，牢牢把握金融工作的政治性和人民性，牢固树立“绿水青山就是金山银山”“义利并举、和合共生”理念，坚决做好绿色金融大文章，打造莆田农商银行特色的绿色金融服务体系。以金融“活水”培育绿色生产力、引导绿色生产生活方式，协同推进降碳、减污、扩绿、增长，助力经济社会发展全面绿色转型，推动实现碳达峰、碳中和目标，为莆田加快建设绿色高质量发展先行市贡献农商力量。</w:t>
      </w:r>
    </w:p>
    <w:p>
      <w:pPr>
        <w:keepNext w:val="0"/>
        <w:keepLines w:val="0"/>
        <w:pageBreakBefore w:val="0"/>
        <w:kinsoku/>
        <w:wordWrap/>
        <w:overflowPunct/>
        <w:topLinePunct w:val="0"/>
        <w:autoSpaceDE/>
        <w:autoSpaceDN/>
        <w:bidi w:val="0"/>
        <w:adjustRightInd/>
        <w:snapToGrid/>
        <w:spacing w:line="500" w:lineRule="exact"/>
        <w:ind w:firstLine="562" w:firstLineChars="200"/>
        <w:jc w:val="both"/>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b/>
          <w:bCs/>
          <w:sz w:val="28"/>
          <w:szCs w:val="28"/>
          <w:highlight w:val="none"/>
          <w:lang w:val="en-US" w:eastAsia="zh-CN"/>
        </w:rPr>
        <w:t>战略目标：</w:t>
      </w:r>
      <w:r>
        <w:rPr>
          <w:rFonts w:hint="default" w:ascii="Times New Roman" w:hAnsi="Times New Roman" w:eastAsia="仿宋_GB2312" w:cs="Times New Roman"/>
          <w:sz w:val="28"/>
          <w:szCs w:val="28"/>
          <w:highlight w:val="none"/>
          <w:lang w:val="en-US" w:eastAsia="zh-CN"/>
        </w:rPr>
        <w:t>力争2027年底，初步建成以绿色普惠为核心、海洋特色鲜明、生物多样性保护融入全程的绿色金融服务体系，服务领域持续拓宽、产品体系更加丰富、组织机制更加完善、风险防控更加严密、服务能力显著提升，绿色金融在支持美丽莆田建设、经济社会全面绿色转型中的作用更加凸显。一是绿色信贷规模稳步增长至2027年末，全行绿色信贷余额达8亿元，年均增幅15%，绿色信贷增速持续高于各项贷款增速，绿色信贷占比稳步提升。二是非农林领域绿色贷款加快拓展在巩固农林等传统领域绿色信贷服务的基础上，加大对制造业绿色转型、基础设施绿色升级、绿色消费与服务等领域的支持力度，力争2027年末，非农林领域绿色信贷余额达1.5亿元，年均增幅30%以上。三是绿色金融创新取得突破围绕碳金融、气候金融、生物多样性金融、蓝色金融及“五票制（林票、碳票、水票、地票、房票）”试点，持续推进产品与模式创新；至2027年末，在省联社指导下打造特色绿色贷款产品，同步探索生物多样性金融标准、蓝色金融标准试用落地途径。</w:t>
      </w:r>
    </w:p>
    <w:p>
      <w:pPr>
        <w:keepNext w:val="0"/>
        <w:keepLines w:val="0"/>
        <w:pageBreakBefore w:val="0"/>
        <w:kinsoku/>
        <w:wordWrap/>
        <w:overflowPunct/>
        <w:topLinePunct w:val="0"/>
        <w:autoSpaceDE/>
        <w:autoSpaceDN/>
        <w:bidi w:val="0"/>
        <w:adjustRightInd/>
        <w:snapToGrid/>
        <w:spacing w:line="500" w:lineRule="exact"/>
        <w:ind w:firstLine="562"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战略实施保障：</w:t>
      </w:r>
      <w:r>
        <w:rPr>
          <w:rFonts w:hint="default" w:ascii="Times New Roman" w:hAnsi="Times New Roman" w:eastAsia="仿宋_GB2312" w:cs="Times New Roman"/>
          <w:sz w:val="28"/>
          <w:szCs w:val="28"/>
          <w:lang w:val="en-US" w:eastAsia="zh-CN"/>
        </w:rPr>
        <w:t>本行从组织架构、政策制度、资源配置、绩效考核、产品创新、能力建设等多方面建立战略实施保障体系，确保</w:t>
      </w:r>
      <w:r>
        <w:rPr>
          <w:rFonts w:hint="eastAsia" w:ascii="Times New Roman" w:hAnsi="Times New Roman" w:eastAsia="仿宋_GB2312" w:cs="Times New Roman"/>
          <w:sz w:val="28"/>
          <w:szCs w:val="28"/>
          <w:lang w:val="en-US" w:eastAsia="zh-CN"/>
        </w:rPr>
        <w:t>绿色金融、生物多样性、蓝色金融</w:t>
      </w:r>
      <w:r>
        <w:rPr>
          <w:rFonts w:hint="default" w:ascii="Times New Roman" w:hAnsi="Times New Roman" w:eastAsia="仿宋_GB2312" w:cs="Times New Roman"/>
          <w:sz w:val="28"/>
          <w:szCs w:val="28"/>
          <w:lang w:val="en-US" w:eastAsia="zh-CN"/>
        </w:rPr>
        <w:t>发展战略落地见效。</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 财务规划</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自然相关因素对本行财务规划的影响主要体现在资产质量、资本占用、收益结构三个方面。</w:t>
      </w:r>
    </w:p>
    <w:p>
      <w:pPr>
        <w:keepNext w:val="0"/>
        <w:keepLines w:val="0"/>
        <w:pageBreakBefore w:val="0"/>
        <w:kinsoku/>
        <w:wordWrap/>
        <w:overflowPunct/>
        <w:topLinePunct w:val="0"/>
        <w:autoSpaceDE/>
        <w:autoSpaceDN/>
        <w:bidi w:val="0"/>
        <w:adjustRightInd/>
        <w:snapToGrid/>
        <w:spacing w:line="500" w:lineRule="exact"/>
        <w:ind w:firstLine="562"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资产质量方面：</w:t>
      </w:r>
      <w:r>
        <w:rPr>
          <w:rFonts w:hint="default" w:ascii="Times New Roman" w:hAnsi="Times New Roman" w:eastAsia="仿宋_GB2312" w:cs="Times New Roman"/>
          <w:sz w:val="28"/>
          <w:szCs w:val="28"/>
          <w:lang w:val="en-US" w:eastAsia="zh-CN"/>
        </w:rPr>
        <w:t>本行在财务预算中充分考虑自然相关风险因素，合理计提资产减值准备。针对水产养殖、农林等自然灾害高发行业，适当提高拨备计提比例，增强风险抵御能力。同时，建立自然灾害应急财务响应机制，重大灾害发生后及时评估影响、调整预算。</w:t>
      </w:r>
    </w:p>
    <w:p>
      <w:pPr>
        <w:keepNext w:val="0"/>
        <w:keepLines w:val="0"/>
        <w:pageBreakBefore w:val="0"/>
        <w:kinsoku/>
        <w:wordWrap/>
        <w:overflowPunct/>
        <w:topLinePunct w:val="0"/>
        <w:autoSpaceDE/>
        <w:autoSpaceDN/>
        <w:bidi w:val="0"/>
        <w:adjustRightInd/>
        <w:snapToGrid/>
        <w:spacing w:line="500" w:lineRule="exact"/>
        <w:ind w:firstLine="562"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资本占用方面：</w:t>
      </w:r>
      <w:r>
        <w:rPr>
          <w:rFonts w:hint="eastAsia" w:ascii="Times New Roman" w:hAnsi="Times New Roman" w:eastAsia="仿宋_GB2312" w:cs="Times New Roman"/>
          <w:sz w:val="28"/>
          <w:szCs w:val="28"/>
          <w:lang w:val="en-US" w:eastAsia="zh-CN"/>
        </w:rPr>
        <w:t>生物多样性金融、蓝色金融</w:t>
      </w:r>
      <w:r>
        <w:rPr>
          <w:rFonts w:hint="default" w:ascii="Times New Roman" w:hAnsi="Times New Roman" w:eastAsia="仿宋_GB2312" w:cs="Times New Roman"/>
          <w:sz w:val="28"/>
          <w:szCs w:val="28"/>
          <w:lang w:val="en-US" w:eastAsia="zh-CN"/>
        </w:rPr>
        <w:t>总体风险相对较低，且符合监管政策导向，本行在资本规划中优先保障生物多样性</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蓝色业务的资本需求。同时，积极关注监管政策动态，争取生物多样性信贷差异化资本优惠政策。</w:t>
      </w:r>
    </w:p>
    <w:p>
      <w:pPr>
        <w:keepNext w:val="0"/>
        <w:keepLines w:val="0"/>
        <w:pageBreakBefore w:val="0"/>
        <w:kinsoku/>
        <w:wordWrap/>
        <w:overflowPunct/>
        <w:topLinePunct w:val="0"/>
        <w:autoSpaceDE/>
        <w:autoSpaceDN/>
        <w:bidi w:val="0"/>
        <w:adjustRightInd/>
        <w:snapToGrid/>
        <w:spacing w:line="500" w:lineRule="exact"/>
        <w:ind w:firstLine="562"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收益结构方面：</w:t>
      </w:r>
      <w:r>
        <w:rPr>
          <w:rFonts w:hint="default" w:ascii="Times New Roman" w:hAnsi="Times New Roman" w:eastAsia="仿宋_GB2312" w:cs="Times New Roman"/>
          <w:sz w:val="28"/>
          <w:szCs w:val="28"/>
          <w:lang w:val="en-US" w:eastAsia="zh-CN"/>
        </w:rPr>
        <w:t>随着生物多样性金融、蓝色金融业务占比提升，本行收益结构将逐步优化。生物多样性</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蓝色贷款虽然利率相对优惠，但资产质量更优、客户粘性更强、综合收益更高，长期来看有利于改善整体盈利质量。同时，生物多样性金融中间业务收入、蓝色金融特色业务收入将逐步成为新的收益增长点。</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 xml:space="preserve">3. </w:t>
      </w:r>
      <w:r>
        <w:rPr>
          <w:rFonts w:hint="eastAsia" w:ascii="Times New Roman" w:hAnsi="Times New Roman" w:eastAsia="仿宋_GB2312" w:cs="Times New Roman"/>
          <w:b/>
          <w:bCs/>
          <w:sz w:val="28"/>
          <w:szCs w:val="28"/>
          <w:lang w:val="en-US" w:eastAsia="zh-CN"/>
        </w:rPr>
        <w:t>应对</w:t>
      </w:r>
      <w:r>
        <w:rPr>
          <w:rFonts w:hint="default" w:ascii="Times New Roman" w:hAnsi="Times New Roman" w:eastAsia="仿宋_GB2312" w:cs="Times New Roman"/>
          <w:b/>
          <w:bCs/>
          <w:sz w:val="28"/>
          <w:szCs w:val="28"/>
          <w:lang w:val="en-US" w:eastAsia="zh-CN"/>
        </w:rPr>
        <w:t>韧性</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总体来看，本行发展战略对自然相关变化具有较强的韧性和适应性。</w:t>
      </w:r>
      <w:r>
        <w:rPr>
          <w:rFonts w:hint="eastAsia" w:ascii="Times New Roman" w:hAnsi="Times New Roman" w:eastAsia="仿宋_GB2312" w:cs="Times New Roman"/>
          <w:sz w:val="28"/>
          <w:szCs w:val="28"/>
          <w:lang w:val="en-US" w:eastAsia="zh-CN"/>
        </w:rPr>
        <w:t>一是</w:t>
      </w:r>
      <w:r>
        <w:rPr>
          <w:rFonts w:hint="default" w:ascii="Times New Roman" w:hAnsi="Times New Roman" w:eastAsia="仿宋_GB2312" w:cs="Times New Roman"/>
          <w:sz w:val="28"/>
          <w:szCs w:val="28"/>
          <w:lang w:val="en-US" w:eastAsia="zh-CN"/>
        </w:rPr>
        <w:t>本土深耕优势</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本行深耕莆田本土市场，对区域生态特征、产业特点、风险规律有深刻理解，能够快速响应自然相关变化，及时调整经营策略。</w:t>
      </w:r>
      <w:r>
        <w:rPr>
          <w:rFonts w:hint="eastAsia" w:ascii="Times New Roman" w:hAnsi="Times New Roman" w:eastAsia="仿宋_GB2312" w:cs="Times New Roman"/>
          <w:sz w:val="28"/>
          <w:szCs w:val="28"/>
          <w:lang w:val="en-US" w:eastAsia="zh-CN"/>
        </w:rPr>
        <w:t>二是</w:t>
      </w:r>
      <w:r>
        <w:rPr>
          <w:rFonts w:hint="default" w:ascii="Times New Roman" w:hAnsi="Times New Roman" w:eastAsia="仿宋_GB2312" w:cs="Times New Roman"/>
          <w:sz w:val="28"/>
          <w:szCs w:val="28"/>
          <w:lang w:val="en-US" w:eastAsia="zh-CN"/>
        </w:rPr>
        <w:t>业务分散优势</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本行客户以小微企业、农户、个体工商户为主，客户数量多、单笔金额小、行业分布广，风险分散度高，单一自然风险事件对整体影响有限。</w:t>
      </w:r>
      <w:r>
        <w:rPr>
          <w:rFonts w:hint="eastAsia" w:ascii="Times New Roman" w:hAnsi="Times New Roman" w:eastAsia="仿宋_GB2312" w:cs="Times New Roman"/>
          <w:sz w:val="28"/>
          <w:szCs w:val="28"/>
          <w:lang w:val="en-US" w:eastAsia="zh-CN"/>
        </w:rPr>
        <w:t>三是</w:t>
      </w:r>
      <w:r>
        <w:rPr>
          <w:rFonts w:hint="default" w:ascii="Times New Roman" w:hAnsi="Times New Roman" w:eastAsia="仿宋_GB2312" w:cs="Times New Roman"/>
          <w:sz w:val="28"/>
          <w:szCs w:val="28"/>
          <w:lang w:val="en-US" w:eastAsia="zh-CN"/>
        </w:rPr>
        <w:t>特色先发优势</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本行蓝色金融起步早、基础好，在海洋经济领域形成了先发优势，能够更好地把握蓝色经济发展机遇</w:t>
      </w:r>
      <w:r>
        <w:rPr>
          <w:rFonts w:hint="eastAsia" w:ascii="Times New Roman" w:hAnsi="Times New Roman" w:eastAsia="仿宋_GB2312" w:cs="Times New Roman"/>
          <w:sz w:val="28"/>
          <w:szCs w:val="28"/>
          <w:lang w:val="en-US" w:eastAsia="zh-CN"/>
        </w:rPr>
        <w:t>。四是</w:t>
      </w:r>
      <w:r>
        <w:rPr>
          <w:rFonts w:hint="default" w:ascii="Times New Roman" w:hAnsi="Times New Roman" w:eastAsia="仿宋_GB2312" w:cs="Times New Roman"/>
          <w:sz w:val="28"/>
          <w:szCs w:val="28"/>
          <w:lang w:val="en-US" w:eastAsia="zh-CN"/>
        </w:rPr>
        <w:t>决策链条优势：作为地方法人银行，本行决策链条短、响应速度快，能够根据自然风险形势变化快速调整信贷政策和风控措施。</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提升方向：本行将进一步完善自然相关风险管理体系，提升风险量化评估能力；持续优化信贷结构，加大生物多样性</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蓝色领域信贷投放；加强气候与自然风险压力测试，提升极端情景下的风险应对能力；深化产品服务创新，增强对自然相关变化的适应能力。</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0"/>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五、风险与影响管理</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本行将自然相关风险纳入风险管理体系，建立了覆盖风险识别、评估、监测、控制、报告的自然相关风险管理机制，确保自然相关风险可识别、可计量、可监测、可控制。本行坚持</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预防为主、分类管理、全程管控、协同推进</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的原则，将自然相关风险管理要求嵌入授信业务全流程，融入日常经营管理各环节。</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（一）识别与评估流程</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 风险识别机制</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本行建立了多维度、多层次的自然相关风险识别机制，综合运用多种方法和工具，全面识别授信业务面临的各类自然相关风险。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（1）行业维度风险识别</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运用ENCORE工具辅助开展行业层面的自然资本风险识别，系统分析各行业对生态系统服务的依赖敞口和潜在影响，为行业风险分类提供科学依据。根据各行业对自然的依赖程度和影响程度，划分不同的自然风险等级，对</w:t>
      </w:r>
      <w:r>
        <w:rPr>
          <w:rFonts w:hint="eastAsia" w:ascii="Times New Roman" w:hAnsi="Times New Roman" w:eastAsia="仿宋_GB2312" w:cs="Times New Roman"/>
          <w:sz w:val="28"/>
          <w:szCs w:val="28"/>
          <w:lang w:val="en-US" w:eastAsia="zh-CN"/>
        </w:rPr>
        <w:t>批发零售、</w:t>
      </w:r>
      <w:r>
        <w:rPr>
          <w:rFonts w:hint="default" w:ascii="Times New Roman" w:hAnsi="Times New Roman" w:eastAsia="仿宋_GB2312" w:cs="Times New Roman"/>
          <w:sz w:val="28"/>
          <w:szCs w:val="28"/>
          <w:lang w:val="en-US" w:eastAsia="zh-CN"/>
        </w:rPr>
        <w:t>水产养殖、农林牧渔、制鞋制造、等行业，实施重点识别和管理。</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（2）区域维度风险识别</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本行结合莆田市生态空间格局，开展区域维度的自然相关风险识别。运用</w:t>
      </w:r>
      <w:r>
        <w:rPr>
          <w:rFonts w:hint="eastAsia" w:ascii="Times New Roman" w:hAnsi="Times New Roman" w:eastAsia="仿宋_GB2312" w:cs="Times New Roman"/>
          <w:sz w:val="28"/>
          <w:szCs w:val="28"/>
          <w:lang w:val="en-US" w:eastAsia="zh-CN"/>
        </w:rPr>
        <w:t>福建省</w:t>
      </w:r>
      <w:r>
        <w:rPr>
          <w:rFonts w:hint="default" w:ascii="Times New Roman" w:hAnsi="Times New Roman" w:eastAsia="仿宋_GB2312" w:cs="Times New Roman"/>
          <w:sz w:val="28"/>
          <w:szCs w:val="28"/>
          <w:lang w:val="en-US" w:eastAsia="zh-CN"/>
        </w:rPr>
        <w:t>生态环境分区管控平台等工具，将授信客户地理信息与生态保护红线、自然保护地、重要湿地、饮用水源保护区等生态敏感区域进行空间叠加，识别位于生态敏感区的授信客户和高生态风险区域的授信集中情况。重点关注区域：木兰溪源省级自然保护区及周边区域</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木兰溪口省级重要湿地及周边养殖区</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兴化湾、湄洲湾沿海养殖区</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南日岛、湄洲岛等海岛区域</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东圳水库等饮用水源保护区</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65平方公里城市生态绿心区域</w:t>
      </w:r>
      <w:r>
        <w:rPr>
          <w:rFonts w:hint="eastAsia" w:ascii="Times New Roman" w:hAnsi="Times New Roman" w:eastAsia="仿宋_GB2312" w:cs="Times New Roman"/>
          <w:sz w:val="28"/>
          <w:szCs w:val="28"/>
          <w:lang w:val="en-US" w:eastAsia="zh-CN"/>
        </w:rPr>
        <w:t>。</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（3）客户维度风险识别</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在客户授信调查环节，客户经理同步开展自然相关风险调查，收集客户环保合规信息、生态影响信息、自然灾害暴露信息等，识别客户个体层面的自然相关风险。客户风险调查要点：环保审批手续是否齐全，是否通过环保验收</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是否存在环境违法记录、行政处罚记录</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是否位于生态保护红线、自然保护地等管控区域内</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生产经营是否受台风、洪涝、干旱等自然灾害影响</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是否使用有毒有害物质，是否产生危险废物</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是否属于高耗能、高排放、高耗水企业</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是否获得绿色认证、环保认证、有机认证等</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（4）风险类型识别</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本行系统识别五类自然相关风险</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物理风险：台风、暴雨、洪涝、赤潮、高温、干旱等自然灾害和生态退化对客户经营的影响。合规风险：环保法规、生态保护政策、自然资源管控等政策法规变化导致的合规风险。信用风险：自然相关因素导致客户还款能力下降形成的信用风险。声誉风险：客户环境违法行为或生态破坏事件经媒体舆论、社会监督传播后，对本行品牌价值和市场公信力产生的负面影响。战略风险：自然相关重大变化对本行业务发展战略的影响。</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 风险评估方法</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本行建立定性与定量相结合的自然相关风险评估方法，对识别出的风险进行分级评估，确定风险等级和风险优先级。</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（1）客户环境与社会风险评级</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本行在客户信用评级中增设环境与社会风险维度，</w:t>
      </w:r>
      <w:r>
        <w:rPr>
          <w:rFonts w:hint="eastAsia" w:ascii="Times New Roman" w:hAnsi="Times New Roman" w:eastAsia="仿宋_GB2312" w:cs="Times New Roman"/>
          <w:sz w:val="28"/>
          <w:szCs w:val="28"/>
          <w:lang w:val="en-US" w:eastAsia="zh-CN"/>
        </w:rPr>
        <w:t>可</w:t>
      </w:r>
      <w:r>
        <w:rPr>
          <w:rFonts w:hint="default" w:ascii="Times New Roman" w:hAnsi="Times New Roman" w:eastAsia="仿宋_GB2312" w:cs="Times New Roman"/>
          <w:sz w:val="28"/>
          <w:szCs w:val="28"/>
          <w:lang w:val="en-US" w:eastAsia="zh-CN"/>
        </w:rPr>
        <w:t>对授信客户进行环境与社会风险分级，分为A（环境友好型）、B（合规型）、C（关注型）、D（高风险型）四级。</w:t>
      </w:r>
    </w:p>
    <w:tbl>
      <w:tblPr>
        <w:tblStyle w:val="5"/>
        <w:tblW w:w="81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35"/>
        <w:gridCol w:w="3300"/>
        <w:gridCol w:w="23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风险等级</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判定标准</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管理策略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A级（环境友好）</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获得绿色企业、环保标兵、有机认证等称号；采用清洁生产技术；环境绩效显著优于行业平均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优先支持，利率优惠，额度倾斜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B级（合规达标）</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环保手续齐全，污染物达标排放，无环境违法记录，符合生态管控要求</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正常支持，按一般信贷政策管理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C级（风险关注）</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存在轻微环保问题，或位于生态敏感区周边，或受自然灾害影响较大</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从严审查，加强贷后监测，要求整改提升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D级（高风险）</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存在重大环境违法行为，或位于生态保护红线内，或环保不达标且整改无望</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禁止新增授信，逐步压降存量，择机退出</w:t>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（2）项目环境影响评估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对固定资产贷款、项目贷款等大额授信项目，本行要求客户提供环境影响评价报告，并对项目的生态环境影响进行专项评估。重大项目委托第三方专业机构开展环境风险评估。重点评估内容：项目选址是否符合生态环境分区管控要求</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项目建设和运营对周边生态系统、生物多样性的影响</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项目污染治理措施是否完善，污染物排放是否达标</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项目面临的自然灾害风险及应对措施</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项目是否符合绿色产业、蓝色经济政策导向</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（3）组合风险评估</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定期开展全行层面的自然相关组合风险评估，分析各行业、各区域自然相关风险敞口分布，评估集中度风险和系统性风险，为信贷结构调整提供依据。组合风险评估每半年开展一次，由风险管理部牵头，公司金融部、个人金融部、信贷管理部等部门配合，形成自然相关风险评估报告，报送高级管理层和董事会风险管理委员会。</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（4）压力测试</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探索开展自然相关风险压力测试，设置极端灾害情景、政策收紧情景等压力场景，评估极端情况下本行资产质量变化和风险承受能力。开展灾害情景压力测试和环保政策收紧情景压力测试，初步建立了自然相关风险压力测试方法论。</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（二）风险管理流程</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 授信全流程风险管控</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本行将自然相关风险管理要求嵌入授信业务全流程，建立</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贷前调查、贷中审查、贷后检查</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三道防线，实现自然相关风险的管控。</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（1）贷前调查环节</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客户经理在贷前调查中，开展环境与社会风险调查，填写《客户环境与社会风险调查表》，作为授信申报材料的组成部分。对高风险行业客户和大额授信客户，必须进行现场环保核查，核实客户环保设施运行情况、污染物排放情况、生态保护措施落实情况。</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贷前调查实行环保</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一票否决</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制。对存在以下情况的客户，不得受理授信申请：位于生态保护红线、自然保护地核心区内的生产经营性项目</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项目未取得环境影响评价审批文件的</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存在重大环境违法行为，被列入环保失信名单的</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使用淘汰类工艺技术、设备，属于产业政策明令淘汰的</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其他重大环境违法违规情形</w:t>
      </w:r>
      <w:r>
        <w:rPr>
          <w:rFonts w:hint="eastAsia" w:ascii="Times New Roman" w:hAnsi="Times New Roman" w:eastAsia="仿宋_GB2312" w:cs="Times New Roman"/>
          <w:sz w:val="28"/>
          <w:szCs w:val="28"/>
          <w:lang w:val="en-US" w:eastAsia="zh-CN"/>
        </w:rPr>
        <w:t>。</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（2）贷中审查审批环节</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授信审批部门在授信审查中，将环境与社会风险作为重要审查内容，对客户环境风险等级进行复核，评估自然相关风险对授信安全的影响。对C类、D类风险客户，审查人员必须出具专项风险意见。</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分级审批机制：</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•A级、B级客户按正常审批权限审批</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•C级客户上收一级审批权限，由分行级审批</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•D级客户：原则上不得新增授信，特殊情况需总行审批</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•生态敏感区内项目：一律报总行审批</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对环境友好型客户和</w:t>
      </w:r>
      <w:r>
        <w:rPr>
          <w:rFonts w:hint="eastAsia" w:ascii="Times New Roman" w:hAnsi="Times New Roman" w:eastAsia="仿宋_GB2312" w:cs="Times New Roman"/>
          <w:sz w:val="28"/>
          <w:szCs w:val="28"/>
          <w:lang w:val="en-US" w:eastAsia="zh-CN"/>
        </w:rPr>
        <w:t>生物多样性</w:t>
      </w:r>
      <w:r>
        <w:rPr>
          <w:rFonts w:hint="default" w:ascii="Times New Roman" w:hAnsi="Times New Roman" w:eastAsia="仿宋_GB2312" w:cs="Times New Roman"/>
          <w:sz w:val="28"/>
          <w:szCs w:val="28"/>
          <w:lang w:val="en-US" w:eastAsia="zh-CN"/>
        </w:rPr>
        <w:t>项目，本行开辟绿色审批通道，优先安排审查审批，提高审批效率。对蓝色金融特色产品，设立专门的蓝色信贷审批通道。</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（3）贷后管理环节</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客户经理在贷后检查中，将客户环保合规情况、生态风险变化情况纳入常规检查内容，定期监测客户自然相关风险变化。对C类、D类客户适当提高检查频率，加强风险监测。</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贷后监测重点：客户环保政策执行情况，是否出现新的环境违法违规行为</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客户环保设施运行情况，污染物排放是否稳定达标</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周边生态环境变化对客户生产经营的影响</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自然灾害发生后客户受损情况及恢复情况</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环保政策变化对客户经营的影响</w:t>
      </w:r>
      <w:r>
        <w:rPr>
          <w:rFonts w:hint="eastAsia" w:ascii="Times New Roman" w:hAnsi="Times New Roman" w:eastAsia="仿宋_GB2312" w:cs="Times New Roman"/>
          <w:sz w:val="28"/>
          <w:szCs w:val="28"/>
          <w:lang w:val="en-US" w:eastAsia="zh-CN"/>
        </w:rPr>
        <w:t>。</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建立自然相关风险预警机制。对出现环保处罚、环境污染事故、重大自然灾害等风险信号的客户，及时启动风险预警，采取追加担保、调整授信额度、提前收贷等风险处置措施。</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 分类风险管理措施</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针对不同类型的自然相关风险，本行采取差异化的风险管理策略和措施。</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（1）物理风险管理</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针对台风、洪涝、赤潮等自然灾害风险，本行重点采取以下管理措施：</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•风险分散：合理控制单一区域、单一行业自然灾害风险敞口，避免风险过度集中。</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•保险配套：鼓励和引导客户购买农业保险、渔业保险、财产保险等自然灾害保险，分散灾害损失风险。本行积极对接政策性保险产品，为客户提供</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信贷+保险</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综合服务。</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•应急机制：建立自然灾害应急响应机制，重大灾害发生后快速摸排受灾客户情况，及时采取风险处置措施，同时做好灾后重建金融服务。</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•灾后重建：对受灾严重但基本面良好的客户，采取展期、无还本续贷等措施帮助客户渡过难关，同时支持灾后恢复重建。</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（2）转型风险管理</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针对环保政策收紧、产业转型带来的转型风险，本行重点采取以下管理措施：</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•名单制管理：建立环保重点监管客户名单、落后产能客户名单，实施名单制动态管理，逐步压缩退出高风险客户。</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•有序退出：对不符合环保政策、整改无望的高污染、高耗能客户，制定退出计划，逐步有序退出，避免</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一刀切</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引发的集中风险。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•支持转型：对有整改意愿和转型潜力的客户，积极支持其开展环保改造、技术升级，帮助企业实现绿色转型，从源头上降低转型风险。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•政策跟踪：密切跟踪国家和地方环保政策、产业政策变化，提前研判政策影响，及时调整信贷政策和风控措施。</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（3）生物多样性风险管理</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针对生物多样性相关风险，本行重点采取以下管理措施：</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•空间管控：严格控制生态保护红线、自然保护地、重要湿地等生物多样性敏感区域内的授信投放，禁止支持破坏生物多样性的项目。</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•负面清单：制定生物多样性保护负面清单，禁止支持非法采伐、非法捕捞、非法野生物交易等破坏生物多样性的业务。</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•影响评估：对可能对生物多样性产生重大影响的项目，要求开展生物多样性影响评估，制定生物多样性保护措施。</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•正向引导：积极支持生物多样性保护、生态修复、自然保护地建设等有利于生物多样性的项目。</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（4）声誉风险管理</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针对客户环境违法、生态破坏事件可能引发的声誉风险，本行将声誉风险管理纳入全面风险管理体系，与信用风险、操作风险等其他风险统筹管理，重点采取以下管理措施：</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•源头防控：严格执行环保“一票否决”和负面准入清单制度，严禁支持生态保护红线、自然保护地核心区内的生产经营性项目，从授信源头防范可能引发声誉事件的生态破坏行为。</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•全流程核查：贷前对高风险客户开展现场环保核查并引入第三方专业环境评估，贷中强化生态敏感区项目审查，贷后动态监测客户环保合规情况，及时排查处置风险隐患，防止声誉风险事件发生。</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•舆情监测：建立环境舆情监测与声誉风险预警机制，密切跟踪客户环境违法、污染事故、生态破坏等舆情信息，主动对接生态环境部门、媒体等信息渠道，对可能引发声誉风险的事件早识别、早预警、早处置。</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信息披露与沟通：持续加强自然相关信息披露，主动开展与监管机构、股东、客户、社区公众等利益相关方的沟通交流，及时回应社会关切，充分展示本行自然相关风险管理成效，正向引导市场预期，提升品牌声誉。</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•应急处置：制定声誉事件应急预案，对客户重大环境事件可能引发的声誉风险，及时启动应急响应，规范信息发布口径，妥善处置负面舆情，最大限度降低声誉损失。</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 风险监测与报告</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建立多层次的自然相关风险监测体系，实现对自然相关风险的动态监测。日常监测：客户经理在贷后管理中持续监测客户自然相关风险变化，及时发现风险隐患。专项监测：风险管理部定期对重点行业、重点区域的自然相关风险开展专项监测。预警监测：对接生态环境部门、自然资源部门信息，及时获取客户环境违法、灾害预警等风险信号，自动触发风险预警。组合监测：对全行自然相关风险敞口、行业分布、区域分布进行组合层面的动态监测，关注集中度风险变化。声誉监测：持续关注客户环境违法、生态破坏事件及本行自然相关经营管理行为可能引发的舆情动态，将声誉风险纳入日常监测范围，及时预警、及时处置，防范声誉风险向信用风险、流动性风险传导。</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建立规范的自然相关风险报告机制，向管理层和董事会报告风险状况。</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0"/>
        <w:rPr>
          <w:rFonts w:hint="default" w:ascii="Times New Roman" w:hAnsi="Times New Roman" w:eastAsia="仿宋_GB2312" w:cs="Times New Roman"/>
          <w:sz w:val="28"/>
          <w:szCs w:val="28"/>
          <w:lang w:val="en-US" w:eastAsia="zh-CN"/>
        </w:rPr>
      </w:pPr>
      <w:r>
        <w:rPr>
          <w:rFonts w:hint="default" w:ascii="Times New Roman" w:hAnsi="Times New Roman" w:eastAsia="黑体" w:cs="Times New Roman"/>
          <w:sz w:val="28"/>
          <w:szCs w:val="28"/>
          <w:lang w:val="en-US" w:eastAsia="zh-CN"/>
        </w:rPr>
        <w:t>六、指标与目标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建立多层次的自然相关指标体系，用于监测评估自然相关风险状况、管理成效和业务进展。设定清晰的自然相关发展目标，并根据实施情况动态调整优化。通过量化指标和目标管理，推动自然相关风险管理和可持续金融业务持续提升。</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（一）自然相关依赖与影响、风险与机遇指标</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1.依赖与影响指标</w:t>
      </w:r>
    </w:p>
    <w:p>
      <w:pPr>
        <w:widowControl/>
        <w:snapToGrid/>
        <w:spacing w:line="500" w:lineRule="exact"/>
        <w:ind w:firstLine="560" w:firstLineChars="200"/>
        <w:rPr>
          <w:rFonts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rPr>
        <w:t>参考TNFD建议中自然相关依赖与影响的全球核心披露指标，以此对外披露，指标统计范围为2025年全年。</w:t>
      </w:r>
    </w:p>
    <w:tbl>
      <w:tblPr>
        <w:tblStyle w:val="6"/>
        <w:tblW w:w="84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3"/>
        <w:gridCol w:w="3986"/>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713" w:type="dxa"/>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b/>
                <w:bCs/>
                <w:color w:val="000000"/>
                <w:kern w:val="0"/>
                <w:sz w:val="24"/>
                <w:szCs w:val="24"/>
                <w:u w:val="none"/>
                <w:lang w:bidi="ar"/>
              </w:rPr>
            </w:pPr>
            <w:r>
              <w:rPr>
                <w:rFonts w:hint="default" w:ascii="Times New Roman" w:hAnsi="Times New Roman" w:eastAsia="仿宋_GB2312" w:cs="Times New Roman"/>
                <w:b/>
                <w:bCs/>
                <w:color w:val="000000"/>
                <w:kern w:val="0"/>
                <w:sz w:val="24"/>
                <w:szCs w:val="24"/>
                <w:u w:val="none"/>
                <w:lang w:bidi="ar"/>
              </w:rPr>
              <w:t>自然变化的驱动因素</w:t>
            </w:r>
          </w:p>
        </w:tc>
        <w:tc>
          <w:tcPr>
            <w:tcW w:w="3986" w:type="dxa"/>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b/>
                <w:bCs/>
                <w:color w:val="000000"/>
                <w:kern w:val="0"/>
                <w:sz w:val="24"/>
                <w:szCs w:val="24"/>
                <w:u w:val="none"/>
                <w:lang w:bidi="ar"/>
              </w:rPr>
            </w:pPr>
            <w:r>
              <w:rPr>
                <w:rFonts w:hint="default" w:ascii="Times New Roman" w:hAnsi="Times New Roman" w:eastAsia="仿宋_GB2312" w:cs="Times New Roman"/>
                <w:b/>
                <w:bCs/>
                <w:color w:val="000000"/>
                <w:kern w:val="0"/>
                <w:sz w:val="24"/>
                <w:szCs w:val="24"/>
                <w:u w:val="none"/>
                <w:lang w:bidi="ar"/>
              </w:rPr>
              <w:t>指标</w:t>
            </w:r>
          </w:p>
        </w:tc>
        <w:tc>
          <w:tcPr>
            <w:tcW w:w="1800" w:type="dxa"/>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b/>
                <w:bCs/>
                <w:color w:val="000000"/>
                <w:kern w:val="0"/>
                <w:sz w:val="24"/>
                <w:szCs w:val="24"/>
                <w:u w:val="none"/>
                <w:lang w:bidi="ar"/>
              </w:rPr>
            </w:pPr>
            <w:r>
              <w:rPr>
                <w:rFonts w:hint="default" w:ascii="Times New Roman" w:hAnsi="Times New Roman" w:eastAsia="仿宋_GB2312" w:cs="Times New Roman"/>
                <w:b/>
                <w:bCs/>
                <w:color w:val="000000"/>
                <w:kern w:val="0"/>
                <w:sz w:val="24"/>
                <w:szCs w:val="24"/>
                <w:u w:val="none"/>
                <w:lang w:bidi="ar"/>
              </w:rPr>
              <w:t>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Merge w:val="restart"/>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气候变化</w:t>
            </w:r>
          </w:p>
        </w:tc>
        <w:tc>
          <w:tcPr>
            <w:tcW w:w="3986" w:type="dxa"/>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温室气体总排放量（tCO</w:t>
            </w:r>
            <w:r>
              <w:rPr>
                <w:rFonts w:hint="default" w:ascii="Times New Roman" w:hAnsi="Times New Roman" w:eastAsia="仿宋_GB2312" w:cs="Times New Roman"/>
                <w:color w:val="000000"/>
                <w:kern w:val="0"/>
                <w:sz w:val="24"/>
                <w:szCs w:val="24"/>
                <w:u w:val="none"/>
                <w:vertAlign w:val="baseline"/>
                <w:lang w:bidi="ar"/>
              </w:rPr>
              <w:t>2</w:t>
            </w:r>
            <w:r>
              <w:rPr>
                <w:rFonts w:hint="default" w:ascii="Times New Roman" w:hAnsi="Times New Roman" w:eastAsia="仿宋_GB2312" w:cs="Times New Roman"/>
                <w:color w:val="000000"/>
                <w:kern w:val="0"/>
                <w:sz w:val="24"/>
                <w:szCs w:val="24"/>
                <w:u w:val="none"/>
                <w:lang w:bidi="ar"/>
              </w:rPr>
              <w:t>e）</w:t>
            </w:r>
          </w:p>
        </w:tc>
        <w:tc>
          <w:tcPr>
            <w:tcW w:w="1800" w:type="dxa"/>
            <w:vAlign w:val="center"/>
          </w:tcPr>
          <w:p>
            <w:pPr>
              <w:widowControl/>
              <w:snapToGrid/>
              <w:spacing w:line="240" w:lineRule="auto"/>
              <w:ind w:firstLine="0" w:firstLineChars="0"/>
              <w:jc w:val="center"/>
              <w:textAlignment w:val="center"/>
              <w:rPr>
                <w:rFonts w:hint="default"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eastAsia="zh-CN" w:bidi="ar"/>
              </w:rPr>
              <w:t>2</w:t>
            </w:r>
            <w:r>
              <w:rPr>
                <w:rFonts w:hint="eastAsia" w:ascii="Times New Roman" w:hAnsi="Times New Roman" w:eastAsia="仿宋_GB2312" w:cs="Times New Roman"/>
                <w:color w:val="000000"/>
                <w:kern w:val="0"/>
                <w:sz w:val="24"/>
                <w:szCs w:val="24"/>
                <w:u w:val="none"/>
                <w:lang w:val="en-US" w:eastAsia="zh-CN" w:bidi="ar"/>
              </w:rPr>
              <w:t>36.51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Merge w:val="continue"/>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p>
        </w:tc>
        <w:tc>
          <w:tcPr>
            <w:tcW w:w="3986" w:type="dxa"/>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范围一（tCO</w:t>
            </w:r>
            <w:r>
              <w:rPr>
                <w:rFonts w:hint="default" w:ascii="Times New Roman" w:hAnsi="Times New Roman" w:eastAsia="仿宋_GB2312" w:cs="Times New Roman"/>
                <w:color w:val="000000"/>
                <w:kern w:val="0"/>
                <w:sz w:val="24"/>
                <w:szCs w:val="24"/>
                <w:u w:val="none"/>
                <w:vertAlign w:val="baseline"/>
                <w:lang w:bidi="ar"/>
              </w:rPr>
              <w:t>2</w:t>
            </w:r>
            <w:r>
              <w:rPr>
                <w:rFonts w:hint="default" w:ascii="Times New Roman" w:hAnsi="Times New Roman" w:eastAsia="仿宋_GB2312" w:cs="Times New Roman"/>
                <w:color w:val="000000"/>
                <w:kern w:val="0"/>
                <w:sz w:val="24"/>
                <w:szCs w:val="24"/>
                <w:u w:val="none"/>
                <w:lang w:bidi="ar"/>
              </w:rPr>
              <w:t>e）</w:t>
            </w:r>
          </w:p>
        </w:tc>
        <w:tc>
          <w:tcPr>
            <w:tcW w:w="1800" w:type="dxa"/>
            <w:vAlign w:val="center"/>
          </w:tcPr>
          <w:p>
            <w:pPr>
              <w:widowControl/>
              <w:snapToGrid/>
              <w:spacing w:line="240" w:lineRule="auto"/>
              <w:ind w:firstLine="0" w:firstLineChars="0"/>
              <w:jc w:val="center"/>
              <w:textAlignment w:val="center"/>
              <w:rPr>
                <w:rFonts w:hint="default"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eastAsia="zh-CN" w:bidi="ar"/>
              </w:rPr>
              <w:t>9</w:t>
            </w:r>
            <w:r>
              <w:rPr>
                <w:rFonts w:hint="eastAsia" w:ascii="Times New Roman" w:hAnsi="Times New Roman" w:eastAsia="仿宋_GB2312" w:cs="Times New Roman"/>
                <w:color w:val="000000"/>
                <w:kern w:val="0"/>
                <w:sz w:val="24"/>
                <w:szCs w:val="24"/>
                <w:u w:val="none"/>
                <w:lang w:val="en-US" w:eastAsia="zh-CN" w:bidi="ar"/>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Merge w:val="continue"/>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p>
        </w:tc>
        <w:tc>
          <w:tcPr>
            <w:tcW w:w="3986" w:type="dxa"/>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范围二（tCO</w:t>
            </w:r>
            <w:r>
              <w:rPr>
                <w:rFonts w:hint="default" w:ascii="Times New Roman" w:hAnsi="Times New Roman" w:eastAsia="仿宋_GB2312" w:cs="Times New Roman"/>
                <w:color w:val="000000"/>
                <w:kern w:val="0"/>
                <w:sz w:val="24"/>
                <w:szCs w:val="24"/>
                <w:u w:val="none"/>
                <w:vertAlign w:val="baseline"/>
                <w:lang w:bidi="ar"/>
              </w:rPr>
              <w:t>2</w:t>
            </w:r>
            <w:r>
              <w:rPr>
                <w:rFonts w:hint="default" w:ascii="Times New Roman" w:hAnsi="Times New Roman" w:eastAsia="仿宋_GB2312" w:cs="Times New Roman"/>
                <w:color w:val="000000"/>
                <w:kern w:val="0"/>
                <w:sz w:val="24"/>
                <w:szCs w:val="24"/>
                <w:u w:val="none"/>
                <w:lang w:bidi="ar"/>
              </w:rPr>
              <w:t>e）</w:t>
            </w:r>
          </w:p>
        </w:tc>
        <w:tc>
          <w:tcPr>
            <w:tcW w:w="1800" w:type="dxa"/>
            <w:vAlign w:val="center"/>
          </w:tcPr>
          <w:p>
            <w:pPr>
              <w:widowControl/>
              <w:snapToGrid/>
              <w:spacing w:line="240" w:lineRule="auto"/>
              <w:ind w:firstLine="0" w:firstLineChars="0"/>
              <w:jc w:val="center"/>
              <w:textAlignment w:val="center"/>
              <w:rPr>
                <w:rFonts w:hint="default"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eastAsia="zh-CN" w:bidi="ar"/>
              </w:rPr>
              <w:t>2</w:t>
            </w:r>
            <w:r>
              <w:rPr>
                <w:rFonts w:hint="eastAsia" w:ascii="Times New Roman" w:hAnsi="Times New Roman" w:eastAsia="仿宋_GB2312" w:cs="Times New Roman"/>
                <w:color w:val="000000"/>
                <w:kern w:val="0"/>
                <w:sz w:val="24"/>
                <w:szCs w:val="24"/>
                <w:u w:val="none"/>
                <w:lang w:val="en-US" w:eastAsia="zh-CN" w:bidi="ar"/>
              </w:rPr>
              <w:t>03.32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Merge w:val="continue"/>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p>
        </w:tc>
        <w:tc>
          <w:tcPr>
            <w:tcW w:w="3986" w:type="dxa"/>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人均温室气体排放量（tCO</w:t>
            </w:r>
            <w:r>
              <w:rPr>
                <w:rFonts w:hint="default" w:ascii="Times New Roman" w:hAnsi="Times New Roman" w:eastAsia="仿宋_GB2312" w:cs="Times New Roman"/>
                <w:color w:val="000000"/>
                <w:kern w:val="0"/>
                <w:sz w:val="24"/>
                <w:szCs w:val="24"/>
                <w:u w:val="none"/>
                <w:vertAlign w:val="baseline"/>
                <w:lang w:bidi="ar"/>
              </w:rPr>
              <w:t>2</w:t>
            </w:r>
            <w:r>
              <w:rPr>
                <w:rFonts w:hint="default" w:ascii="Times New Roman" w:hAnsi="Times New Roman" w:eastAsia="仿宋_GB2312" w:cs="Times New Roman"/>
                <w:color w:val="000000"/>
                <w:kern w:val="0"/>
                <w:sz w:val="24"/>
                <w:szCs w:val="24"/>
                <w:u w:val="none"/>
                <w:lang w:bidi="ar"/>
              </w:rPr>
              <w:t>e/人）</w:t>
            </w:r>
          </w:p>
        </w:tc>
        <w:tc>
          <w:tcPr>
            <w:tcW w:w="1800" w:type="dxa"/>
            <w:vAlign w:val="center"/>
          </w:tcPr>
          <w:p>
            <w:pPr>
              <w:widowControl/>
              <w:snapToGrid/>
              <w:spacing w:line="240" w:lineRule="auto"/>
              <w:ind w:firstLine="0" w:firstLineChars="0"/>
              <w:jc w:val="center"/>
              <w:textAlignment w:val="center"/>
              <w:rPr>
                <w:rFonts w:hint="default"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eastAsia="zh-CN" w:bidi="ar"/>
              </w:rPr>
              <w:t>0</w:t>
            </w:r>
            <w:r>
              <w:rPr>
                <w:rFonts w:hint="eastAsia" w:ascii="Times New Roman" w:hAnsi="Times New Roman" w:eastAsia="仿宋_GB2312" w:cs="Times New Roman"/>
                <w:color w:val="000000"/>
                <w:kern w:val="0"/>
                <w:sz w:val="24"/>
                <w:szCs w:val="24"/>
                <w:u w:val="none"/>
                <w:lang w:val="en-US" w:eastAsia="zh-CN" w:bidi="ar"/>
              </w:rPr>
              <w:t>.289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Merge w:val="restart"/>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能源、资源利用</w:t>
            </w:r>
          </w:p>
        </w:tc>
        <w:tc>
          <w:tcPr>
            <w:tcW w:w="3986" w:type="dxa"/>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自有交通运输工具所消耗的汽油（L）</w:t>
            </w:r>
          </w:p>
        </w:tc>
        <w:tc>
          <w:tcPr>
            <w:tcW w:w="1800" w:type="dxa"/>
            <w:vAlign w:val="center"/>
          </w:tcPr>
          <w:p>
            <w:pPr>
              <w:widowControl/>
              <w:snapToGrid/>
              <w:spacing w:line="240" w:lineRule="auto"/>
              <w:ind w:firstLine="0" w:firstLineChars="0"/>
              <w:jc w:val="center"/>
              <w:textAlignment w:val="center"/>
              <w:rPr>
                <w:rFonts w:hint="default"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eastAsia="zh-CN" w:bidi="ar"/>
              </w:rPr>
              <w:t>3</w:t>
            </w:r>
            <w:r>
              <w:rPr>
                <w:rFonts w:hint="eastAsia" w:ascii="Times New Roman" w:hAnsi="Times New Roman" w:eastAsia="仿宋_GB2312" w:cs="Times New Roman"/>
                <w:color w:val="000000"/>
                <w:kern w:val="0"/>
                <w:sz w:val="24"/>
                <w:szCs w:val="24"/>
                <w:u w:val="none"/>
                <w:lang w:val="en-US" w:eastAsia="zh-CN" w:bidi="ar"/>
              </w:rPr>
              <w:t>582.09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Merge w:val="continue"/>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p>
        </w:tc>
        <w:tc>
          <w:tcPr>
            <w:tcW w:w="3986" w:type="dxa"/>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营业、办公活动所消耗的水（t）</w:t>
            </w:r>
          </w:p>
        </w:tc>
        <w:tc>
          <w:tcPr>
            <w:tcW w:w="1800" w:type="dxa"/>
            <w:vAlign w:val="center"/>
          </w:tcPr>
          <w:p>
            <w:pPr>
              <w:widowControl/>
              <w:snapToGrid/>
              <w:spacing w:line="240" w:lineRule="auto"/>
              <w:ind w:firstLine="0" w:firstLineChars="0"/>
              <w:jc w:val="center"/>
              <w:textAlignment w:val="center"/>
              <w:rPr>
                <w:rFonts w:hint="default"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eastAsia="zh-CN" w:bidi="ar"/>
              </w:rPr>
              <w:t>2</w:t>
            </w:r>
            <w:r>
              <w:rPr>
                <w:rFonts w:hint="eastAsia" w:ascii="Times New Roman" w:hAnsi="Times New Roman" w:eastAsia="仿宋_GB2312" w:cs="Times New Roman"/>
                <w:color w:val="000000"/>
                <w:kern w:val="0"/>
                <w:sz w:val="24"/>
                <w:szCs w:val="24"/>
                <w:u w:val="none"/>
                <w:lang w:val="en-US" w:eastAsia="zh-CN" w:bidi="ar"/>
              </w:rPr>
              <w:t>7340.58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Merge w:val="continue"/>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p>
        </w:tc>
        <w:tc>
          <w:tcPr>
            <w:tcW w:w="3986" w:type="dxa"/>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营业、办公所消耗的电力（MWh）</w:t>
            </w:r>
          </w:p>
        </w:tc>
        <w:tc>
          <w:tcPr>
            <w:tcW w:w="1800" w:type="dxa"/>
            <w:vAlign w:val="center"/>
          </w:tcPr>
          <w:p>
            <w:pPr>
              <w:widowControl/>
              <w:snapToGrid/>
              <w:spacing w:line="240" w:lineRule="auto"/>
              <w:ind w:firstLine="0" w:firstLineChars="0"/>
              <w:jc w:val="center"/>
              <w:textAlignment w:val="center"/>
              <w:rPr>
                <w:rFonts w:hint="default"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eastAsia="zh-CN" w:bidi="ar"/>
              </w:rPr>
              <w:t>3</w:t>
            </w:r>
            <w:r>
              <w:rPr>
                <w:rFonts w:hint="eastAsia" w:ascii="Times New Roman" w:hAnsi="Times New Roman" w:eastAsia="仿宋_GB2312" w:cs="Times New Roman"/>
                <w:color w:val="000000"/>
                <w:kern w:val="0"/>
                <w:sz w:val="24"/>
                <w:szCs w:val="24"/>
                <w:u w:val="none"/>
                <w:lang w:val="en-US" w:eastAsia="zh-CN" w:bidi="ar"/>
              </w:rPr>
              <w:t>50.55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Merge w:val="continue"/>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p>
        </w:tc>
        <w:tc>
          <w:tcPr>
            <w:tcW w:w="3986" w:type="dxa"/>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营业、办公所使用的纸张（t）</w:t>
            </w:r>
          </w:p>
        </w:tc>
        <w:tc>
          <w:tcPr>
            <w:tcW w:w="1800" w:type="dxa"/>
            <w:vAlign w:val="center"/>
          </w:tcPr>
          <w:p>
            <w:pPr>
              <w:widowControl/>
              <w:snapToGrid/>
              <w:spacing w:line="240" w:lineRule="auto"/>
              <w:ind w:firstLine="0" w:firstLineChars="0"/>
              <w:jc w:val="center"/>
              <w:textAlignment w:val="center"/>
              <w:rPr>
                <w:rFonts w:hint="default"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eastAsia="zh-CN" w:bidi="ar"/>
              </w:rPr>
              <w:t>1</w:t>
            </w:r>
            <w:r>
              <w:rPr>
                <w:rFonts w:hint="eastAsia" w:ascii="Times New Roman" w:hAnsi="Times New Roman" w:eastAsia="仿宋_GB2312" w:cs="Times New Roman"/>
                <w:color w:val="000000"/>
                <w:kern w:val="0"/>
                <w:sz w:val="24"/>
                <w:szCs w:val="24"/>
                <w:u w:val="none"/>
                <w:lang w:val="en-US" w:eastAsia="zh-CN" w:bidi="ar"/>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Merge w:val="restart"/>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污染</w:t>
            </w:r>
          </w:p>
        </w:tc>
        <w:tc>
          <w:tcPr>
            <w:tcW w:w="3986" w:type="dxa"/>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颗粒物（PM）（kg）</w:t>
            </w:r>
          </w:p>
        </w:tc>
        <w:tc>
          <w:tcPr>
            <w:tcW w:w="1800" w:type="dxa"/>
            <w:vAlign w:val="center"/>
          </w:tcPr>
          <w:p>
            <w:pPr>
              <w:widowControl/>
              <w:snapToGrid/>
              <w:spacing w:line="240" w:lineRule="auto"/>
              <w:ind w:firstLine="0" w:firstLineChars="0"/>
              <w:jc w:val="center"/>
              <w:textAlignment w:val="center"/>
              <w:rPr>
                <w:rFonts w:hint="default"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eastAsia="zh-CN" w:bidi="ar"/>
              </w:rPr>
              <w:t>0</w:t>
            </w:r>
            <w:r>
              <w:rPr>
                <w:rFonts w:hint="eastAsia" w:ascii="Times New Roman" w:hAnsi="Times New Roman" w:eastAsia="仿宋_GB2312" w:cs="Times New Roman"/>
                <w:color w:val="000000"/>
                <w:kern w:val="0"/>
                <w:sz w:val="24"/>
                <w:szCs w:val="24"/>
                <w:u w:val="none"/>
                <w:lang w:val="en-US" w:eastAsia="zh-CN" w:bidi="ar"/>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Merge w:val="continue"/>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p>
        </w:tc>
        <w:tc>
          <w:tcPr>
            <w:tcW w:w="3986" w:type="dxa"/>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硫氧化物（SOx）（kg）</w:t>
            </w:r>
          </w:p>
        </w:tc>
        <w:tc>
          <w:tcPr>
            <w:tcW w:w="1800" w:type="dxa"/>
            <w:vAlign w:val="center"/>
          </w:tcPr>
          <w:p>
            <w:pPr>
              <w:widowControl/>
              <w:snapToGrid/>
              <w:spacing w:line="240" w:lineRule="auto"/>
              <w:ind w:firstLine="0" w:firstLineChars="0"/>
              <w:jc w:val="center"/>
              <w:textAlignment w:val="center"/>
              <w:rPr>
                <w:rFonts w:hint="default"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eastAsia="zh-CN" w:bidi="ar"/>
              </w:rPr>
              <w:t>0</w:t>
            </w:r>
            <w:r>
              <w:rPr>
                <w:rFonts w:hint="eastAsia" w:ascii="Times New Roman" w:hAnsi="Times New Roman" w:eastAsia="仿宋_GB2312" w:cs="Times New Roman"/>
                <w:color w:val="000000"/>
                <w:kern w:val="0"/>
                <w:sz w:val="24"/>
                <w:szCs w:val="24"/>
                <w:u w:val="none"/>
                <w:lang w:val="en-US" w:eastAsia="zh-CN" w:bidi="ar"/>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Merge w:val="continue"/>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p>
        </w:tc>
        <w:tc>
          <w:tcPr>
            <w:tcW w:w="3986" w:type="dxa"/>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氮氧化物（NOx）（kg）</w:t>
            </w:r>
          </w:p>
        </w:tc>
        <w:tc>
          <w:tcPr>
            <w:tcW w:w="1800" w:type="dxa"/>
            <w:vAlign w:val="center"/>
          </w:tcPr>
          <w:p>
            <w:pPr>
              <w:widowControl/>
              <w:snapToGrid/>
              <w:spacing w:line="240" w:lineRule="auto"/>
              <w:ind w:firstLine="0" w:firstLineChars="0"/>
              <w:jc w:val="center"/>
              <w:textAlignment w:val="center"/>
              <w:rPr>
                <w:rFonts w:hint="default"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eastAsia="zh-CN" w:bidi="ar"/>
              </w:rPr>
              <w:t>2</w:t>
            </w:r>
            <w:r>
              <w:rPr>
                <w:rFonts w:hint="eastAsia" w:ascii="Times New Roman" w:hAnsi="Times New Roman" w:eastAsia="仿宋_GB2312" w:cs="Times New Roman"/>
                <w:color w:val="000000"/>
                <w:kern w:val="0"/>
                <w:sz w:val="24"/>
                <w:szCs w:val="24"/>
                <w:u w:val="none"/>
                <w:lang w:val="en-US" w:eastAsia="zh-CN" w:bidi="ar"/>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713" w:type="dxa"/>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土地利用变化</w:t>
            </w:r>
          </w:p>
        </w:tc>
        <w:tc>
          <w:tcPr>
            <w:tcW w:w="5786" w:type="dxa"/>
            <w:gridSpan w:val="2"/>
            <w:vMerge w:val="restart"/>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eastAsia" w:ascii="Times New Roman" w:hAnsi="Times New Roman" w:eastAsia="仿宋_GB2312" w:cs="Times New Roman"/>
                <w:color w:val="000000"/>
                <w:kern w:val="0"/>
                <w:sz w:val="24"/>
                <w:szCs w:val="24"/>
                <w:u w:val="none"/>
                <w:lang w:val="en-US" w:eastAsia="zh-CN" w:bidi="ar"/>
              </w:rPr>
              <w:t>莆田农商银行</w:t>
            </w:r>
            <w:r>
              <w:rPr>
                <w:rFonts w:hint="default" w:ascii="Times New Roman" w:hAnsi="Times New Roman" w:eastAsia="仿宋_GB2312" w:cs="Times New Roman"/>
                <w:color w:val="000000"/>
                <w:kern w:val="0"/>
                <w:sz w:val="24"/>
                <w:szCs w:val="24"/>
                <w:u w:val="none"/>
                <w:lang w:bidi="ar"/>
              </w:rPr>
              <w:t>自身运营不涉及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713" w:type="dxa"/>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r>
              <w:rPr>
                <w:rFonts w:hint="default" w:ascii="Times New Roman" w:hAnsi="Times New Roman" w:eastAsia="仿宋_GB2312" w:cs="Times New Roman"/>
                <w:color w:val="000000"/>
                <w:kern w:val="0"/>
                <w:sz w:val="24"/>
                <w:szCs w:val="24"/>
                <w:u w:val="none"/>
                <w:lang w:bidi="ar"/>
              </w:rPr>
              <w:t>外来物种入侵</w:t>
            </w:r>
          </w:p>
        </w:tc>
        <w:tc>
          <w:tcPr>
            <w:tcW w:w="5786" w:type="dxa"/>
            <w:gridSpan w:val="2"/>
            <w:vMerge w:val="continue"/>
            <w:shd w:val="clear" w:color="auto" w:fill="auto"/>
            <w:vAlign w:val="center"/>
          </w:tcPr>
          <w:p>
            <w:pPr>
              <w:widowControl/>
              <w:snapToGrid/>
              <w:spacing w:line="240" w:lineRule="auto"/>
              <w:ind w:firstLine="0" w:firstLineChars="0"/>
              <w:jc w:val="center"/>
              <w:textAlignment w:val="center"/>
              <w:rPr>
                <w:rFonts w:ascii="Times New Roman" w:hAnsi="Times New Roman" w:eastAsia="仿宋_GB2312" w:cs="Times New Roman"/>
                <w:color w:val="000000"/>
                <w:kern w:val="0"/>
                <w:sz w:val="24"/>
                <w:szCs w:val="24"/>
                <w:u w:val="none"/>
                <w:lang w:bidi="ar"/>
              </w:rPr>
            </w:pPr>
          </w:p>
        </w:tc>
      </w:tr>
    </w:tbl>
    <w:p>
      <w:pPr>
        <w:keepNext w:val="0"/>
        <w:keepLines w:val="0"/>
        <w:pageBreakBefore w:val="0"/>
        <w:kinsoku/>
        <w:wordWrap/>
        <w:overflowPunct/>
        <w:topLinePunct w:val="0"/>
        <w:autoSpaceDE/>
        <w:autoSpaceDN/>
        <w:bidi w:val="0"/>
        <w:adjustRightInd/>
        <w:snapToGrid/>
        <w:spacing w:line="500" w:lineRule="exact"/>
        <w:ind w:firstLine="420" w:firstLineChars="200"/>
        <w:jc w:val="both"/>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kern w:val="0"/>
          <w:sz w:val="21"/>
          <w:szCs w:val="21"/>
          <w:shd w:val="clear"/>
          <w:lang w:val="en-US" w:eastAsia="zh-CN"/>
        </w:rPr>
        <w:t>注：</w:t>
      </w:r>
      <w:r>
        <w:rPr>
          <w:rFonts w:hint="eastAsia" w:ascii="Times New Roman" w:hAnsi="Times New Roman" w:eastAsia="仿宋_GB2312" w:cs="Times New Roman"/>
          <w:kern w:val="0"/>
          <w:sz w:val="21"/>
          <w:szCs w:val="21"/>
        </w:rPr>
        <w:t>范围一核算范围为我</w:t>
      </w:r>
      <w:r>
        <w:rPr>
          <w:rFonts w:hint="eastAsia" w:ascii="Times New Roman" w:hAnsi="Times New Roman" w:eastAsia="仿宋_GB2312" w:cs="Times New Roman"/>
          <w:kern w:val="0"/>
          <w:sz w:val="21"/>
          <w:szCs w:val="21"/>
          <w:lang w:val="en-US" w:eastAsia="zh-CN"/>
        </w:rPr>
        <w:t>行</w:t>
      </w:r>
      <w:r>
        <w:rPr>
          <w:rFonts w:hint="eastAsia" w:ascii="Times New Roman" w:hAnsi="Times New Roman" w:eastAsia="仿宋_GB2312" w:cs="Times New Roman"/>
          <w:kern w:val="0"/>
          <w:sz w:val="21"/>
          <w:szCs w:val="21"/>
        </w:rPr>
        <w:t>本部及各分支机构</w:t>
      </w:r>
      <w:r>
        <w:rPr>
          <w:rFonts w:hint="eastAsia" w:ascii="Times New Roman" w:hAnsi="Times New Roman" w:eastAsia="仿宋_GB2312" w:cs="Times New Roman"/>
          <w:kern w:val="0"/>
          <w:sz w:val="21"/>
          <w:szCs w:val="21"/>
          <w:shd w:val="clear"/>
        </w:rPr>
        <w:t>自有交通工具汽油消耗量以及营业、办公所消耗的燃气量</w:t>
      </w:r>
      <w:r>
        <w:rPr>
          <w:rFonts w:hint="eastAsia" w:ascii="Times New Roman" w:hAnsi="Times New Roman" w:eastAsia="仿宋_GB2312" w:cs="Times New Roman"/>
          <w:kern w:val="0"/>
          <w:sz w:val="21"/>
          <w:szCs w:val="21"/>
        </w:rPr>
        <w:t>所对应的温室气体排放量；范围二核算范围为我</w:t>
      </w:r>
      <w:r>
        <w:rPr>
          <w:rFonts w:hint="eastAsia" w:ascii="Times New Roman" w:hAnsi="Times New Roman" w:eastAsia="仿宋_GB2312" w:cs="Times New Roman"/>
          <w:kern w:val="0"/>
          <w:sz w:val="21"/>
          <w:szCs w:val="21"/>
          <w:lang w:val="en-US" w:eastAsia="zh-CN"/>
        </w:rPr>
        <w:t>行</w:t>
      </w:r>
      <w:r>
        <w:rPr>
          <w:rFonts w:hint="eastAsia" w:ascii="Times New Roman" w:hAnsi="Times New Roman" w:eastAsia="仿宋_GB2312" w:cs="Times New Roman"/>
          <w:kern w:val="0"/>
          <w:sz w:val="21"/>
          <w:szCs w:val="21"/>
        </w:rPr>
        <w:t>本部及各分支机构经营办公电力使用量所对应的温室气体排放量；</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2.风险与机遇指标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本行自然相关指标体系涵盖风险敞口、业务发展、管理成效三大维度，包括定量指标和定性指标，能够全面反映本行自然相关风险与机遇状况。</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（1）风险敞口类指标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风险敞口类指标用于衡量本行授信业务面临的自然相关风险暴露程度，是自然相关风险管理的基础指标。</w:t>
      </w:r>
    </w:p>
    <w:tbl>
      <w:tblPr>
        <w:tblStyle w:val="5"/>
        <w:tblW w:w="77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57"/>
        <w:gridCol w:w="1983"/>
        <w:gridCol w:w="1500"/>
        <w:gridCol w:w="2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指标类别</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具体指标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2025年数值</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指标说明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高自然依赖行业敞口</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农林牧渔业贷款余额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12.83亿元</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农林牧渔业贷款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海洋渔业贷款余额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10.74亿元</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海水养殖、海洋捕捞等海洋渔业贷款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文化旅游业贷款余额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0.47亿元</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高度依赖自然景观的文旅产业贷款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高环境影响行业敞口</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制鞋制造业贷款余额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7.13亿元</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制鞋及相关配套产业贷款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建筑业贷款余额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8.76亿元</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建筑施工、房地产开发相关贷款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化工、造纸等重污染行业贷款余额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0.66亿元</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高污染、高环境风险行业贷款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生态敏感区敞口</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沿海生态敏感区周边贷款余额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109.75亿元</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兴化湾、湄洲湾、南日岛周边授信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木兰溪流域贷款余额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79.89亿元</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木兰溪沿线区域授信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自然保护地周边贷款余额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31.54亿元</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省级以上自然保护地周边授信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环境风险分类</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C类（关注）客户贷款余额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22.5亿元</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环境与社会风险关注类客户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D类（高风险）客户贷款余额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0.66亿元</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环境与社会风险高风险类客户</w:t>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（2）绿色业务</w:t>
      </w:r>
      <w:r>
        <w:rPr>
          <w:rFonts w:hint="eastAsia" w:ascii="Times New Roman" w:hAnsi="Times New Roman" w:eastAsia="仿宋_GB2312" w:cs="Times New Roman"/>
          <w:b w:val="0"/>
          <w:bCs w:val="0"/>
          <w:sz w:val="28"/>
          <w:szCs w:val="28"/>
          <w:lang w:val="en-US" w:eastAsia="zh-CN"/>
        </w:rPr>
        <w:t>基于机遇</w:t>
      </w:r>
      <w:r>
        <w:rPr>
          <w:rFonts w:hint="default" w:ascii="Times New Roman" w:hAnsi="Times New Roman" w:eastAsia="仿宋_GB2312" w:cs="Times New Roman"/>
          <w:b w:val="0"/>
          <w:bCs w:val="0"/>
          <w:sz w:val="28"/>
          <w:szCs w:val="28"/>
          <w:lang w:val="en-US" w:eastAsia="zh-CN"/>
        </w:rPr>
        <w:t>指标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绿色业务指标用于衡量本行支持生态保护、绿色发展、蓝色经济的业务规模和进展，体现自然相关机遇把握情况。</w:t>
      </w:r>
    </w:p>
    <w:tbl>
      <w:tblPr>
        <w:tblStyle w:val="5"/>
        <w:tblW w:w="77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49"/>
        <w:gridCol w:w="3104"/>
        <w:gridCol w:w="1701"/>
        <w:gridCol w:w="1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bookmarkStart w:id="0" w:name="_Toc16809"/>
            <w:bookmarkStart w:id="1" w:name="heading_120"/>
            <w:bookmarkStart w:id="2" w:name="_Toc23013"/>
            <w:r>
              <w:rPr>
                <w:rFonts w:hint="default" w:ascii="Times New Roman" w:hAnsi="Times New Roman" w:eastAsia="仿宋_GB2312" w:cs="Times New Roman"/>
                <w:b/>
                <w:bCs/>
                <w:i w:val="0"/>
                <w:iCs w:val="0"/>
                <w:color w:val="000000"/>
                <w:kern w:val="0"/>
                <w:sz w:val="24"/>
                <w:szCs w:val="24"/>
                <w:u w:val="none"/>
                <w:lang w:val="en-US" w:eastAsia="zh-CN" w:bidi="ar"/>
              </w:rPr>
              <w:t>指标类别</w:t>
            </w:r>
          </w:p>
        </w:tc>
        <w:tc>
          <w:tcPr>
            <w:tcW w:w="3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具体指标</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2025年数值</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同比变化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绿色信贷指标</w:t>
            </w:r>
          </w:p>
        </w:tc>
        <w:tc>
          <w:tcPr>
            <w:tcW w:w="3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绿色贷款余额</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6.22亿元</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143.49%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绿色贷款占比</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1.83%</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绿色贷款客户数</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2554户</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256.70%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绿色贷款不良率</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0.72%</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重点领域指标</w:t>
            </w:r>
          </w:p>
        </w:tc>
        <w:tc>
          <w:tcPr>
            <w:tcW w:w="3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木兰溪综合治理相关贷款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2.8亿元</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南日岛海洋经济贷款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5.51亿元</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28.39%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生态保护修复贷款</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4.08亿元</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94.99%</w:t>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（3）管理成效类指标</w:t>
      </w:r>
      <w:bookmarkEnd w:id="0"/>
      <w:bookmarkEnd w:id="1"/>
      <w:bookmarkEnd w:id="2"/>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管理成效类指标用于衡量本行自然相关风险管理体系建设和运行成效，反映风险管理能力建设进展。</w:t>
      </w:r>
    </w:p>
    <w:tbl>
      <w:tblPr>
        <w:tblStyle w:val="5"/>
        <w:tblW w:w="79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72"/>
        <w:gridCol w:w="3740"/>
        <w:gridCol w:w="22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jc w:val="center"/>
        </w:trPr>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4"/>
                <w:szCs w:val="24"/>
                <w:u w:val="none"/>
                <w:lang w:bidi="ar"/>
              </w:rPr>
            </w:pPr>
            <w:r>
              <w:rPr>
                <w:rFonts w:hint="default" w:ascii="Times New Roman" w:hAnsi="Times New Roman" w:eastAsia="仿宋_GB2312" w:cs="Times New Roman"/>
                <w:b/>
                <w:bCs/>
                <w:i w:val="0"/>
                <w:iCs w:val="0"/>
                <w:color w:val="000000"/>
                <w:kern w:val="0"/>
                <w:sz w:val="24"/>
                <w:szCs w:val="24"/>
                <w:u w:val="none"/>
                <w:lang w:val="en-US" w:eastAsia="zh-CN" w:bidi="ar"/>
              </w:rPr>
              <w:t>指标类别</w:t>
            </w: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4"/>
                <w:szCs w:val="24"/>
                <w:u w:val="none"/>
                <w:lang w:bidi="ar"/>
              </w:rPr>
            </w:pPr>
            <w:r>
              <w:rPr>
                <w:rFonts w:hint="default" w:ascii="Times New Roman" w:hAnsi="Times New Roman" w:eastAsia="仿宋_GB2312" w:cs="Times New Roman"/>
                <w:b/>
                <w:bCs/>
                <w:i w:val="0"/>
                <w:iCs w:val="0"/>
                <w:color w:val="000000"/>
                <w:kern w:val="0"/>
                <w:sz w:val="24"/>
                <w:szCs w:val="24"/>
                <w:u w:val="none"/>
                <w:lang w:val="en-US" w:eastAsia="zh-CN" w:bidi="ar"/>
              </w:rPr>
              <w:t>具体指标</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4"/>
                <w:szCs w:val="24"/>
                <w:u w:val="none"/>
                <w:lang w:bidi="ar"/>
              </w:rPr>
            </w:pPr>
            <w:r>
              <w:rPr>
                <w:rFonts w:hint="default" w:ascii="Times New Roman" w:hAnsi="Times New Roman" w:eastAsia="仿宋_GB2312" w:cs="Times New Roman"/>
                <w:b/>
                <w:bCs/>
                <w:i w:val="0"/>
                <w:iCs w:val="0"/>
                <w:color w:val="000000"/>
                <w:kern w:val="0"/>
                <w:sz w:val="24"/>
                <w:szCs w:val="24"/>
                <w:u w:val="none"/>
                <w:lang w:val="en-US" w:eastAsia="zh-CN" w:bidi="ar"/>
              </w:rPr>
              <w:t>2025年情况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9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制度建设</w:t>
            </w: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自然相关风险管理制度数量</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政策覆盖完整度</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覆盖授信全流程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蓝色金融专项制度</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已建立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9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流程执行</w:t>
            </w: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环境风险审查覆盖率</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100%（新增授信）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环保</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一票否决</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执行率</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贷后环境监测完成率</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95%以上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9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能力建设</w:t>
            </w: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年度培训场次</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培训覆盖人次</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600余人次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专职绿色金融人员数量</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9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信息披露</w:t>
            </w: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环境信息披露报告</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年度发布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1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3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TNFD报告</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首次发布</w:t>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3"/>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（4）生态影响相关指标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本行探索建立授信业务生态影响测算指标，尝试量化评估授信业务对生态环境的正面和负面影响。当前处于起步阶段，部分指标为估算值，后续将持续完善方法论。</w:t>
      </w:r>
    </w:p>
    <w:tbl>
      <w:tblPr>
        <w:tblStyle w:val="5"/>
        <w:tblW w:w="78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97"/>
        <w:gridCol w:w="51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4" w:hRule="atLeast"/>
          <w:jc w:val="center"/>
        </w:trPr>
        <w:tc>
          <w:tcPr>
            <w:tcW w:w="2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指标类别</w:t>
            </w:r>
          </w:p>
        </w:tc>
        <w:tc>
          <w:tcPr>
            <w:tcW w:w="5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具体指标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2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正面生态效益</w:t>
            </w:r>
          </w:p>
        </w:tc>
        <w:tc>
          <w:tcPr>
            <w:tcW w:w="5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支持生态修复面积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2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5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支持营造红树林面积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2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5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年节水能力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2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环境影响测算</w:t>
            </w:r>
          </w:p>
        </w:tc>
        <w:tc>
          <w:tcPr>
            <w:tcW w:w="5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授信企业年COD排放量估算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2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5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高耗水企业贷款占比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000000"/>
                <w:sz w:val="24"/>
                <w:szCs w:val="24"/>
                <w:u w:val="none"/>
              </w:rPr>
            </w:pPr>
          </w:p>
        </w:tc>
        <w:tc>
          <w:tcPr>
            <w:tcW w:w="5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生态敏感区贷款占比</w:t>
            </w:r>
          </w:p>
        </w:tc>
      </w:tr>
    </w:tbl>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（二）自然相关依赖与影响、风险与机遇目标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制定了《莆田农商银行推进绿色金融高质量发展行动方案（2026-2027年）》，围绕气候变化、水资源利用、废弃物管理、绿色办公、可持续金融、声誉与品牌等议题，结合自身发展战略与业务实际，设定具体、可量化、针对性强的自然相关目标，并定期追踪披露目标实现进展，持续提升自然相关风险管理和可持续金融服务能力。</w:t>
      </w:r>
    </w:p>
    <w:tbl>
      <w:tblPr>
        <w:tblStyle w:val="5"/>
        <w:tblW w:w="79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39"/>
        <w:gridCol w:w="52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jc w:val="center"/>
        </w:trPr>
        <w:tc>
          <w:tcPr>
            <w:tcW w:w="2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500" w:lineRule="exact"/>
              <w:ind w:firstLine="0" w:firstLineChars="0"/>
              <w:jc w:val="center"/>
              <w:textAlignment w:val="auto"/>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目标类别</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500" w:lineRule="exact"/>
              <w:ind w:firstLine="0" w:firstLineChars="0"/>
              <w:jc w:val="center"/>
              <w:textAlignment w:val="auto"/>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目标内容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 w:hRule="atLeast"/>
          <w:jc w:val="center"/>
        </w:trPr>
        <w:tc>
          <w:tcPr>
            <w:tcW w:w="2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气候变化目标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持续推进自身运营节能降碳，2050年努力实现自身运营碳中和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 w:hRule="atLeast"/>
          <w:jc w:val="center"/>
        </w:trPr>
        <w:tc>
          <w:tcPr>
            <w:tcW w:w="2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水资源利用目标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强化营业网点用水管理，推动节约用水和水资源循环利用，持续降低人均办公用水量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 w:hRule="atLeast"/>
          <w:jc w:val="center"/>
        </w:trPr>
        <w:tc>
          <w:tcPr>
            <w:tcW w:w="2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废弃物管理目标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完善垃圾分类及统计管理，加大办公废弃物无害化处理与资源化利用力度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 w:hRule="atLeast"/>
          <w:jc w:val="center"/>
        </w:trPr>
        <w:tc>
          <w:tcPr>
            <w:tcW w:w="2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绿色办公目标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深化绿色网点建设，到2027年绿色网点达到5个</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持续降低自身运营环境足迹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jc w:val="center"/>
        </w:trPr>
        <w:tc>
          <w:tcPr>
            <w:tcW w:w="2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可持续金融目标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绿色贷款余额突破8亿元、占贷款总额比重达到2%以上；蓝色贷款余额突破5亿元；高环境风险行业贷款占比稳步下降，生态保护修复、生物多样性保护领域信贷支持持续增长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 w:hRule="atLeast"/>
          <w:jc w:val="center"/>
        </w:trPr>
        <w:tc>
          <w:tcPr>
            <w:tcW w:w="2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声誉与品牌目标</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持续提升TNFD等信息披露质量，打造具有莆田农商特色的蓝色金融品牌，树立负责任银行形象，提升市场美誉度与社会认可度</w:t>
            </w:r>
          </w:p>
        </w:tc>
      </w:tr>
    </w:tbl>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0"/>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七、特色实践案例：蓝色金融"福海"系列——南日岛鲍鱼全产业链金融服务</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立足莆田地域特色，深耕本土市场，在蓝色金融、流域治理、生态保护、产业转型等领域探索形成了一批具有地方特色的自然相关金融实践，积累了宝贵经验，也为持续深化自然相关风险管理奠定了实践基础。</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（一）案例背景</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南日岛是莆田市第一大岛，也是福建省第三大岛，周边海域水质优良，是国家级海洋牧场示范区。鲍鱼养殖是南日岛的支柱产业，全产业链产值超20亿元，带动岛上近半数人口就业。但长期以来，鲍鱼养殖户普遍面临融资难、融资贵问题：养殖资产难以抵押、生产周期长、风险高，传统信贷模式难以有效覆盖。</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同时，南日岛鲍鱼养殖也面临海洋生态退化、赤潮灾害、台风风险等自然相关挑战，养殖模式升级、产业生态转型迫在眉睫。本行立足南日岛海洋经济特色，创新推出"福鲍·乡村振兴贷"等蓝色金融产品，探索形成了鲍鱼全产业链金融服务模式。</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（二）主要做法</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创新专属信贷产品。本行针对鲍鱼养殖产业特点，量身定制</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福鲍·乡村振兴贷</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产品，采用</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信用+保证+保险</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的复合担保方式，突破传统抵押担保限制。单户贷款额度最高可达300万元，贷款期限最长3年，匹配鲍鱼养殖生产周期。利率实行专项优惠，较同类农户贷款利率低50个BP，切实降低养殖户融资成本。</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构建全链条服务体系。本行将金融服务延伸至鲍鱼全产业链，覆盖苗种培育、成品养殖、加工销售、冷链物流等各个环节。针对不同环节经营主体特点，配套差异化的金融产品和服务：对育苗企业提供固定资产贷款支持设施升级，对养殖户提供经营性流动资金贷款，对加工企业提供供应链融资。</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深化</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信贷+保险</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风险共担。本行联合保险公司创新推出鲍鱼养殖保险+信贷模式，鼓励养殖户投保鲍鱼养殖气象指数保险、赤潮指数保险，分散自然灾害风险。将保险投保情况作为授信审批重要参考，对已投保客户适当提高授信额度、放宽担保条件。通过银保合作，既降低了养殖户的灾害损失风险，也有效缓释了银行信贷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支持生态养殖转型。本行在鲍鱼养殖信贷投放中，积极引导和支持养殖户向生态养殖模式转型。对采用深水网箱养殖、多营养层级综合养殖、贝藻混养等生态养殖模式的养殖户，给予利率优惠、额度倾斜等政策支持。支持南日岛海洋牧场建设，推动鲍鱼养殖从传统粗放型向生态集约型转变。</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设立特色服务团队。本行南日支行配备3名专职蓝色金融客户经理，专门服务鲍鱼等海洋养殖产业。客户经理常年驻岛服务，深入养殖海区实地调查，熟悉养殖户的经营情况和海域环境，能够精准评估风险、高效提供服务。</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（三）实践成效</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截至2025年末，本行</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福鲍·乡村振兴贷</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累计投放5990余万元，支持60户鲍鱼养殖户发展生产，带动养殖面积超2000亩。通过蓝色金融支持，南日岛鲍鱼养殖户平均融资成本下降约0.5个百分点，户均增收超过8万元。</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在金融支持下，南日岛鲍鱼养殖产业持续升级，深水网箱养殖、生态养殖占比稳步提升，产业抗风险能力不断增强。同时，本行也探索形成了一套适合海岛海水养殖的信贷风控模式，为蓝色金融业务推广积累了经验。</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“福鲍·乡村振兴贷”作为本行</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福海</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系列蓝色金融产品的核心产品，是本行蓝色金融特色品牌的标志性产品。</w:t>
      </w:r>
    </w:p>
    <w:p>
      <w:pPr>
        <w:keepNext w:val="0"/>
        <w:keepLines w:val="0"/>
        <w:pageBreakBefore w:val="0"/>
        <w:kinsoku/>
        <w:wordWrap/>
        <w:overflowPunct/>
        <w:topLinePunct w:val="0"/>
        <w:autoSpaceDE/>
        <w:autoSpaceDN/>
        <w:bidi w:val="0"/>
        <w:adjustRightInd/>
        <w:snapToGrid/>
        <w:spacing w:line="500" w:lineRule="exact"/>
        <w:ind w:firstLine="560" w:firstLineChars="200"/>
        <w:jc w:val="both"/>
        <w:outlineLvl w:val="0"/>
        <w:rPr>
          <w:rFonts w:hint="default" w:ascii="Times New Roman" w:hAnsi="Times New Roman" w:eastAsia="黑体" w:cs="Times New Roman"/>
          <w:sz w:val="28"/>
          <w:szCs w:val="28"/>
          <w:highlight w:val="none"/>
          <w:lang w:val="en-US" w:eastAsia="zh-CN"/>
        </w:rPr>
      </w:pPr>
      <w:r>
        <w:rPr>
          <w:rFonts w:hint="default" w:ascii="Times New Roman" w:hAnsi="Times New Roman" w:eastAsia="黑体" w:cs="Times New Roman"/>
          <w:sz w:val="28"/>
          <w:szCs w:val="28"/>
          <w:highlight w:val="none"/>
          <w:lang w:val="en-US" w:eastAsia="zh-CN"/>
        </w:rPr>
        <w:t>八、挑战与展望</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（一）面临的挑战</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本行在自然相关风险管理和信息披露方面取得了积极进展，但作为首次开展TNFD披露的农村商业银行，仍面临诸多挑战，需要在后续工作中持续改进提升。</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 数据基础较为薄弱</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自然相关风险数据种类多、获取难、质量参差不齐，是当前面临的最大挑战。一方面，客户层面的环境数据、生态数据较为缺乏，多数中小微企业和农户没有系统的环境数据积累；另一方面，生物多样性、生态系统服务等专业数据获取难度大、成本高，难以支撑精细化的量化评估。本行当前</w:t>
      </w:r>
      <w:r>
        <w:rPr>
          <w:rFonts w:hint="eastAsia" w:ascii="Times New Roman" w:hAnsi="Times New Roman" w:eastAsia="仿宋_GB2312" w:cs="Times New Roman"/>
          <w:sz w:val="28"/>
          <w:szCs w:val="28"/>
          <w:lang w:val="en-US" w:eastAsia="zh-CN"/>
        </w:rPr>
        <w:t>仍有许多</w:t>
      </w:r>
      <w:r>
        <w:rPr>
          <w:rFonts w:hint="default" w:ascii="Times New Roman" w:hAnsi="Times New Roman" w:eastAsia="仿宋_GB2312" w:cs="Times New Roman"/>
          <w:sz w:val="28"/>
          <w:szCs w:val="28"/>
          <w:lang w:val="en-US" w:eastAsia="zh-CN"/>
        </w:rPr>
        <w:t>指标依赖估算，数据精度有待提升。</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 量化评估能力不足</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自然相关风险的量化评估专业性强、技术复杂度高，需要综合运用生态学、环境科学、金融学等多学科知识和专业工具。本行作为中小型农商银行，专业人才储备不足，风险量化模型开发能力有限，难以开展高精度的自然风险计量、压力测试和情景分析。当前评估仍以定性为主、定量为辅，评估深度和精度有待加强。</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 方法标准尚不成熟</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TNFD框架本身仍在持续完善中，自然相关风险评估和披露的方法标准尚未完全成熟，不同机构的理解和实践存在差异。特别是对于银行等金融机构，如何将自然相关风险有效转化为可计量的金融风险，行业内还缺乏成熟的方法论和最佳实践。本行在评估方法选择、指标体系设计等方面还处于探索阶段，需要持续优化完善。</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2"/>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4. 小微企业服务难度大</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行客户以小微企业、农户、个体工商户为主，数量多、规模小、分布散，自然相关风险管理的难度远大于大型企业。小微企业普遍环保意识不强、环境管理不规范，环境信息透明度低，银行开展风险识别和评估的成本高、难度大。如何在做好自然风险管理的同时，保障小微企业金融服务质效，是需要平衡的重要课题。</w:t>
      </w:r>
    </w:p>
    <w:p>
      <w:pPr>
        <w:keepNext w:val="0"/>
        <w:keepLines w:val="0"/>
        <w:pageBreakBefore w:val="0"/>
        <w:kinsoku/>
        <w:wordWrap/>
        <w:overflowPunct/>
        <w:topLinePunct w:val="0"/>
        <w:autoSpaceDE/>
        <w:autoSpaceDN/>
        <w:bidi w:val="0"/>
        <w:adjustRightInd/>
        <w:snapToGrid/>
        <w:spacing w:line="500" w:lineRule="exact"/>
        <w:ind w:firstLine="562" w:firstLineChars="200"/>
        <w:jc w:val="both"/>
        <w:outlineLvl w:val="1"/>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（二）展望</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自然是人类生存发展的根基，保护自然就是保护生产力，改善自然就是发展生产力。随着全球对生物多样性和自然保护的重视程度不断提升，自然相关风险正在成为金融机构面临的重要新型风险，也为金融机构服务绿色转型、实现可持续发展带来了重大机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莆田拥有得天独厚的山海生态资源，海洋经济、生态经济发展潜力巨大，也为本地银行业探索自然相关金融提供了丰富的实践土壤。作为根植莆田的本土法人银行，莆田农商银行深感责任重大、使命光荣。本行将始终秉持"绿水青山就是金山银山"的理念，坚定走可持续金融发展道路，以蓝色金融为特色、以绿色金融为支撑，持续深化自然相关风险管理，不断提升服务生态文明建设的能力和水平。</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展望未来，本行将继续深入贯彻习近平生态文明思想，认真落实党中央、国务院关于生态文明建设的决策部署，积极响应TNFD国际倡议，持续完善自然相关风险管理体系，不断提升信息披露质量，努力打造具有农商特色、莆田特点的可持续金融品牌。本行将以金融力量守护木兰溪的清澈、兴化湾的蔚蓝、荔枝林的葱郁，助力莆田人与自然和谐共生的现代化建设，为建设美丽莆田、实现可持续发展贡献更多农商力量。</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道阻且长，行则将至；行而不辍，未来可期。莆田农商银行愿与社会各界携手同行，共同守护自然生态，共创美好未来。</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黑体" w:cs="Times New Roman"/>
          <w:sz w:val="28"/>
          <w:szCs w:val="28"/>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500" w:lineRule="exact"/>
        <w:ind w:firstLine="0" w:firstLineChars="0"/>
        <w:jc w:val="both"/>
        <w:outlineLvl w:val="0"/>
        <w:rPr>
          <w:rFonts w:hint="default" w:ascii="Times New Roman" w:hAnsi="Times New Roman" w:eastAsia="楷体" w:cs="Times New Roman"/>
          <w:b/>
          <w:bCs/>
          <w:sz w:val="28"/>
          <w:szCs w:val="28"/>
          <w:lang w:val="en-US" w:eastAsia="zh-CN"/>
        </w:rPr>
      </w:pPr>
      <w:r>
        <w:rPr>
          <w:rFonts w:hint="default" w:ascii="Times New Roman" w:hAnsi="Times New Roman" w:eastAsia="楷体" w:cs="Times New Roman"/>
          <w:b/>
          <w:bCs/>
          <w:sz w:val="28"/>
          <w:szCs w:val="28"/>
          <w:lang w:val="en-US" w:eastAsia="zh-CN"/>
        </w:rPr>
        <w:t>附录：术语解释</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TNFD：Taskforce on Nature-related Financial Disclosures，自然相关财务披露工作组，是一个国际多方利益相关者倡议，旨在制定和完善自然相关财务信息披露框架，推动金融机构和企业披露自然相关风险与机遇信息。</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LEAP方法：Locate（定位）、Evaluate（评价）、Assess（评估）、Prepare（准备）四步法，是TNFD框架推荐的自然相关风险与机遇评估方法论，帮助企业和金融机构系统评估自然相关风险与机遇。</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态系统服务：指人类从生态系统获得的所有惠益，包括供给服务（如食物、水、木材）、调节服务（如气候调节、水质净化、病虫害控制）、文化服务（如休闲娱乐、美学价值）和支持服务（如土壤形成、养分循环）四大类。</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生物多样性：指所有来源的活的生物体中的变异性，包括物种内、物种之间和生态系统的多样性，是地球生命系统的基本组成部分。</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生态保护红线：指在生态空间范围内具有特殊重要生态功能、必须强制性严格保护的区域，是保障和维护国家生态安全的底线和生命线。</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自然保护地：指由各级政府依法划定或确认，对重要的自然生态系统、自然遗迹、自然景观及其所承载的自然资源、生态功能和文化价值实施长期保护的陆域或海域，包括国家公园、自然保护区、自然公园等。</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物理风险：指自然生态系统退化、极端天气事件、自然灾害等物理变化对企业经营和金融资产造成的风险，可分为急性物理风险（突发事件）和慢性物理风险（长期渐变）。</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转型风险：指社会向自然友好型经济转型过程中，由于政策法规变化、技术革新、市场偏好转变等因素带来的风险。</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绿色金融：指为支持环境改善、应对气候变化和资源节约高效利用的经济活动，即对环保、节能、清洁能源、绿色交通、绿色建筑等领域的项目投融资、项目运营、风险管理等所提供的金融服务。</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生物多样性金融：指以服务我国生物多样性战略实施、国际公约落地执行为目标，对生物多样性活动予以支持，促进生物多样性保护和恢复、可持续利用和惠益分享，推动自然友好型经济转型的一系列金融工具和手段。</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蓝色金融：指支持海洋经济可持续发展、海洋生态环境保护的系列金融活动，是绿色金融在海洋领域的延伸和特色化发展。</w:t>
      </w:r>
    </w:p>
    <w:p>
      <w:pPr>
        <w:keepNext w:val="0"/>
        <w:keepLines w:val="0"/>
        <w:pageBreakBefore w:val="0"/>
        <w:kinsoku/>
        <w:wordWrap/>
        <w:overflowPunct/>
        <w:topLinePunct w:val="0"/>
        <w:autoSpaceDE/>
        <w:autoSpaceDN/>
        <w:bidi w:val="0"/>
        <w:adjustRightInd/>
        <w:snapToGrid/>
        <w:spacing w:line="500" w:lineRule="exact"/>
        <w:ind w:firstLine="560" w:firstLineChars="200"/>
        <w:jc w:val="both"/>
        <w:rPr>
          <w:rFonts w:hint="default" w:ascii="Times New Roman" w:hAnsi="Times New Roman" w:eastAsia="仿宋_GB2312" w:cs="Times New Roman"/>
          <w:sz w:val="28"/>
          <w:szCs w:val="28"/>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4"/>
        <w:snapToGrid w:val="0"/>
        <w:rPr>
          <w:rFonts w:hint="eastAsia" w:eastAsiaTheme="minorEastAsia"/>
          <w:lang w:val="en-US" w:eastAsia="zh-CN"/>
        </w:rPr>
      </w:pPr>
      <w:r>
        <w:rPr>
          <w:rStyle w:val="8"/>
          <w:sz w:val="21"/>
        </w:rPr>
        <w:footnoteRef/>
      </w:r>
      <w:r>
        <w:t xml:space="preserve"> </w:t>
      </w:r>
      <w:r>
        <w:rPr>
          <w:rFonts w:hint="eastAsia"/>
        </w:rPr>
        <w:t>莆田市生态环境局</w:t>
      </w:r>
      <w:r>
        <w:rPr>
          <w:rFonts w:hint="eastAsia"/>
          <w:lang w:val="en-US" w:eastAsia="zh-CN"/>
        </w:rPr>
        <w:t>.</w:t>
      </w:r>
      <w:r>
        <w:rPr>
          <w:rFonts w:hint="eastAsia"/>
        </w:rPr>
        <w:t>莆田市生态环境局关于发布莆田市2023年生态环境分区管控动态更新成果的通知</w:t>
      </w:r>
      <w:r>
        <w:rPr>
          <w:rFonts w:hint="eastAsia"/>
          <w:lang w:val="en-US" w:eastAsia="zh-CN"/>
        </w:rPr>
        <w:t xml:space="preserve"> </w:t>
      </w:r>
      <w:r>
        <w:rPr>
          <w:rFonts w:hint="eastAsia"/>
        </w:rPr>
        <w:t>附件：莆田市生态环境管控单元图（2023版）</w:t>
      </w:r>
      <w:r>
        <w:rPr>
          <w:rFonts w:hint="eastAsia"/>
          <w:lang w:val="en-US" w:eastAsia="zh-CN"/>
        </w:rPr>
        <w:t>.</w:t>
      </w:r>
      <w:r>
        <w:rPr>
          <w:rFonts w:hint="eastAsia"/>
        </w:rPr>
        <w:t>[EB/OL].(2024</w:t>
      </w:r>
      <w:r>
        <w:rPr>
          <w:rFonts w:hint="eastAsia"/>
          <w:lang w:val="en-US" w:eastAsia="zh-CN"/>
        </w:rPr>
        <w:t>-07-25</w:t>
      </w:r>
      <w:r>
        <w:rPr>
          <w:rFonts w:hint="eastAsia"/>
        </w:rPr>
        <w:t>)[2026</w:t>
      </w:r>
      <w:r>
        <w:rPr>
          <w:rFonts w:hint="eastAsia"/>
          <w:lang w:val="en-US" w:eastAsia="zh-CN"/>
        </w:rPr>
        <w:t>-08-</w:t>
      </w:r>
      <w:r>
        <w:rPr>
          <w:rFonts w:hint="eastAsia"/>
        </w:rPr>
        <w:t>30].http://sthjj.putian.gov.cn/zfxxgk/fdzdgknr/qtzdgk/202407/t20240725_1933969.htm</w:t>
      </w:r>
    </w:p>
  </w:footnote>
  <w:footnote w:id="1">
    <w:p>
      <w:pPr>
        <w:pStyle w:val="4"/>
        <w:snapToGrid w:val="0"/>
        <w:rPr>
          <w:rFonts w:hint="eastAsia" w:eastAsiaTheme="minorEastAsia"/>
          <w:lang w:val="en-US" w:eastAsia="zh-CN"/>
        </w:rPr>
      </w:pPr>
      <w:r>
        <w:rPr>
          <w:sz w:val="21"/>
          <w:vertAlign w:val="superscript"/>
        </w:rPr>
        <w:footnoteRef/>
      </w:r>
      <w:r>
        <w:t xml:space="preserve"> </w:t>
      </w:r>
      <w:r>
        <w:rPr>
          <w:rFonts w:hint="eastAsia"/>
        </w:rPr>
        <w:t>World Resources Institute. Aqueduct Water Risk Atlas[EB/OL].[2026‑08‑30].https://www.wri.org/applications/aqueduct/water-risk-atlas/#/?advanced=false&amp;basemap=terrain&amp;indicator=w_awr_def_tot_cat&amp;lat=24.56710896242646&amp;lng=-246.72729581594473&amp;mapMode=view&amp;month=1&amp;opacity=0.5&amp;ponderation=DEF&amp;predefined=false&amp;projection=absolute&amp;scenario=optimistic&amp;scope=baseline&amp;timeScale=annual&amp;year=baseline&amp;zoom=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791F"/>
    <w:rsid w:val="0010102E"/>
    <w:rsid w:val="00105AB5"/>
    <w:rsid w:val="001909FC"/>
    <w:rsid w:val="001E7F77"/>
    <w:rsid w:val="00E7190F"/>
    <w:rsid w:val="00F61083"/>
    <w:rsid w:val="01420764"/>
    <w:rsid w:val="017F75A4"/>
    <w:rsid w:val="0186668D"/>
    <w:rsid w:val="01A91D3B"/>
    <w:rsid w:val="01CC0432"/>
    <w:rsid w:val="01F4105B"/>
    <w:rsid w:val="025929AE"/>
    <w:rsid w:val="0290182B"/>
    <w:rsid w:val="02923CF8"/>
    <w:rsid w:val="02A8571C"/>
    <w:rsid w:val="03120741"/>
    <w:rsid w:val="0348485B"/>
    <w:rsid w:val="035011AE"/>
    <w:rsid w:val="038520F9"/>
    <w:rsid w:val="03A2136D"/>
    <w:rsid w:val="03AF12A8"/>
    <w:rsid w:val="03B0338E"/>
    <w:rsid w:val="03B51670"/>
    <w:rsid w:val="03CB5F02"/>
    <w:rsid w:val="041A0B1B"/>
    <w:rsid w:val="04407800"/>
    <w:rsid w:val="044D2934"/>
    <w:rsid w:val="0467283B"/>
    <w:rsid w:val="04B95918"/>
    <w:rsid w:val="04CA41A8"/>
    <w:rsid w:val="04F230AC"/>
    <w:rsid w:val="05312017"/>
    <w:rsid w:val="05C1056F"/>
    <w:rsid w:val="05C270C3"/>
    <w:rsid w:val="05D62126"/>
    <w:rsid w:val="05E44C50"/>
    <w:rsid w:val="05F87B17"/>
    <w:rsid w:val="061E57D7"/>
    <w:rsid w:val="0625794A"/>
    <w:rsid w:val="0681281A"/>
    <w:rsid w:val="06833270"/>
    <w:rsid w:val="068F655F"/>
    <w:rsid w:val="071A743A"/>
    <w:rsid w:val="071D0A8E"/>
    <w:rsid w:val="07982341"/>
    <w:rsid w:val="07F059D0"/>
    <w:rsid w:val="07FE3B90"/>
    <w:rsid w:val="08374780"/>
    <w:rsid w:val="084B2CA8"/>
    <w:rsid w:val="08A56177"/>
    <w:rsid w:val="09221F79"/>
    <w:rsid w:val="09605C19"/>
    <w:rsid w:val="09626309"/>
    <w:rsid w:val="0962735C"/>
    <w:rsid w:val="099456A1"/>
    <w:rsid w:val="09AA1C08"/>
    <w:rsid w:val="09C200D2"/>
    <w:rsid w:val="09D03780"/>
    <w:rsid w:val="09FC4376"/>
    <w:rsid w:val="0A1E6027"/>
    <w:rsid w:val="0A942718"/>
    <w:rsid w:val="0AAC263F"/>
    <w:rsid w:val="0B0758A7"/>
    <w:rsid w:val="0BB56B08"/>
    <w:rsid w:val="0BBA7A77"/>
    <w:rsid w:val="0BDA1416"/>
    <w:rsid w:val="0C0E1193"/>
    <w:rsid w:val="0C150760"/>
    <w:rsid w:val="0C2770C8"/>
    <w:rsid w:val="0C2E3B33"/>
    <w:rsid w:val="0C306C12"/>
    <w:rsid w:val="0C3475DA"/>
    <w:rsid w:val="0C3D6462"/>
    <w:rsid w:val="0C495FA2"/>
    <w:rsid w:val="0C5930D2"/>
    <w:rsid w:val="0C681EA9"/>
    <w:rsid w:val="0C7778C0"/>
    <w:rsid w:val="0C9D3CD6"/>
    <w:rsid w:val="0CA575D2"/>
    <w:rsid w:val="0CC52390"/>
    <w:rsid w:val="0D035870"/>
    <w:rsid w:val="0D231A65"/>
    <w:rsid w:val="0D455C53"/>
    <w:rsid w:val="0D6274FD"/>
    <w:rsid w:val="0D667C53"/>
    <w:rsid w:val="0D9A4700"/>
    <w:rsid w:val="0D9D409F"/>
    <w:rsid w:val="0DA16F1C"/>
    <w:rsid w:val="0DB943AA"/>
    <w:rsid w:val="0DBB7AE9"/>
    <w:rsid w:val="0DD71863"/>
    <w:rsid w:val="0DD97D05"/>
    <w:rsid w:val="0E1C2BF7"/>
    <w:rsid w:val="0E296257"/>
    <w:rsid w:val="0E7C1B82"/>
    <w:rsid w:val="0E7F48C8"/>
    <w:rsid w:val="0E8332D8"/>
    <w:rsid w:val="0E8D4E5D"/>
    <w:rsid w:val="0F1E52C5"/>
    <w:rsid w:val="1019406A"/>
    <w:rsid w:val="10245583"/>
    <w:rsid w:val="103D5F81"/>
    <w:rsid w:val="108241C6"/>
    <w:rsid w:val="10E54B42"/>
    <w:rsid w:val="112D19AF"/>
    <w:rsid w:val="1133067F"/>
    <w:rsid w:val="113E14F4"/>
    <w:rsid w:val="11682BFD"/>
    <w:rsid w:val="118029BE"/>
    <w:rsid w:val="119E32B3"/>
    <w:rsid w:val="11BD60C0"/>
    <w:rsid w:val="11EB0FC2"/>
    <w:rsid w:val="11FB7802"/>
    <w:rsid w:val="11FF52EF"/>
    <w:rsid w:val="1206390C"/>
    <w:rsid w:val="120B2382"/>
    <w:rsid w:val="121B565E"/>
    <w:rsid w:val="12250AAA"/>
    <w:rsid w:val="122D018A"/>
    <w:rsid w:val="126C2ACC"/>
    <w:rsid w:val="126C53B5"/>
    <w:rsid w:val="12737871"/>
    <w:rsid w:val="128C08F3"/>
    <w:rsid w:val="12956312"/>
    <w:rsid w:val="129924CF"/>
    <w:rsid w:val="12A05FC3"/>
    <w:rsid w:val="12A94742"/>
    <w:rsid w:val="12DA48D7"/>
    <w:rsid w:val="12F96D99"/>
    <w:rsid w:val="133C31EF"/>
    <w:rsid w:val="134E30D6"/>
    <w:rsid w:val="136150E5"/>
    <w:rsid w:val="13D36ACC"/>
    <w:rsid w:val="13DB6925"/>
    <w:rsid w:val="14006ED5"/>
    <w:rsid w:val="140833C6"/>
    <w:rsid w:val="1432373F"/>
    <w:rsid w:val="143A11E9"/>
    <w:rsid w:val="144D46C1"/>
    <w:rsid w:val="14754C80"/>
    <w:rsid w:val="1476089B"/>
    <w:rsid w:val="14E820EC"/>
    <w:rsid w:val="14E84B90"/>
    <w:rsid w:val="14EE521A"/>
    <w:rsid w:val="153A23A0"/>
    <w:rsid w:val="15496D27"/>
    <w:rsid w:val="15D0330F"/>
    <w:rsid w:val="15D827B6"/>
    <w:rsid w:val="15D94ED4"/>
    <w:rsid w:val="15FD1A66"/>
    <w:rsid w:val="163F43F8"/>
    <w:rsid w:val="164117BB"/>
    <w:rsid w:val="169077D1"/>
    <w:rsid w:val="16D46AD2"/>
    <w:rsid w:val="16E76BF6"/>
    <w:rsid w:val="173F2B94"/>
    <w:rsid w:val="174A3AF9"/>
    <w:rsid w:val="17554768"/>
    <w:rsid w:val="17630F53"/>
    <w:rsid w:val="1763724C"/>
    <w:rsid w:val="176A500F"/>
    <w:rsid w:val="17736601"/>
    <w:rsid w:val="1788289D"/>
    <w:rsid w:val="17A55860"/>
    <w:rsid w:val="17AF2C8A"/>
    <w:rsid w:val="17B727AB"/>
    <w:rsid w:val="17D16C5D"/>
    <w:rsid w:val="18596BD9"/>
    <w:rsid w:val="18BD28DF"/>
    <w:rsid w:val="191540C6"/>
    <w:rsid w:val="19203239"/>
    <w:rsid w:val="195B354D"/>
    <w:rsid w:val="197B7535"/>
    <w:rsid w:val="197D4402"/>
    <w:rsid w:val="1997487C"/>
    <w:rsid w:val="199C20C5"/>
    <w:rsid w:val="19B5279F"/>
    <w:rsid w:val="19BE72FF"/>
    <w:rsid w:val="19D707F3"/>
    <w:rsid w:val="1A3D78AB"/>
    <w:rsid w:val="1A49513B"/>
    <w:rsid w:val="1A6E577B"/>
    <w:rsid w:val="1A7E26FB"/>
    <w:rsid w:val="1A942228"/>
    <w:rsid w:val="1AAA0040"/>
    <w:rsid w:val="1AC4131E"/>
    <w:rsid w:val="1B1B40D7"/>
    <w:rsid w:val="1B975DCD"/>
    <w:rsid w:val="1BF42E73"/>
    <w:rsid w:val="1C056983"/>
    <w:rsid w:val="1C184EB2"/>
    <w:rsid w:val="1CFA6165"/>
    <w:rsid w:val="1D1B1D17"/>
    <w:rsid w:val="1D4E56C8"/>
    <w:rsid w:val="1D9D2AE7"/>
    <w:rsid w:val="1DA07120"/>
    <w:rsid w:val="1DD44F45"/>
    <w:rsid w:val="1DEF35BC"/>
    <w:rsid w:val="1DFD550A"/>
    <w:rsid w:val="1E0576B6"/>
    <w:rsid w:val="1ECC13F9"/>
    <w:rsid w:val="1EE533A4"/>
    <w:rsid w:val="1F06199B"/>
    <w:rsid w:val="1F070E9E"/>
    <w:rsid w:val="1F1A261D"/>
    <w:rsid w:val="1F2617D6"/>
    <w:rsid w:val="1F290BC4"/>
    <w:rsid w:val="1F367C4C"/>
    <w:rsid w:val="1F3A6F42"/>
    <w:rsid w:val="1F422BE7"/>
    <w:rsid w:val="1F6379BD"/>
    <w:rsid w:val="1F653208"/>
    <w:rsid w:val="1FB53159"/>
    <w:rsid w:val="1FF17F48"/>
    <w:rsid w:val="20086876"/>
    <w:rsid w:val="202826A5"/>
    <w:rsid w:val="203B1C92"/>
    <w:rsid w:val="2042634C"/>
    <w:rsid w:val="204E4602"/>
    <w:rsid w:val="205F4A8D"/>
    <w:rsid w:val="210239F3"/>
    <w:rsid w:val="2141431B"/>
    <w:rsid w:val="215B1F09"/>
    <w:rsid w:val="21826E0A"/>
    <w:rsid w:val="219B3A22"/>
    <w:rsid w:val="21CD45A0"/>
    <w:rsid w:val="21CF48F9"/>
    <w:rsid w:val="21E05A1F"/>
    <w:rsid w:val="21E22DED"/>
    <w:rsid w:val="21EA41A0"/>
    <w:rsid w:val="22335AAB"/>
    <w:rsid w:val="22753208"/>
    <w:rsid w:val="22CE31DE"/>
    <w:rsid w:val="22EE356F"/>
    <w:rsid w:val="23080BC7"/>
    <w:rsid w:val="23301B46"/>
    <w:rsid w:val="235963E4"/>
    <w:rsid w:val="2372661D"/>
    <w:rsid w:val="23733BBD"/>
    <w:rsid w:val="241436E9"/>
    <w:rsid w:val="241B6015"/>
    <w:rsid w:val="24634D41"/>
    <w:rsid w:val="24831962"/>
    <w:rsid w:val="248E256A"/>
    <w:rsid w:val="24915DF1"/>
    <w:rsid w:val="24974561"/>
    <w:rsid w:val="249867EF"/>
    <w:rsid w:val="24AA29D8"/>
    <w:rsid w:val="24B178F7"/>
    <w:rsid w:val="24B32E3E"/>
    <w:rsid w:val="24C231D9"/>
    <w:rsid w:val="24C36465"/>
    <w:rsid w:val="24E336BF"/>
    <w:rsid w:val="24EA137B"/>
    <w:rsid w:val="24F34F26"/>
    <w:rsid w:val="25026AFD"/>
    <w:rsid w:val="25102AFA"/>
    <w:rsid w:val="252C6745"/>
    <w:rsid w:val="252D2492"/>
    <w:rsid w:val="256448E2"/>
    <w:rsid w:val="256C78A3"/>
    <w:rsid w:val="25BF69BD"/>
    <w:rsid w:val="265611A5"/>
    <w:rsid w:val="26833D76"/>
    <w:rsid w:val="26843245"/>
    <w:rsid w:val="26AC0937"/>
    <w:rsid w:val="26C65949"/>
    <w:rsid w:val="26F338AE"/>
    <w:rsid w:val="272310AE"/>
    <w:rsid w:val="278C6465"/>
    <w:rsid w:val="279705CA"/>
    <w:rsid w:val="27D92018"/>
    <w:rsid w:val="2854367F"/>
    <w:rsid w:val="28642E35"/>
    <w:rsid w:val="2880461A"/>
    <w:rsid w:val="28A05B20"/>
    <w:rsid w:val="28FE55AA"/>
    <w:rsid w:val="29473C60"/>
    <w:rsid w:val="299B36D3"/>
    <w:rsid w:val="29B15C87"/>
    <w:rsid w:val="29B34F30"/>
    <w:rsid w:val="29B42401"/>
    <w:rsid w:val="2A066B66"/>
    <w:rsid w:val="2A0D79E7"/>
    <w:rsid w:val="2A266DBF"/>
    <w:rsid w:val="2A454FAC"/>
    <w:rsid w:val="2A477F0A"/>
    <w:rsid w:val="2A501124"/>
    <w:rsid w:val="2A666653"/>
    <w:rsid w:val="2A6F6FA3"/>
    <w:rsid w:val="2AAD5A83"/>
    <w:rsid w:val="2AB229F5"/>
    <w:rsid w:val="2B0307B9"/>
    <w:rsid w:val="2B2857BB"/>
    <w:rsid w:val="2B624B25"/>
    <w:rsid w:val="2BDE35DA"/>
    <w:rsid w:val="2C096179"/>
    <w:rsid w:val="2C32355B"/>
    <w:rsid w:val="2C353A3C"/>
    <w:rsid w:val="2C6D37EE"/>
    <w:rsid w:val="2C9A119A"/>
    <w:rsid w:val="2CA555D7"/>
    <w:rsid w:val="2CB22787"/>
    <w:rsid w:val="2CE41358"/>
    <w:rsid w:val="2D0711BF"/>
    <w:rsid w:val="2D165194"/>
    <w:rsid w:val="2D6D2419"/>
    <w:rsid w:val="2D8628A3"/>
    <w:rsid w:val="2D91562F"/>
    <w:rsid w:val="2DBF1269"/>
    <w:rsid w:val="2DD46723"/>
    <w:rsid w:val="2DEF59DC"/>
    <w:rsid w:val="2DF65782"/>
    <w:rsid w:val="2DFF6C28"/>
    <w:rsid w:val="2E00652A"/>
    <w:rsid w:val="2E7914A2"/>
    <w:rsid w:val="2E936F7F"/>
    <w:rsid w:val="2E9572F5"/>
    <w:rsid w:val="2EA42D99"/>
    <w:rsid w:val="2EA65C1A"/>
    <w:rsid w:val="2EB77450"/>
    <w:rsid w:val="2EDA3B6C"/>
    <w:rsid w:val="2EDA6AB9"/>
    <w:rsid w:val="2F022240"/>
    <w:rsid w:val="2F3E2CB0"/>
    <w:rsid w:val="2F491D6C"/>
    <w:rsid w:val="2F5F4543"/>
    <w:rsid w:val="2FCD6A64"/>
    <w:rsid w:val="2FDF41B3"/>
    <w:rsid w:val="2FEC44F8"/>
    <w:rsid w:val="2FF410AD"/>
    <w:rsid w:val="300A06C3"/>
    <w:rsid w:val="30690F66"/>
    <w:rsid w:val="309A48EC"/>
    <w:rsid w:val="309B6928"/>
    <w:rsid w:val="30E84B5B"/>
    <w:rsid w:val="310D4900"/>
    <w:rsid w:val="314238AD"/>
    <w:rsid w:val="315115C8"/>
    <w:rsid w:val="31817330"/>
    <w:rsid w:val="31947585"/>
    <w:rsid w:val="31EA0215"/>
    <w:rsid w:val="31F66E08"/>
    <w:rsid w:val="320E7F77"/>
    <w:rsid w:val="32144FD1"/>
    <w:rsid w:val="321B575A"/>
    <w:rsid w:val="321F2E26"/>
    <w:rsid w:val="32461115"/>
    <w:rsid w:val="329953C5"/>
    <w:rsid w:val="329D1208"/>
    <w:rsid w:val="32B7022A"/>
    <w:rsid w:val="32E4318D"/>
    <w:rsid w:val="334971CF"/>
    <w:rsid w:val="336E6C17"/>
    <w:rsid w:val="33994A10"/>
    <w:rsid w:val="339D4CFE"/>
    <w:rsid w:val="33C72779"/>
    <w:rsid w:val="33FC4FEF"/>
    <w:rsid w:val="342A387B"/>
    <w:rsid w:val="346F422C"/>
    <w:rsid w:val="34740B3C"/>
    <w:rsid w:val="347F220F"/>
    <w:rsid w:val="34DD4863"/>
    <w:rsid w:val="34E51667"/>
    <w:rsid w:val="34EB5CA5"/>
    <w:rsid w:val="34F5559B"/>
    <w:rsid w:val="35016362"/>
    <w:rsid w:val="350200C2"/>
    <w:rsid w:val="350D26D2"/>
    <w:rsid w:val="353E04B1"/>
    <w:rsid w:val="35760F86"/>
    <w:rsid w:val="35991B29"/>
    <w:rsid w:val="35AD2FAB"/>
    <w:rsid w:val="35B12B93"/>
    <w:rsid w:val="35C31FA9"/>
    <w:rsid w:val="35CA48AD"/>
    <w:rsid w:val="35DB40D3"/>
    <w:rsid w:val="35F67015"/>
    <w:rsid w:val="361A49A5"/>
    <w:rsid w:val="364F01C3"/>
    <w:rsid w:val="3651106C"/>
    <w:rsid w:val="36AB6448"/>
    <w:rsid w:val="36BD3A39"/>
    <w:rsid w:val="36CC57D0"/>
    <w:rsid w:val="37014C57"/>
    <w:rsid w:val="371B0261"/>
    <w:rsid w:val="375517FC"/>
    <w:rsid w:val="37750336"/>
    <w:rsid w:val="37AA578C"/>
    <w:rsid w:val="37BA06B6"/>
    <w:rsid w:val="37BF6C25"/>
    <w:rsid w:val="37C77072"/>
    <w:rsid w:val="37F162B7"/>
    <w:rsid w:val="380C6A4B"/>
    <w:rsid w:val="38161CD8"/>
    <w:rsid w:val="382B0410"/>
    <w:rsid w:val="386923DD"/>
    <w:rsid w:val="388B2437"/>
    <w:rsid w:val="38E00F11"/>
    <w:rsid w:val="390E3DAF"/>
    <w:rsid w:val="39182300"/>
    <w:rsid w:val="39293A65"/>
    <w:rsid w:val="3992319F"/>
    <w:rsid w:val="39A45791"/>
    <w:rsid w:val="39A7119C"/>
    <w:rsid w:val="39B756D3"/>
    <w:rsid w:val="39CD5502"/>
    <w:rsid w:val="39FE281C"/>
    <w:rsid w:val="3A086A81"/>
    <w:rsid w:val="3A0A5385"/>
    <w:rsid w:val="3A663420"/>
    <w:rsid w:val="3A690A9D"/>
    <w:rsid w:val="3A9134EF"/>
    <w:rsid w:val="3AA14E9E"/>
    <w:rsid w:val="3AAF57A9"/>
    <w:rsid w:val="3B3F0AF9"/>
    <w:rsid w:val="3B703531"/>
    <w:rsid w:val="3B73784E"/>
    <w:rsid w:val="3B7D5052"/>
    <w:rsid w:val="3B85142F"/>
    <w:rsid w:val="3BA314D5"/>
    <w:rsid w:val="3BAB6FAD"/>
    <w:rsid w:val="3BE2679A"/>
    <w:rsid w:val="3C105126"/>
    <w:rsid w:val="3C234030"/>
    <w:rsid w:val="3C7037BD"/>
    <w:rsid w:val="3C877715"/>
    <w:rsid w:val="3CD243D5"/>
    <w:rsid w:val="3D17480F"/>
    <w:rsid w:val="3D72349A"/>
    <w:rsid w:val="3D72648A"/>
    <w:rsid w:val="3D85552E"/>
    <w:rsid w:val="3D8938BC"/>
    <w:rsid w:val="3D8F209C"/>
    <w:rsid w:val="3DBA1B11"/>
    <w:rsid w:val="3E2939A2"/>
    <w:rsid w:val="3E336714"/>
    <w:rsid w:val="3E4730A3"/>
    <w:rsid w:val="3E505517"/>
    <w:rsid w:val="3E6E5097"/>
    <w:rsid w:val="3E823D41"/>
    <w:rsid w:val="3E917EB7"/>
    <w:rsid w:val="3EFE315D"/>
    <w:rsid w:val="3F2A35A6"/>
    <w:rsid w:val="3F4B77DE"/>
    <w:rsid w:val="3F7D7521"/>
    <w:rsid w:val="3F904AD3"/>
    <w:rsid w:val="3FAC7EC9"/>
    <w:rsid w:val="3FC76698"/>
    <w:rsid w:val="3FD96C32"/>
    <w:rsid w:val="40083EE3"/>
    <w:rsid w:val="401A25EC"/>
    <w:rsid w:val="40787084"/>
    <w:rsid w:val="417A5F80"/>
    <w:rsid w:val="4191418E"/>
    <w:rsid w:val="41AE780C"/>
    <w:rsid w:val="41FC404B"/>
    <w:rsid w:val="4206337B"/>
    <w:rsid w:val="425C6BC9"/>
    <w:rsid w:val="42826BAD"/>
    <w:rsid w:val="42826DDF"/>
    <w:rsid w:val="428D5301"/>
    <w:rsid w:val="42BA563E"/>
    <w:rsid w:val="42CE554D"/>
    <w:rsid w:val="42EC71EA"/>
    <w:rsid w:val="42F14C91"/>
    <w:rsid w:val="4303377A"/>
    <w:rsid w:val="43102CFA"/>
    <w:rsid w:val="43122E32"/>
    <w:rsid w:val="43A22EA7"/>
    <w:rsid w:val="43BA35C9"/>
    <w:rsid w:val="43DB2DD4"/>
    <w:rsid w:val="442F63B8"/>
    <w:rsid w:val="4447184B"/>
    <w:rsid w:val="44523265"/>
    <w:rsid w:val="44843752"/>
    <w:rsid w:val="44D93892"/>
    <w:rsid w:val="44F024A0"/>
    <w:rsid w:val="45134F0B"/>
    <w:rsid w:val="454C5506"/>
    <w:rsid w:val="45D93135"/>
    <w:rsid w:val="45DE2E25"/>
    <w:rsid w:val="46263D58"/>
    <w:rsid w:val="463F58E4"/>
    <w:rsid w:val="4658639A"/>
    <w:rsid w:val="4661087E"/>
    <w:rsid w:val="46700E9A"/>
    <w:rsid w:val="467E3084"/>
    <w:rsid w:val="470A647A"/>
    <w:rsid w:val="47331559"/>
    <w:rsid w:val="473816EC"/>
    <w:rsid w:val="47787D70"/>
    <w:rsid w:val="477E5042"/>
    <w:rsid w:val="47C023B3"/>
    <w:rsid w:val="47C61188"/>
    <w:rsid w:val="483374D5"/>
    <w:rsid w:val="4879184F"/>
    <w:rsid w:val="48D85C92"/>
    <w:rsid w:val="48F43C3A"/>
    <w:rsid w:val="491C67C3"/>
    <w:rsid w:val="4996045E"/>
    <w:rsid w:val="4A2F4C61"/>
    <w:rsid w:val="4A58063D"/>
    <w:rsid w:val="4A8F548B"/>
    <w:rsid w:val="4ABE11F3"/>
    <w:rsid w:val="4ACC7E61"/>
    <w:rsid w:val="4B0047AF"/>
    <w:rsid w:val="4B037762"/>
    <w:rsid w:val="4B5927AD"/>
    <w:rsid w:val="4B6E0BB0"/>
    <w:rsid w:val="4B747639"/>
    <w:rsid w:val="4B7E651A"/>
    <w:rsid w:val="4BAB02A7"/>
    <w:rsid w:val="4BC73BC7"/>
    <w:rsid w:val="4C010937"/>
    <w:rsid w:val="4C1628B1"/>
    <w:rsid w:val="4C2A3E0C"/>
    <w:rsid w:val="4C485D2B"/>
    <w:rsid w:val="4C561C9C"/>
    <w:rsid w:val="4C5F3D82"/>
    <w:rsid w:val="4C87641D"/>
    <w:rsid w:val="4C9A2E34"/>
    <w:rsid w:val="4CB46BEF"/>
    <w:rsid w:val="4CB97A7B"/>
    <w:rsid w:val="4D0845E0"/>
    <w:rsid w:val="4D1A5D0C"/>
    <w:rsid w:val="4D545C3C"/>
    <w:rsid w:val="4D7930E6"/>
    <w:rsid w:val="4D873AFD"/>
    <w:rsid w:val="4D87505B"/>
    <w:rsid w:val="4D8841D7"/>
    <w:rsid w:val="4DA2575B"/>
    <w:rsid w:val="4DCC485E"/>
    <w:rsid w:val="4DCE3FED"/>
    <w:rsid w:val="4DD23057"/>
    <w:rsid w:val="4E0A3871"/>
    <w:rsid w:val="4E11128A"/>
    <w:rsid w:val="4E321CE8"/>
    <w:rsid w:val="4E3609A2"/>
    <w:rsid w:val="4E3D5B7A"/>
    <w:rsid w:val="4EAA5E57"/>
    <w:rsid w:val="4EAC1392"/>
    <w:rsid w:val="4F013616"/>
    <w:rsid w:val="4F125273"/>
    <w:rsid w:val="4F3528A4"/>
    <w:rsid w:val="4F813520"/>
    <w:rsid w:val="4F8A0832"/>
    <w:rsid w:val="4FBE2363"/>
    <w:rsid w:val="4FC27669"/>
    <w:rsid w:val="500205D8"/>
    <w:rsid w:val="50116471"/>
    <w:rsid w:val="503752B0"/>
    <w:rsid w:val="503F749D"/>
    <w:rsid w:val="504404B4"/>
    <w:rsid w:val="50577F05"/>
    <w:rsid w:val="5069278E"/>
    <w:rsid w:val="507423CD"/>
    <w:rsid w:val="50847E24"/>
    <w:rsid w:val="50AE1FF6"/>
    <w:rsid w:val="50E55012"/>
    <w:rsid w:val="51190134"/>
    <w:rsid w:val="51417D22"/>
    <w:rsid w:val="51573732"/>
    <w:rsid w:val="518A164E"/>
    <w:rsid w:val="51A73EB0"/>
    <w:rsid w:val="51AE12D1"/>
    <w:rsid w:val="51D703BB"/>
    <w:rsid w:val="51EE21A0"/>
    <w:rsid w:val="522726A5"/>
    <w:rsid w:val="52273D7E"/>
    <w:rsid w:val="52337B41"/>
    <w:rsid w:val="52B47F91"/>
    <w:rsid w:val="52C02BB3"/>
    <w:rsid w:val="52C47338"/>
    <w:rsid w:val="52D125BF"/>
    <w:rsid w:val="530E4660"/>
    <w:rsid w:val="531C4DC3"/>
    <w:rsid w:val="53230849"/>
    <w:rsid w:val="532B1996"/>
    <w:rsid w:val="535073E6"/>
    <w:rsid w:val="53646A66"/>
    <w:rsid w:val="536D7EF5"/>
    <w:rsid w:val="53844BAC"/>
    <w:rsid w:val="539303BF"/>
    <w:rsid w:val="53B75FAA"/>
    <w:rsid w:val="53D459FA"/>
    <w:rsid w:val="541821A0"/>
    <w:rsid w:val="542C2BE7"/>
    <w:rsid w:val="543C761D"/>
    <w:rsid w:val="548C72E2"/>
    <w:rsid w:val="54AA6594"/>
    <w:rsid w:val="54AC170C"/>
    <w:rsid w:val="54F14178"/>
    <w:rsid w:val="550E1694"/>
    <w:rsid w:val="551011AC"/>
    <w:rsid w:val="551C5C20"/>
    <w:rsid w:val="552579C2"/>
    <w:rsid w:val="5540188C"/>
    <w:rsid w:val="554D3B9C"/>
    <w:rsid w:val="555B4FE8"/>
    <w:rsid w:val="55700682"/>
    <w:rsid w:val="55D06951"/>
    <w:rsid w:val="55E77337"/>
    <w:rsid w:val="55F3477C"/>
    <w:rsid w:val="560E06EE"/>
    <w:rsid w:val="56592E96"/>
    <w:rsid w:val="565E04FB"/>
    <w:rsid w:val="566A14C6"/>
    <w:rsid w:val="569379CE"/>
    <w:rsid w:val="56BD2F53"/>
    <w:rsid w:val="56CE22BD"/>
    <w:rsid w:val="56D53F3E"/>
    <w:rsid w:val="56FA3DD4"/>
    <w:rsid w:val="570E602E"/>
    <w:rsid w:val="573D20A9"/>
    <w:rsid w:val="577E213D"/>
    <w:rsid w:val="57854DAF"/>
    <w:rsid w:val="57A54140"/>
    <w:rsid w:val="57B04FE9"/>
    <w:rsid w:val="57C229A3"/>
    <w:rsid w:val="57FD23BA"/>
    <w:rsid w:val="58434D44"/>
    <w:rsid w:val="58435079"/>
    <w:rsid w:val="58540A76"/>
    <w:rsid w:val="58927FF5"/>
    <w:rsid w:val="58970892"/>
    <w:rsid w:val="58A25898"/>
    <w:rsid w:val="59134152"/>
    <w:rsid w:val="59443958"/>
    <w:rsid w:val="59A90042"/>
    <w:rsid w:val="59DB636A"/>
    <w:rsid w:val="59F354D0"/>
    <w:rsid w:val="59F57D15"/>
    <w:rsid w:val="59F74C0F"/>
    <w:rsid w:val="5A516003"/>
    <w:rsid w:val="5A5A70FE"/>
    <w:rsid w:val="5A5D037F"/>
    <w:rsid w:val="5A832E72"/>
    <w:rsid w:val="5AB5782E"/>
    <w:rsid w:val="5AD405DA"/>
    <w:rsid w:val="5AD92493"/>
    <w:rsid w:val="5AE57DFC"/>
    <w:rsid w:val="5AF72385"/>
    <w:rsid w:val="5B085F30"/>
    <w:rsid w:val="5B3474FA"/>
    <w:rsid w:val="5B3F5694"/>
    <w:rsid w:val="5BAD729C"/>
    <w:rsid w:val="5BB1319D"/>
    <w:rsid w:val="5BB31452"/>
    <w:rsid w:val="5BD750B3"/>
    <w:rsid w:val="5BE57CCD"/>
    <w:rsid w:val="5BF13DC6"/>
    <w:rsid w:val="5C201F6E"/>
    <w:rsid w:val="5C22746B"/>
    <w:rsid w:val="5C5443A7"/>
    <w:rsid w:val="5C6374F8"/>
    <w:rsid w:val="5C7072E8"/>
    <w:rsid w:val="5C724653"/>
    <w:rsid w:val="5C984040"/>
    <w:rsid w:val="5CD30C84"/>
    <w:rsid w:val="5CEE083F"/>
    <w:rsid w:val="5DE2491E"/>
    <w:rsid w:val="5DE635E7"/>
    <w:rsid w:val="5DF00E1E"/>
    <w:rsid w:val="5DF24404"/>
    <w:rsid w:val="5E2C3B0D"/>
    <w:rsid w:val="5E367B4A"/>
    <w:rsid w:val="5E437AEA"/>
    <w:rsid w:val="5E9B0EFC"/>
    <w:rsid w:val="5EAD5978"/>
    <w:rsid w:val="5EBE08B2"/>
    <w:rsid w:val="5EDB0E16"/>
    <w:rsid w:val="5F223E8D"/>
    <w:rsid w:val="5F821FF0"/>
    <w:rsid w:val="5F937520"/>
    <w:rsid w:val="5F9E2308"/>
    <w:rsid w:val="5FD41315"/>
    <w:rsid w:val="5FD46F88"/>
    <w:rsid w:val="5FD645CF"/>
    <w:rsid w:val="5FF4307D"/>
    <w:rsid w:val="5FF91344"/>
    <w:rsid w:val="5FFF3D19"/>
    <w:rsid w:val="603F75A3"/>
    <w:rsid w:val="60447D76"/>
    <w:rsid w:val="604E76D7"/>
    <w:rsid w:val="605B6584"/>
    <w:rsid w:val="60701E03"/>
    <w:rsid w:val="6072272E"/>
    <w:rsid w:val="60944818"/>
    <w:rsid w:val="609D7585"/>
    <w:rsid w:val="60A45C3D"/>
    <w:rsid w:val="60B27581"/>
    <w:rsid w:val="60D23E74"/>
    <w:rsid w:val="61113AD0"/>
    <w:rsid w:val="61471970"/>
    <w:rsid w:val="61AF64B6"/>
    <w:rsid w:val="61B6793A"/>
    <w:rsid w:val="61C61B65"/>
    <w:rsid w:val="61C73673"/>
    <w:rsid w:val="61DA4C51"/>
    <w:rsid w:val="61FA79E9"/>
    <w:rsid w:val="6202734D"/>
    <w:rsid w:val="625326D3"/>
    <w:rsid w:val="626C57EE"/>
    <w:rsid w:val="62767622"/>
    <w:rsid w:val="62833421"/>
    <w:rsid w:val="62891A91"/>
    <w:rsid w:val="628B54AA"/>
    <w:rsid w:val="629E7D9D"/>
    <w:rsid w:val="6322346F"/>
    <w:rsid w:val="632E753A"/>
    <w:rsid w:val="63E303BC"/>
    <w:rsid w:val="63F75668"/>
    <w:rsid w:val="63FD54D6"/>
    <w:rsid w:val="64144DBC"/>
    <w:rsid w:val="64191D70"/>
    <w:rsid w:val="642B4471"/>
    <w:rsid w:val="646A10F8"/>
    <w:rsid w:val="649A3860"/>
    <w:rsid w:val="64C40D8F"/>
    <w:rsid w:val="650E1B00"/>
    <w:rsid w:val="6514219F"/>
    <w:rsid w:val="6543697F"/>
    <w:rsid w:val="658A12F2"/>
    <w:rsid w:val="660747D1"/>
    <w:rsid w:val="66106CEA"/>
    <w:rsid w:val="66285EB2"/>
    <w:rsid w:val="66381B47"/>
    <w:rsid w:val="664C4ACE"/>
    <w:rsid w:val="665B7652"/>
    <w:rsid w:val="668C631B"/>
    <w:rsid w:val="66A91FD1"/>
    <w:rsid w:val="66EA6CAE"/>
    <w:rsid w:val="670A37C4"/>
    <w:rsid w:val="67181010"/>
    <w:rsid w:val="673147F4"/>
    <w:rsid w:val="67332ED2"/>
    <w:rsid w:val="6747252B"/>
    <w:rsid w:val="674A7279"/>
    <w:rsid w:val="674C541B"/>
    <w:rsid w:val="675A3456"/>
    <w:rsid w:val="675C019D"/>
    <w:rsid w:val="6761579B"/>
    <w:rsid w:val="678B6042"/>
    <w:rsid w:val="679561B8"/>
    <w:rsid w:val="67A73E77"/>
    <w:rsid w:val="684601D8"/>
    <w:rsid w:val="686960DD"/>
    <w:rsid w:val="68C3735B"/>
    <w:rsid w:val="68C8036B"/>
    <w:rsid w:val="691A1348"/>
    <w:rsid w:val="69370083"/>
    <w:rsid w:val="694B5F91"/>
    <w:rsid w:val="69712E19"/>
    <w:rsid w:val="6A2918A4"/>
    <w:rsid w:val="6AA2043C"/>
    <w:rsid w:val="6ABE4F70"/>
    <w:rsid w:val="6B2D54B6"/>
    <w:rsid w:val="6B5C00B9"/>
    <w:rsid w:val="6B8A0870"/>
    <w:rsid w:val="6B8B4515"/>
    <w:rsid w:val="6BAF194F"/>
    <w:rsid w:val="6BD55001"/>
    <w:rsid w:val="6BE72953"/>
    <w:rsid w:val="6C2F3C52"/>
    <w:rsid w:val="6C8531BF"/>
    <w:rsid w:val="6CAD65DB"/>
    <w:rsid w:val="6CC235DA"/>
    <w:rsid w:val="6CCB6A2A"/>
    <w:rsid w:val="6CE164F9"/>
    <w:rsid w:val="6CEE49F6"/>
    <w:rsid w:val="6D0E0719"/>
    <w:rsid w:val="6D132AAA"/>
    <w:rsid w:val="6D3716FF"/>
    <w:rsid w:val="6D3C5DB0"/>
    <w:rsid w:val="6D9961DC"/>
    <w:rsid w:val="6DB77F1E"/>
    <w:rsid w:val="6DD625B9"/>
    <w:rsid w:val="6DDE4FBC"/>
    <w:rsid w:val="6E3E0BB5"/>
    <w:rsid w:val="6E742D9C"/>
    <w:rsid w:val="6E891DB9"/>
    <w:rsid w:val="6E8D094C"/>
    <w:rsid w:val="6E9059D6"/>
    <w:rsid w:val="6E995D92"/>
    <w:rsid w:val="6F0308BC"/>
    <w:rsid w:val="6F646983"/>
    <w:rsid w:val="6F693831"/>
    <w:rsid w:val="6F9F33F7"/>
    <w:rsid w:val="6F9F70AD"/>
    <w:rsid w:val="6FB026D4"/>
    <w:rsid w:val="6FD23EE2"/>
    <w:rsid w:val="6FFC4AEF"/>
    <w:rsid w:val="70004793"/>
    <w:rsid w:val="700B43F8"/>
    <w:rsid w:val="700B7A83"/>
    <w:rsid w:val="7057057F"/>
    <w:rsid w:val="70B33BA7"/>
    <w:rsid w:val="70EA348D"/>
    <w:rsid w:val="70F30D76"/>
    <w:rsid w:val="71093E45"/>
    <w:rsid w:val="712A6AAF"/>
    <w:rsid w:val="713F1B87"/>
    <w:rsid w:val="714F0F8D"/>
    <w:rsid w:val="71774DCA"/>
    <w:rsid w:val="719C0809"/>
    <w:rsid w:val="71AE315D"/>
    <w:rsid w:val="71CE62FE"/>
    <w:rsid w:val="71EA188A"/>
    <w:rsid w:val="71EB3D00"/>
    <w:rsid w:val="71FD7BF6"/>
    <w:rsid w:val="72022C62"/>
    <w:rsid w:val="728D77D7"/>
    <w:rsid w:val="729D0261"/>
    <w:rsid w:val="72C133A7"/>
    <w:rsid w:val="72FC419E"/>
    <w:rsid w:val="730B03D5"/>
    <w:rsid w:val="73163E19"/>
    <w:rsid w:val="73170911"/>
    <w:rsid w:val="73276B3A"/>
    <w:rsid w:val="73704BF9"/>
    <w:rsid w:val="73E12E18"/>
    <w:rsid w:val="73E55BF8"/>
    <w:rsid w:val="74225DC7"/>
    <w:rsid w:val="74387615"/>
    <w:rsid w:val="743E468E"/>
    <w:rsid w:val="7444206A"/>
    <w:rsid w:val="74763215"/>
    <w:rsid w:val="74AA7A19"/>
    <w:rsid w:val="74AF1DB3"/>
    <w:rsid w:val="74BD0464"/>
    <w:rsid w:val="752D1441"/>
    <w:rsid w:val="753732E4"/>
    <w:rsid w:val="75547446"/>
    <w:rsid w:val="75554E14"/>
    <w:rsid w:val="75573BCB"/>
    <w:rsid w:val="75732FF1"/>
    <w:rsid w:val="758C0A8B"/>
    <w:rsid w:val="75A50DB3"/>
    <w:rsid w:val="75C11CAC"/>
    <w:rsid w:val="75D95655"/>
    <w:rsid w:val="75E30525"/>
    <w:rsid w:val="75F32D32"/>
    <w:rsid w:val="760313FD"/>
    <w:rsid w:val="7608731D"/>
    <w:rsid w:val="760D5D47"/>
    <w:rsid w:val="76476102"/>
    <w:rsid w:val="768404AB"/>
    <w:rsid w:val="769C04E9"/>
    <w:rsid w:val="76AD3654"/>
    <w:rsid w:val="76B91BCE"/>
    <w:rsid w:val="76C52127"/>
    <w:rsid w:val="77190FB5"/>
    <w:rsid w:val="77336A4A"/>
    <w:rsid w:val="77361A31"/>
    <w:rsid w:val="77373C95"/>
    <w:rsid w:val="77582AD8"/>
    <w:rsid w:val="77931310"/>
    <w:rsid w:val="77CB5E78"/>
    <w:rsid w:val="77D34D11"/>
    <w:rsid w:val="783E03CD"/>
    <w:rsid w:val="78A74AD3"/>
    <w:rsid w:val="78BE3037"/>
    <w:rsid w:val="78CC2B26"/>
    <w:rsid w:val="78EF4543"/>
    <w:rsid w:val="793B21B5"/>
    <w:rsid w:val="796B36D0"/>
    <w:rsid w:val="7991042A"/>
    <w:rsid w:val="79C8223C"/>
    <w:rsid w:val="79C94553"/>
    <w:rsid w:val="7A257F85"/>
    <w:rsid w:val="7A6F52D1"/>
    <w:rsid w:val="7A96237F"/>
    <w:rsid w:val="7A9C2F9F"/>
    <w:rsid w:val="7A9F37B7"/>
    <w:rsid w:val="7AC20F32"/>
    <w:rsid w:val="7AED15B2"/>
    <w:rsid w:val="7B4A7DE8"/>
    <w:rsid w:val="7B5A6E80"/>
    <w:rsid w:val="7B647F73"/>
    <w:rsid w:val="7BD042AF"/>
    <w:rsid w:val="7BE45603"/>
    <w:rsid w:val="7BED4220"/>
    <w:rsid w:val="7C236021"/>
    <w:rsid w:val="7C346A9C"/>
    <w:rsid w:val="7C54512B"/>
    <w:rsid w:val="7CA87435"/>
    <w:rsid w:val="7CFA0C6F"/>
    <w:rsid w:val="7D130695"/>
    <w:rsid w:val="7D196365"/>
    <w:rsid w:val="7D1F75AB"/>
    <w:rsid w:val="7DB9157F"/>
    <w:rsid w:val="7DEE7834"/>
    <w:rsid w:val="7DFB1D50"/>
    <w:rsid w:val="7E2079DE"/>
    <w:rsid w:val="7E3A0514"/>
    <w:rsid w:val="7E4730AD"/>
    <w:rsid w:val="7E485828"/>
    <w:rsid w:val="7E492BB8"/>
    <w:rsid w:val="7E8F5DDF"/>
    <w:rsid w:val="7EA45849"/>
    <w:rsid w:val="7EB41A1B"/>
    <w:rsid w:val="7ED418BE"/>
    <w:rsid w:val="7F012273"/>
    <w:rsid w:val="7F2D4001"/>
    <w:rsid w:val="7F554872"/>
    <w:rsid w:val="7F574C81"/>
    <w:rsid w:val="7F9678F1"/>
    <w:rsid w:val="7FA16C54"/>
    <w:rsid w:val="7FC02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qFormat/>
    <w:uiPriority w:val="0"/>
    <w:pPr>
      <w:snapToGrid w:val="0"/>
      <w:jc w:val="left"/>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basedOn w:val="7"/>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4361</Words>
  <Characters>4646</Characters>
  <Lines>0</Lines>
  <Paragraphs>0</Paragraphs>
  <TotalTime>7</TotalTime>
  <ScaleCrop>false</ScaleCrop>
  <LinksUpToDate>false</LinksUpToDate>
  <CharactersWithSpaces>4655</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2024-02-21T01:32:00Z</dcterms:created>
  <dc:creator>Administrator</dc:creator>
  <cp:lastModifiedBy>Administrator</cp:lastModifiedBy>
  <cp:lastPrinted>2026-09-10T03:54:00Z</cp:lastPrinted>
  <dcterms:modified xsi:type="dcterms:W3CDTF">2026-09-11T10:56:37Z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405EF7BD0F344ACBB0386E6B58C67EFE_13</vt:lpwstr>
  </property>
  <property fmtid="{D5CDD505-2E9C-101B-9397-08002B2CF9AE}" pid="4" name="KSOTemplateDocerSaveRecord">
    <vt:lpwstr>eyJoZGlkIjoiYzVkN2I1Y2ZmMmZhZmMwMDZmYWU2MmM4MTljMDcwNzMiLCJ1c2VySWQiOiIyNjE0NDU3NzIifQ==</vt:lpwstr>
  </property>
</Properties>
</file>