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kinsoku/>
        <w:wordWrap/>
        <w:topLinePunct w:val="0"/>
        <w:bidi w:val="0"/>
        <w:spacing w:line="560" w:lineRule="exact"/>
        <w:jc w:val="center"/>
        <w:rPr>
          <w:rFonts w:ascii="方正小标宋简体" w:hAnsi="方正小标宋简体" w:eastAsia="方正小标宋简体" w:cs="方正小标宋简体"/>
          <w:spacing w:val="3"/>
          <w:kern w:val="2"/>
          <w:sz w:val="44"/>
          <w:szCs w:val="44"/>
          <w:highlight w:val="none"/>
        </w:rPr>
      </w:pPr>
      <w:bookmarkStart w:id="1" w:name="_GoBack"/>
      <w:r>
        <w:rPr>
          <w:rFonts w:hint="eastAsia" w:ascii="方正小标宋简体" w:hAnsi="方正小标宋简体" w:eastAsia="方正小标宋简体" w:cs="方正小标宋简体"/>
          <w:spacing w:val="3"/>
          <w:kern w:val="2"/>
          <w:sz w:val="44"/>
          <w:szCs w:val="44"/>
          <w:highlight w:val="none"/>
        </w:rPr>
        <w:t>屏南县农村信用合作联社</w:t>
      </w:r>
    </w:p>
    <w:p>
      <w:pPr>
        <w:keepNext w:val="0"/>
        <w:keepLines w:val="0"/>
        <w:pageBreakBefore w:val="0"/>
        <w:kinsoku/>
        <w:wordWrap/>
        <w:topLinePunct w:val="0"/>
        <w:bidi w:val="0"/>
        <w:spacing w:line="560" w:lineRule="exact"/>
        <w:jc w:val="center"/>
        <w:rPr>
          <w:rFonts w:ascii="方正小标宋简体" w:hAnsi="方正小标宋简体" w:eastAsia="方正小标宋简体" w:cs="方正小标宋简体"/>
          <w:spacing w:val="3"/>
          <w:kern w:val="2"/>
          <w:sz w:val="44"/>
          <w:szCs w:val="44"/>
          <w:highlight w:val="none"/>
        </w:rPr>
      </w:pPr>
      <w:r>
        <w:rPr>
          <w:rFonts w:hint="eastAsia" w:ascii="方正小标宋简体" w:hAnsi="方正小标宋简体" w:eastAsia="方正小标宋简体" w:cs="方正小标宋简体"/>
          <w:spacing w:val="3"/>
          <w:kern w:val="2"/>
          <w:sz w:val="44"/>
          <w:szCs w:val="44"/>
          <w:highlight w:val="none"/>
        </w:rPr>
        <w:t>2025年度可持续信息披露报告</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屏南县农村信用合作联社2025年度可持续信息披露报告》（以下简称“本报告”），旨在披露屏南县农村信用合作联社在环境保护、绿色金融、绿色运营等可持续发展相关方面的信息。除特别说明外，本报告中“本社”指代屏南县农村信用合作联社。</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报告期间</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2025年1月1日至2025年12月31日</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报告范围</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本报告披露范围包括屏南县农村信用合作联社及所辖分支机构。</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报告数据说明</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本报告中的数据以2025年1月1日至2025年12月31日期间内的数据为主，主要来源本社内部统计数据及基于报告框架的定性与定量数据信息采集。本报告所涉及货币金额以人民币为计量单位。</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报告编制依据</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本报告内容遵循中国人民银行宁德市分行发布的《中国人民银行宁德市分行关于推进金融机构可持续信息披露金融标准试用的通知》等相关要求。</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报告发布形式</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sz w:val="32"/>
          <w:szCs w:val="32"/>
          <w:highlight w:val="none"/>
        </w:rPr>
        <w:sectPr>
          <w:footerReference r:id="rId3" w:type="default"/>
          <w:pgSz w:w="11906" w:h="16839"/>
          <w:pgMar w:top="400" w:right="1756" w:bottom="1156" w:left="1759" w:header="0" w:footer="991" w:gutter="0"/>
          <w:pgNumType w:fmt="decimal"/>
          <w:cols w:space="720" w:num="1"/>
        </w:sectPr>
      </w:pPr>
      <w:r>
        <w:rPr>
          <w:rFonts w:hint="eastAsia" w:ascii="仿宋_GB2312" w:hAnsi="仿宋_GB2312" w:eastAsia="仿宋_GB2312" w:cs="仿宋_GB2312"/>
          <w:spacing w:val="15"/>
          <w:kern w:val="2"/>
          <w:sz w:val="32"/>
          <w:szCs w:val="32"/>
          <w:highlight w:val="none"/>
        </w:rPr>
        <w:t>本报告以中文电子版形式发布，您可在本社官方网站查阅。</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一、战略规划</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620" w:firstLineChars="200"/>
        <w:textAlignment w:val="baseline"/>
        <w:outlineLvl w:val="1"/>
        <w:rPr>
          <w:rFonts w:ascii="楷体" w:hAnsi="楷体" w:eastAsia="楷体" w:cs="楷体"/>
          <w:kern w:val="2"/>
          <w:sz w:val="32"/>
          <w:szCs w:val="32"/>
          <w:highlight w:val="none"/>
        </w:rPr>
      </w:pPr>
      <w:r>
        <w:rPr>
          <w:rFonts w:hint="eastAsia" w:ascii="楷体" w:hAnsi="楷体" w:eastAsia="楷体" w:cs="楷体"/>
          <w:spacing w:val="-5"/>
          <w:kern w:val="2"/>
          <w:sz w:val="32"/>
          <w:szCs w:val="32"/>
          <w:highlight w:val="none"/>
        </w:rPr>
        <w:t>（一）年度概况</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644" w:firstLineChars="200"/>
        <w:textAlignment w:val="baseline"/>
        <w:rPr>
          <w:rFonts w:ascii="仿宋_GB2312" w:hAnsi="仿宋_GB2312" w:eastAsia="仿宋_GB2312" w:cs="仿宋_GB2312"/>
          <w:spacing w:val="1"/>
          <w:kern w:val="2"/>
          <w:sz w:val="32"/>
          <w:szCs w:val="32"/>
          <w:highlight w:val="none"/>
        </w:rPr>
      </w:pPr>
      <w:r>
        <w:rPr>
          <w:rFonts w:hint="eastAsia" w:ascii="仿宋_GB2312" w:hAnsi="仿宋_GB2312" w:eastAsia="仿宋_GB2312" w:cs="仿宋_GB2312"/>
          <w:spacing w:val="1"/>
          <w:kern w:val="2"/>
          <w:sz w:val="32"/>
          <w:szCs w:val="32"/>
          <w:highlight w:val="none"/>
        </w:rPr>
        <w:t>屏南县农村信用合作联社于1999年3月25日</w:t>
      </w:r>
      <w:r>
        <w:rPr>
          <w:rFonts w:hint="eastAsia" w:ascii="仿宋_GB2312" w:hAnsi="仿宋_GB2312" w:eastAsia="仿宋_GB2312" w:cs="仿宋_GB2312"/>
          <w:spacing w:val="1"/>
          <w:kern w:val="2"/>
          <w:sz w:val="32"/>
          <w:szCs w:val="32"/>
          <w:highlight w:val="none"/>
          <w:lang w:val="en-US" w:eastAsia="zh-CN"/>
        </w:rPr>
        <w:t>成立</w:t>
      </w:r>
      <w:r>
        <w:rPr>
          <w:rFonts w:hint="eastAsia" w:ascii="仿宋_GB2312" w:hAnsi="仿宋_GB2312" w:eastAsia="仿宋_GB2312" w:cs="仿宋_GB2312"/>
          <w:spacing w:val="1"/>
          <w:kern w:val="2"/>
          <w:sz w:val="32"/>
          <w:szCs w:val="32"/>
          <w:highlight w:val="none"/>
        </w:rPr>
        <w:t>，注册资本19580.89万元。自成立以来，本社始终坚持“服务三农、造福民生、奉献社会”的宗旨，秉承“有为农信、实干兴社”企业精神，持续围绕地方特色产业，着力涉农、小微、绿色、普惠等重点领域，加大信贷投放力度，切实推动屏南县绿色金融发展。</w:t>
      </w:r>
    </w:p>
    <w:p>
      <w:pPr>
        <w:keepNext w:val="0"/>
        <w:keepLines w:val="0"/>
        <w:pageBreakBefore w:val="0"/>
        <w:widowControl/>
        <w:kinsoku/>
        <w:wordWrap/>
        <w:overflowPunct w:val="0"/>
        <w:topLinePunct w:val="0"/>
        <w:autoSpaceDE w:val="0"/>
        <w:autoSpaceDN w:val="0"/>
        <w:bidi w:val="0"/>
        <w:adjustRightInd w:val="0"/>
        <w:snapToGrid w:val="0"/>
        <w:spacing w:line="560" w:lineRule="exact"/>
        <w:ind w:firstLine="644" w:firstLineChars="200"/>
        <w:textAlignment w:val="baseline"/>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
          <w:kern w:val="2"/>
          <w:sz w:val="32"/>
          <w:szCs w:val="32"/>
          <w:highlight w:val="none"/>
        </w:rPr>
        <w:t>截至2025年12月末，本社内设7个职能部门、1个营业部、12个信用社，是屏南县域网点最多、分布最广、业务量最大的金融机构。2025年末资产总额59.97亿元，比上年末增加3.46亿元，较上年末增幅6.12%；各项贷款余额达到30.55亿元，比上年末减少0.44亿元，较上年末降幅为1.45%。负债总额52.41亿万元，比年初增加3.37亿元，增幅6.88%；各项存款余额47.72亿元，比年初增加3.35亿元，增幅7.54%。存、贷规模居辖区银行业前列，主要监管指标持续向好，转型发展持续推进。</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spacing w:val="15"/>
          <w:kern w:val="2"/>
          <w:sz w:val="32"/>
          <w:szCs w:val="32"/>
          <w:highlight w:val="none"/>
        </w:rPr>
        <w:t>（二）</w:t>
      </w:r>
      <w:r>
        <w:rPr>
          <w:rFonts w:hint="eastAsia" w:ascii="仿宋_GB2312" w:hAnsi="仿宋_GB2312" w:eastAsia="仿宋_GB2312" w:cs="仿宋_GB2312"/>
          <w:b/>
          <w:bCs/>
          <w:spacing w:val="15"/>
          <w:kern w:val="2"/>
          <w:sz w:val="32"/>
          <w:szCs w:val="32"/>
          <w:highlight w:val="none"/>
        </w:rPr>
        <w:t>战略愿景、目标及总体思路。</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本社深入践行绿色发展理念，将绿色金融全面纳入《屏南联社“十四五”总体发展规划》，印发《屏南联社绿色信贷业务实施管理细则》，统筹推进机构绿色转型，着力打造县域乡村振兴绿色标杆银行。</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战略愿景：立足县域生态资源禀赋，聚焦普惠金融、绿色发展、乡村振兴三大核心领域，依托党建+金融助理+多社融合服务模式，持续加大绿色信贷有效投放，健全绿色金融服务体系、风控体系和产品体系。</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实施情况：2025年末绿色贷款余额3690.95万元，较年初增幅20.75%，增速高于各项贷款平均增速；紧扣高山蔬菜、生态文旅等县域绿色优势产业，持续加大信贷投放。同步建立环境与气候风险管控体系，实施绿色客户准入、负面清单管控、全流程风险排查，将绿色发展理念、环境风险研判全面融入经营决策、客户营销、授信管理全过程，各项战略部署有序落地推进。</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spacing w:val="15"/>
          <w:kern w:val="2"/>
          <w:sz w:val="32"/>
          <w:szCs w:val="32"/>
          <w:highlight w:val="none"/>
        </w:rPr>
        <w:t>（三）</w:t>
      </w:r>
      <w:r>
        <w:rPr>
          <w:rFonts w:hint="eastAsia" w:ascii="仿宋_GB2312" w:hAnsi="仿宋_GB2312" w:eastAsia="仿宋_GB2312" w:cs="仿宋_GB2312"/>
          <w:b/>
          <w:bCs/>
          <w:spacing w:val="15"/>
          <w:kern w:val="2"/>
          <w:sz w:val="32"/>
          <w:szCs w:val="32"/>
          <w:highlight w:val="none"/>
        </w:rPr>
        <w:t>投融资及自身运营碳减排目标。</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定量目标：绿色信贷余额持续稳步增长，力争绿色信贷增速高于各项贷款平均增速。</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完成情况：2025年末绿色贷款增速20.75%，高于各项贷款平均增速22.2个百分点，既定目标圆满达成。自身运营碳排放已连续三年常态化测算、归集与内部披露，通过常态化节能降耗举措，实现办公资源消耗总量稳步下降。</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（四）支持绿色低碳循环经济发展、生态环境改善的思路与进展。</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坚守“绿水青山就是金山银山”发展理念，信贷资源重点倾斜生态农业、林下经济、生态文旅、资源循环利用等绿色业态。重点推广“林e贷”等特色涉林信贷产品，有效盘活县域森林资源资产。依托网格化金融服务，推广绿色普惠信贷产品，支持城乡人居环境整治、垃圾分类治理及美丽乡村建设。</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（五）推进自身运营碳达峰碳中和的思路与进展。</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树立全员绿色办公理念，常态化推行集约节约运营管理，全面落实节电、节水、节纸、节油及低碳出行举措。持续深化无纸化办公，有序更新老旧高耗能办公设备，落实办公设备智能断电、错峰用电管理，从运营源头压降自身碳排放。</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（六）环境风险管理体系和机制建设计划。</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树立绿色信贷全流程风险管理理念，将环境、社会风险全面嵌入贷前调查、贷中审查、贷后检查全业务链条。制定绿色信贷专项管理制度，对两高一剩行业实施环保一票否决制，建立行业准入、授信审批、存续期监测全链条环境风控机制。后续将完善绿色金融人才培养、业务考核激励机制，持续规范环境信息披露工作。</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二、治理结构和治理活动</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（一）治理结构</w:t>
      </w:r>
    </w:p>
    <w:p>
      <w:pPr>
        <w:keepNext w:val="0"/>
        <w:keepLines w:val="0"/>
        <w:pageBreakBefore w:val="0"/>
        <w:kinsoku/>
        <w:wordWrap/>
        <w:topLinePunct w:val="0"/>
        <w:bidi w:val="0"/>
        <w:spacing w:line="560" w:lineRule="exact"/>
        <w:ind w:firstLine="640" w:firstLineChars="200"/>
        <w:rPr>
          <w:rFonts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理事会工作职责：树立并推行节约、环保、可持续发展等绿色信贷理念，重视发挥银行业金融机构在促进经济社会全面、协调、可持续发展中的作用，建立与社会共赢的可持续发展模式。负责确定绿色信贷发展战略，审批经营管理层制定的绿色信贷目标和提交的绿色信贷报告，监督、评估本机构绿色信贷发展战略执行情况。</w:t>
      </w:r>
    </w:p>
    <w:p>
      <w:pPr>
        <w:keepNext w:val="0"/>
        <w:keepLines w:val="0"/>
        <w:pageBreakBefore w:val="0"/>
        <w:kinsoku/>
        <w:wordWrap/>
        <w:topLinePunct w:val="0"/>
        <w:bidi w:val="0"/>
        <w:spacing w:line="560" w:lineRule="exact"/>
        <w:ind w:firstLine="640" w:firstLineChars="200"/>
        <w:rPr>
          <w:rFonts w:ascii="仿宋_GB2312" w:hAnsi="仿宋_GB2312" w:eastAsia="仿宋_GB2312" w:cs="仿宋_GB2312"/>
          <w:kern w:val="2"/>
          <w:sz w:val="32"/>
          <w:szCs w:val="32"/>
          <w:highlight w:val="none"/>
        </w:rPr>
      </w:pPr>
      <w:r>
        <w:rPr>
          <w:rFonts w:hint="eastAsia" w:ascii="仿宋_GB2312" w:hAnsi="仿宋_GB2312" w:eastAsia="仿宋_GB2312" w:cs="仿宋_GB2312"/>
          <w:kern w:val="2"/>
          <w:sz w:val="32"/>
          <w:szCs w:val="32"/>
          <w:highlight w:val="none"/>
        </w:rPr>
        <w:t>经营管理层工作职责：根据理事会的决定，制定绿色信贷目标，建立机制和流程，明确职责和权限，开展内控检查和考核评价，向理事会报告绿色信贷发展情况，并及时向监管机构报送相关情况。</w:t>
      </w:r>
    </w:p>
    <w:p>
      <w:pPr>
        <w:keepNext w:val="0"/>
        <w:keepLines w:val="0"/>
        <w:pageBreakBefore w:val="0"/>
        <w:widowControl/>
        <w:kinsoku/>
        <w:wordWrap/>
        <w:topLinePunct w:val="0"/>
        <w:bidi w:val="0"/>
        <w:spacing w:beforeAutospacing="0" w:afterAutospacing="0" w:line="560" w:lineRule="exact"/>
        <w:ind w:firstLine="640" w:firstLineChars="200"/>
        <w:jc w:val="left"/>
        <w:rPr>
          <w:rFonts w:ascii="仿宋_GB2312" w:hAnsi="仿宋_GB2312" w:eastAsia="仿宋_GB2312" w:cs="仿宋_GB2312"/>
          <w:spacing w:val="15"/>
          <w:kern w:val="0"/>
          <w:sz w:val="32"/>
          <w:szCs w:val="32"/>
          <w:highlight w:val="none"/>
          <w:lang w:val="en-US" w:eastAsia="zh-CN" w:bidi="ar-SA"/>
        </w:rPr>
      </w:pPr>
      <w:r>
        <w:rPr>
          <w:rFonts w:hint="eastAsia" w:ascii="仿宋_GB2312" w:hAnsi="仿宋_GB2312" w:eastAsia="仿宋_GB2312" w:cs="仿宋_GB2312"/>
          <w:kern w:val="2"/>
          <w:sz w:val="32"/>
          <w:szCs w:val="32"/>
          <w:highlight w:val="none"/>
          <w:lang w:val="en-US" w:eastAsia="zh-CN" w:bidi="ar-SA"/>
        </w:rPr>
        <w:t>机关职能部门：绿色金融领导小组下设办公室挂靠普惠金融部，统筹全社绿色金融业务推进、政策落地、跟踪监测、督导通报；负责制度建设、产品创新、流程优化及考核奖惩体系。风险部门开展绿色信贷制度、合同合规审查，实行高风险客户名单管理，落实风险缓释、责任追究及不良处置工作。审计部门监督绿色信贷政策执行，定期开展内部审计，依规开展业务责任认定工作。</w:t>
      </w:r>
    </w:p>
    <w:p>
      <w:pPr>
        <w:keepNext w:val="0"/>
        <w:keepLines w:val="0"/>
        <w:pageBreakBefore w:val="0"/>
        <w:widowControl/>
        <w:kinsoku/>
        <w:wordWrap/>
        <w:topLinePunct w:val="0"/>
        <w:bidi w:val="0"/>
        <w:spacing w:beforeAutospacing="0" w:afterAutospacing="0" w:line="560" w:lineRule="exact"/>
        <w:ind w:firstLine="700" w:firstLineChars="200"/>
        <w:jc w:val="left"/>
        <w:rPr>
          <w:rFonts w:ascii="仿宋_GB2312" w:hAnsi="仿宋_GB2312" w:eastAsia="仿宋_GB2312" w:cs="仿宋_GB2312"/>
          <w:spacing w:val="15"/>
          <w:kern w:val="0"/>
          <w:sz w:val="32"/>
          <w:szCs w:val="32"/>
          <w:highlight w:val="none"/>
          <w:lang w:val="en-US" w:eastAsia="zh-CN" w:bidi="ar-SA"/>
        </w:rPr>
      </w:pPr>
      <w:r>
        <w:rPr>
          <w:rFonts w:hint="eastAsia" w:ascii="仿宋_GB2312" w:hAnsi="仿宋_GB2312" w:eastAsia="仿宋_GB2312" w:cs="仿宋_GB2312"/>
          <w:spacing w:val="15"/>
          <w:kern w:val="0"/>
          <w:sz w:val="32"/>
          <w:szCs w:val="32"/>
          <w:highlight w:val="none"/>
          <w:lang w:val="en-US" w:eastAsia="zh-CN" w:bidi="ar-SA"/>
        </w:rPr>
        <w:t>各营业网点：落实绿色信贷政策、承接绿色客户营销对接，落实优先审批、优惠利率、高效办贷专项服务；同时倡导厉行节约，落实日常环保各项要求。</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w:t>
      </w:r>
      <w:r>
        <w:rPr>
          <w:rFonts w:hint="eastAsia" w:ascii="仿宋_GB2312" w:hAnsi="仿宋_GB2312" w:eastAsia="仿宋_GB2312" w:cs="仿宋_GB2312"/>
          <w:b/>
          <w:bCs/>
          <w:spacing w:val="15"/>
          <w:kern w:val="2"/>
          <w:sz w:val="32"/>
          <w:szCs w:val="32"/>
          <w:highlight w:val="none"/>
        </w:rPr>
        <w:t>二）治理活动</w:t>
      </w:r>
    </w:p>
    <w:p>
      <w:pPr>
        <w:keepNext w:val="0"/>
        <w:keepLines w:val="0"/>
        <w:pageBreakBefore w:val="0"/>
        <w:widowControl/>
        <w:kinsoku/>
        <w:wordWrap/>
        <w:topLinePunct w:val="0"/>
        <w:bidi w:val="0"/>
        <w:spacing w:beforeAutospacing="0" w:afterAutospacing="0" w:line="560" w:lineRule="exact"/>
        <w:ind w:firstLine="700" w:firstLineChars="200"/>
        <w:jc w:val="left"/>
        <w:rPr>
          <w:rFonts w:ascii="仿宋_GB2312" w:hAnsi="仿宋_GB2312" w:eastAsia="仿宋_GB2312" w:cs="仿宋_GB2312"/>
          <w:spacing w:val="15"/>
          <w:kern w:val="2"/>
          <w:sz w:val="32"/>
          <w:szCs w:val="32"/>
          <w:highlight w:val="none"/>
          <w:lang w:val="en-US" w:eastAsia="zh-CN" w:bidi="ar-SA"/>
        </w:rPr>
      </w:pPr>
      <w:r>
        <w:rPr>
          <w:rFonts w:hint="eastAsia" w:ascii="仿宋_GB2312" w:hAnsi="仿宋_GB2312" w:eastAsia="仿宋_GB2312" w:cs="仿宋_GB2312"/>
          <w:spacing w:val="15"/>
          <w:kern w:val="2"/>
          <w:sz w:val="32"/>
          <w:szCs w:val="32"/>
          <w:highlight w:val="none"/>
          <w:lang w:val="en-US" w:eastAsia="zh-CN" w:bidi="ar-SA"/>
        </w:rPr>
        <w:t>1.完善治理架构，健全绿色制度体系。本社理事会将绿色金融纳入联社经营战略，督导战略落地与目标达成。</w:t>
      </w:r>
      <w:r>
        <w:rPr>
          <w:rFonts w:hint="eastAsia" w:ascii="仿宋_GB2312" w:hAnsi="仿宋_GB2312" w:eastAsia="仿宋_GB2312" w:cs="仿宋_GB2312"/>
          <w:kern w:val="0"/>
          <w:sz w:val="32"/>
          <w:szCs w:val="32"/>
          <w:highlight w:val="none"/>
          <w:lang w:val="en-US" w:eastAsia="zh-CN" w:bidi="ar-SA"/>
        </w:rPr>
        <w:t>经营管理</w:t>
      </w:r>
      <w:r>
        <w:rPr>
          <w:rFonts w:hint="eastAsia" w:ascii="仿宋_GB2312" w:hAnsi="仿宋_GB2312" w:eastAsia="仿宋_GB2312" w:cs="仿宋_GB2312"/>
          <w:spacing w:val="15"/>
          <w:kern w:val="2"/>
          <w:sz w:val="32"/>
          <w:szCs w:val="32"/>
          <w:highlight w:val="none"/>
          <w:lang w:val="en-US" w:eastAsia="zh-CN" w:bidi="ar-SA"/>
        </w:rPr>
        <w:t>层出台绿色信贷管理、绿色金融发展行动方案等制度，严控气候环境风险、行业准入及风控底线。普惠金融部落实绿色信贷政策，优化业务流程，推广“林e贷”等绿色产品，定期监测通报网点投放进度。基层网点严守绿色信贷准入和环境风控要求，做好客户拓展、授信投放及贷后管理。</w:t>
      </w:r>
    </w:p>
    <w:p>
      <w:pPr>
        <w:keepNext w:val="0"/>
        <w:keepLines w:val="0"/>
        <w:pageBreakBefore w:val="0"/>
        <w:widowControl/>
        <w:kinsoku/>
        <w:wordWrap/>
        <w:topLinePunct w:val="0"/>
        <w:bidi w:val="0"/>
        <w:spacing w:beforeAutospacing="0" w:afterAutospacing="0" w:line="560" w:lineRule="exact"/>
        <w:ind w:firstLine="700" w:firstLineChars="200"/>
        <w:jc w:val="left"/>
        <w:rPr>
          <w:rFonts w:ascii="仿宋_GB2312" w:hAnsi="仿宋_GB2312" w:eastAsia="仿宋_GB2312" w:cs="仿宋_GB2312"/>
          <w:spacing w:val="15"/>
          <w:kern w:val="2"/>
          <w:sz w:val="32"/>
          <w:szCs w:val="32"/>
          <w:highlight w:val="none"/>
          <w:lang w:val="en-US" w:eastAsia="zh-CN" w:bidi="ar-SA"/>
        </w:rPr>
      </w:pPr>
      <w:r>
        <w:rPr>
          <w:rFonts w:hint="eastAsia" w:ascii="仿宋_GB2312" w:hAnsi="仿宋_GB2312" w:eastAsia="仿宋_GB2312" w:cs="仿宋_GB2312"/>
          <w:spacing w:val="15"/>
          <w:kern w:val="2"/>
          <w:sz w:val="32"/>
          <w:szCs w:val="32"/>
          <w:highlight w:val="none"/>
          <w:lang w:val="en-US" w:eastAsia="zh-CN" w:bidi="ar-SA"/>
        </w:rPr>
        <w:t>2.健全考核机制，压实绿色发展责任。本社把绿色信贷增量、绿色产品推广、气候领域信贷投放、普惠绿色服务等纳入综合绩效考核，配套差异化激励政策。以考核为导向，倒逼各条线、各网点主动发展绿色金融，常态化推进生态环境治理，筑牢全社可持续绿色发展根基。</w:t>
      </w:r>
    </w:p>
    <w:p>
      <w:pPr>
        <w:keepNext w:val="0"/>
        <w:keepLines w:val="0"/>
        <w:pageBreakBefore w:val="0"/>
        <w:numPr>
          <w:ilvl w:val="0"/>
          <w:numId w:val="1"/>
        </w:numPr>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政策制度</w:t>
      </w:r>
    </w:p>
    <w:p>
      <w:pPr>
        <w:keepNext w:val="0"/>
        <w:keepLines w:val="0"/>
        <w:pageBreakBefore w:val="0"/>
        <w:widowControl w:val="0"/>
        <w:kinsoku/>
        <w:wordWrap/>
        <w:topLinePunct w:val="0"/>
        <w:bidi w:val="0"/>
        <w:spacing w:line="560" w:lineRule="exact"/>
        <w:ind w:left="0" w:leftChars="0" w:firstLine="703" w:firstLineChars="200"/>
        <w:jc w:val="both"/>
        <w:rPr>
          <w:rFonts w:ascii="仿宋_GB2312" w:hAnsi="仿宋_GB2312" w:eastAsia="仿宋_GB2312" w:cs="仿宋_GB2312"/>
          <w:b/>
          <w:bCs/>
          <w:spacing w:val="15"/>
          <w:kern w:val="2"/>
          <w:sz w:val="32"/>
          <w:szCs w:val="32"/>
          <w:highlight w:val="none"/>
          <w:lang w:val="en-US" w:eastAsia="zh-CN" w:bidi="ar-SA"/>
        </w:rPr>
      </w:pPr>
      <w:r>
        <w:rPr>
          <w:rFonts w:hint="eastAsia" w:ascii="仿宋_GB2312" w:hAnsi="仿宋_GB2312" w:eastAsia="仿宋_GB2312" w:cs="仿宋_GB2312"/>
          <w:b/>
          <w:bCs/>
          <w:spacing w:val="15"/>
          <w:kern w:val="2"/>
          <w:sz w:val="32"/>
          <w:szCs w:val="32"/>
          <w:highlight w:val="none"/>
          <w:lang w:val="en-US" w:eastAsia="zh-CN" w:bidi="ar-SA"/>
        </w:rPr>
        <w:t>（一）绿色金融、环境风险管理、自身运营碳排放管理的政策制度情况</w:t>
      </w:r>
    </w:p>
    <w:tbl>
      <w:tblPr>
        <w:tblStyle w:val="4"/>
        <w:tblW w:w="940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349"/>
        <w:gridCol w:w="3457"/>
        <w:gridCol w:w="25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9" w:type="dxa"/>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top"/>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文件名称</w:t>
            </w:r>
          </w:p>
        </w:tc>
        <w:tc>
          <w:tcPr>
            <w:tcW w:w="3457" w:type="dxa"/>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top"/>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文件主要内容</w:t>
            </w:r>
          </w:p>
        </w:tc>
        <w:tc>
          <w:tcPr>
            <w:tcW w:w="2598" w:type="dxa"/>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top"/>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发文字号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9" w:type="dxa"/>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top"/>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《屏南县农村信用合作联社推进绿色金融高质量发展</w:t>
            </w:r>
          </w:p>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top"/>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行动方案（2025-2027年）》</w:t>
            </w:r>
          </w:p>
        </w:tc>
        <w:tc>
          <w:tcPr>
            <w:tcW w:w="3457" w:type="dxa"/>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top"/>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屏南农信制定行动方案，旨在加大绿色金融支持力度。目标是到2027年建成特色绿色普惠金融服务体系。重点工作包括：拓宽绿色产业（农、林、消费）、供应链、数字化服务领域 ；完善机制，加强能力建设、激励约束、环境披露与风险防控；并强化政银联动、组建专业团队保障实施。</w:t>
            </w:r>
          </w:p>
        </w:tc>
        <w:tc>
          <w:tcPr>
            <w:tcW w:w="2598" w:type="dxa"/>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top"/>
              <w:rPr>
                <w:rFonts w:ascii="仿宋_GB2312" w:hAnsi="Calibri" w:eastAsia="仿宋_GB2312" w:cs="Arial"/>
                <w:kern w:val="2"/>
                <w:position w:val="-8"/>
                <w:sz w:val="32"/>
                <w:szCs w:val="32"/>
                <w:highlight w:val="none"/>
              </w:rPr>
            </w:pPr>
            <w:bookmarkStart w:id="0" w:name="docnum"/>
            <w:r>
              <w:rPr>
                <w:rFonts w:hint="eastAsia" w:ascii="仿宋_GB2312" w:hAnsi="Times New Roman" w:eastAsia="仿宋_GB2312" w:cs="Times New Roman"/>
                <w:kern w:val="2"/>
                <w:position w:val="-8"/>
                <w:sz w:val="32"/>
                <w:szCs w:val="32"/>
                <w:highlight w:val="none"/>
              </w:rPr>
              <w:t>屏农信〔2025〕226号</w:t>
            </w:r>
            <w:bookmarkEnd w:id="0"/>
          </w:p>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top"/>
              <w:rPr>
                <w:rFonts w:ascii="仿宋_GB2312" w:hAnsi="仿宋_GB2312" w:eastAsia="仿宋_GB2312" w:cs="仿宋_GB2312"/>
                <w:spacing w:val="15"/>
                <w:kern w:val="2"/>
                <w:sz w:val="32"/>
                <w:szCs w:val="32"/>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349" w:type="dxa"/>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top"/>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《屏南联社绿色信贷业务实施管理细则》</w:t>
            </w:r>
          </w:p>
        </w:tc>
        <w:tc>
          <w:tcPr>
            <w:tcW w:w="3457" w:type="dxa"/>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top"/>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明确绿色信贷政策的以理事会，高级管理层等组织体系和分工，授信政策，全流程管理及内部监督检查</w:t>
            </w:r>
          </w:p>
        </w:tc>
        <w:tc>
          <w:tcPr>
            <w:tcW w:w="2598" w:type="dxa"/>
          </w:tcPr>
          <w:p>
            <w:pPr>
              <w:keepNext w:val="0"/>
              <w:keepLines w:val="0"/>
              <w:pageBreakBefore w:val="0"/>
              <w:widowControl/>
              <w:kinsoku/>
              <w:wordWrap/>
              <w:overflowPunct/>
              <w:topLinePunct w:val="0"/>
              <w:autoSpaceDE/>
              <w:autoSpaceDN/>
              <w:bidi w:val="0"/>
              <w:adjustRightInd/>
              <w:snapToGrid/>
              <w:spacing w:line="560" w:lineRule="exact"/>
              <w:ind w:firstLine="0" w:firstLineChars="0"/>
              <w:jc w:val="left"/>
              <w:textAlignment w:val="top"/>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屏农信[2021]160号</w:t>
            </w:r>
          </w:p>
        </w:tc>
      </w:tr>
    </w:tbl>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（二）绿色贷款差异化执行政策</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1.实行</w:t>
      </w:r>
      <w:r>
        <w:rPr>
          <w:rFonts w:hint="eastAsia" w:ascii="仿宋_GB2312" w:hAnsi="仿宋_GB2312" w:eastAsia="仿宋_GB2312" w:cs="仿宋_GB2312"/>
          <w:spacing w:val="15"/>
          <w:kern w:val="2"/>
          <w:sz w:val="32"/>
          <w:szCs w:val="32"/>
          <w:highlight w:val="none"/>
          <w:lang w:val="en-US" w:eastAsia="zh-CN"/>
        </w:rPr>
        <w:t>让利</w:t>
      </w:r>
      <w:r>
        <w:rPr>
          <w:rFonts w:hint="eastAsia" w:ascii="仿宋_GB2312" w:hAnsi="仿宋_GB2312" w:eastAsia="仿宋_GB2312" w:cs="仿宋_GB2312"/>
          <w:spacing w:val="15"/>
          <w:kern w:val="2"/>
          <w:sz w:val="32"/>
          <w:szCs w:val="32"/>
          <w:highlight w:val="none"/>
        </w:rPr>
        <w:t>定价，明确利率权限区间。针对林e贷等本社绿色专属信贷产品，专项执行</w:t>
      </w:r>
      <w:r>
        <w:rPr>
          <w:rFonts w:hint="eastAsia" w:ascii="仿宋_GB2312" w:hAnsi="仿宋_GB2312" w:eastAsia="仿宋_GB2312" w:cs="仿宋_GB2312"/>
          <w:spacing w:val="15"/>
          <w:kern w:val="2"/>
          <w:sz w:val="32"/>
          <w:szCs w:val="32"/>
          <w:highlight w:val="none"/>
          <w:lang w:val="en-US" w:eastAsia="zh-CN"/>
        </w:rPr>
        <w:t>让利</w:t>
      </w:r>
      <w:r>
        <w:rPr>
          <w:rFonts w:hint="eastAsia" w:ascii="仿宋_GB2312" w:hAnsi="仿宋_GB2312" w:eastAsia="仿宋_GB2312" w:cs="仿宋_GB2312"/>
          <w:spacing w:val="15"/>
          <w:kern w:val="2"/>
          <w:sz w:val="32"/>
          <w:szCs w:val="32"/>
          <w:highlight w:val="none"/>
        </w:rPr>
        <w:t>年利率最低至3.95%，主动给予利率让利优惠，降低绿色领域客户融资成本，精准落实绿色金融普惠让利政策，切实减轻林业经营主体融资负担。</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2.开通专属通道，优化授信审批流程。专门设立绿色金融专属服务通道，全面实行优先受理、优惠利率、高效审批的专项服务机制，简化绿色信贷业务办理流程，压缩审批时限，提升绿色项目、绿色客户信贷服务效率，打通绿色融资便捷通道。</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3.落实尽职免责，激发业务开展活力。细化完善绿色信贷尽职免责实施细则，清晰明确绿色项目准入、贷款调查审批、贷后管理全流程各环节免责情形，全面消除从业人员业务顾虑，全力营造敢贷、愿贷、能贷、愿投的良好绿色金融业务氛围。</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4.强化考核激励，加大资源倾斜力度。将绿色信贷规模增长、绿色金融服务创新等核心指标，全面纳入经营绩效考评体系，全方位加大绿色金融业务资源倾斜力度，引导全员发力拓展绿色信贷业务。</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5.严控风险隐患，强化环境全流程管理。严格执行环保一票否决制，筑牢绿色信贷风险防线。贷前重点核查项目能耗、排污及生态环境影响情况，严把准入关口；贷中严格审查项目环保合规手续，将环境风险管控要求正式纳入授信协议，明确权责约束；贷后常态化开展环境风险现场、非现场排查检查，实现全流程闭环风控管理。</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（三）气候与环境国际公约、框架及倡议遵守情况</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本社立足县域涉农金融业务实际，聚焦本土绿色金融服务，努力遵守、采纳与机构相关的气候及环境国际公约、相关框架及行业倡议。</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（四）可持续相关风险和机遇</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1.风险机遇研判管控措施</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本社将行业环境风险评估全面嵌入授信全流程政策，从严限制“高耗能、高污染、产能过剩”行业新增授信投放；精准聚焦生态农业、林下经济、生态旅游、绿色小微企业等绿色领域，加大信贷资源倾斜与金融支持力度。截至目前，本社暂未开展系统化气候环境情景模拟分析，也未开展气候环境风险专项压力测试工作。</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2.可持续风险与机遇具体分析</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一是短期发展风险。当前绿色金融行业监管标准持续收紧、监管要求不断趋严，本社面临两高一剩行业信贷准入严格管控、存量贷款有序压降的双重压力，信贷结构优化节奏持续加快。二是中期发展机遇。屏南县区域内有高山特色农业、林下经济、中药材种植、生态文化旅游等绿色特色产业蓬勃发展，市场融资需求旺盛，为本社绿色信贷业务拓展、规模提升提供了广阔的市场空间。三是长期发展机遇。国家“双碳”战略持续纵深推进，农村要素市场化改革不断深化，生态产品价值实现机制逐步完善，为本社绿色金融产品创新、信贷业务规模扩容、服务模式升级，提供了长效政策支撑与发展保障。</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本社始终严格落实高碳行业贷款管控，持续优化信贷资产结构，信贷资金重点向绿色、涉农、普惠金融领域倾斜。从发展预期来看，绿色产业将逐步成为本社信贷业务核心增长点，带动普惠金融、中间业务、客户资金沉淀等全链条业务绿色转型，可持续发展风险与机遇主要集中在县域涉农小微主体、林业农业抵质押资产相关业务领域。</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目前，本社已搭建完善绿色信贷制度体系，创新“林e贷”等特色绿色信贷产品，2025年度绿色贷款增速大幅领先全社贷款平均增速，绿色贷款资产不良率保持为0，风险防控成效十分显著。下一步，本社计划持续加强绿色金融专业人才队伍培训，配套专项信贷规模、差异化FTP、利率优惠等全方位资源，全力保障绿色金融业务高质量发展。</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3.可持续风险机遇对经营财务的影响</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（1）对资产负债、财务业绩及现金流的影响。</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本社绿色信贷资产规模稳步扩容，有效优化全社整体信贷资产结构；绿色信贷产品执行优惠贷款利率，短期内会小幅收窄银行利差，但依托绿色贷款规模持续扩大、资产质量优良、不良率极低的核心优势，全社整体经营收益实现平稳稳健增长。</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（2）长中短期财务业绩发展预期。</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短期预期（1-2年）：绿色信贷业务规模稳步增长，在优惠利率政策下，全社整体盈利水平保持平稳，资本占用合理可控，经营发展稳中向好。</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中期预期（3-5年）：绿色信贷在全社贷款中的占比显著提升，优质绿色信贷资产有效拉动利息收入稳定增长，同时依托绿色金融品牌优势，吸引低成本对公、个人存款沉淀，全社现金流持续优化。</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长期预期（5年以上）：全力打造县域绿色金融标杆银行，形成差异化、特色化核心竞争优势，绿色金融业务成为全社稳定利润增长点，有效规避高碳行业转型发展风险，保障全社长期稳健、可持续经营。</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4.气候变化风险防控管理</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（1）气候风险战略应对韧性</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转型风险应对韧性。牢牢锚定绿色金融发展战略，主动优化信贷投放结构，严控高碳行业信贷准入，提前防范、有效化解产业绿色转型带来的金融风险，筑牢业务转型防线。</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物理风险应对韧性。本社服务县域地处山区，重点聚焦台风、暴雨等极端恶劣天气，防范其对区域农林产业、不动产抵押品价值带来的冲击影响；依托联社特色产品，全力赋能区域生态环境保护建设，提升辖区生态气候风险抵御能力；同时已制定完善业务连续性应急预案，保障极端天气下金融服务不间断。</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（2）气候风险突发事件应急与披露机制</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本社已建立全覆盖、全流程业务连续性管理体系，完善各类突发事件应急预案，清晰明确台风、强降雨等极端气候事件应急处置流程、专人值守机制、金融服务保障措施。若发生重大气候环境风险事件，将严格按照监管要求及内部管理制度，依规及时上报、规范信息披露。</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（3）气候风险敏感资产及业务情况</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本社目前未对气候相关转型风险、物理风险敏感资产及业务金额，开展单独专项统计占比；受极端天气物理风险影响较大的资产，主要集中在农林牧渔业贷款、不动产抵押类贷款。</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（4）气候相关领域资本投入情况</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2025年末，本社绿色贷款余额共计3690.95万元，全部用于生态农林产业、资源循环利用、绿色基础设施建设等气候友好型领域投融资投放，全力助力县域气候生态环境保护与绿色低碳发展。</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5.生物多样性保护工作举措</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本社始终坚守生态保护底线，将生物多样性保护融入信贷业务全流程。贷前严格核查授信项目对区域生态环境、生物多样性的潜在影响，从源头杜绝生态破坏类项目准入；贷中从严审核项目环保、用地合规手续，对水源污染、破坏生态平衡的各类项目，坚决执行一票否决；贷后常态化监测贷款客户生产经营、生态环境合规情况，重点紧盯林业、农业等生态依赖型行业，严防生态破坏行为。</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五、投融资活动可持续信息</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（一）概述整体投融资情况及其对可持续发展的影响</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本社始终坚守服务三农、支持小微、助力乡村振兴初心，持续优化信贷资源配置，重点向普惠金融、绿色产业、生态农业、乡村建设倾斜，主要投向生态农林牧渔业、资源循环利用、基础设施绿色升级领域，有力支撑县域生态治理与绿色产业提质增效。本社无绿色债券承销及自营投资业务；持续严控两高一剩行业新增授信，从源头降低投融资活动环境负面效应。</w:t>
      </w:r>
    </w:p>
    <w:tbl>
      <w:tblPr>
        <w:tblStyle w:val="3"/>
        <w:tblpPr w:leftFromText="180" w:rightFromText="180" w:vertAnchor="text" w:horzAnchor="page" w:tblpX="1685" w:tblpY="730"/>
        <w:tblOverlap w:val="never"/>
        <w:tblW w:w="9260" w:type="dxa"/>
        <w:tblInd w:w="0" w:type="dxa"/>
        <w:tblLayout w:type="fixed"/>
        <w:tblCellMar>
          <w:top w:w="0" w:type="dxa"/>
          <w:left w:w="108" w:type="dxa"/>
          <w:bottom w:w="0" w:type="dxa"/>
          <w:right w:w="108" w:type="dxa"/>
        </w:tblCellMar>
      </w:tblPr>
      <w:tblGrid>
        <w:gridCol w:w="6884"/>
        <w:gridCol w:w="2376"/>
      </w:tblGrid>
      <w:tr>
        <w:tblPrEx>
          <w:tblCellMar>
            <w:top w:w="0" w:type="dxa"/>
            <w:left w:w="108" w:type="dxa"/>
            <w:bottom w:w="0" w:type="dxa"/>
            <w:right w:w="108" w:type="dxa"/>
          </w:tblCellMar>
        </w:tblPrEx>
        <w:trPr>
          <w:trHeight w:val="270" w:hRule="atLeast"/>
        </w:trPr>
        <w:tc>
          <w:tcPr>
            <w:tcW w:w="6884" w:type="dxa"/>
            <w:tcBorders>
              <w:top w:val="nil"/>
              <w:left w:val="nil"/>
              <w:bottom w:val="nil"/>
              <w:right w:val="nil"/>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表12：投融资业务碳排放核算</w:t>
            </w:r>
          </w:p>
        </w:tc>
        <w:tc>
          <w:tcPr>
            <w:tcW w:w="2376" w:type="dxa"/>
            <w:tcBorders>
              <w:top w:val="nil"/>
              <w:left w:val="nil"/>
              <w:bottom w:val="nil"/>
              <w:right w:val="nil"/>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p>
        </w:tc>
      </w:tr>
      <w:tr>
        <w:tblPrEx>
          <w:tblCellMar>
            <w:top w:w="0" w:type="dxa"/>
            <w:left w:w="108" w:type="dxa"/>
            <w:bottom w:w="0" w:type="dxa"/>
            <w:right w:w="108" w:type="dxa"/>
          </w:tblCellMar>
        </w:tblPrEx>
        <w:trPr>
          <w:trHeight w:val="270" w:hRule="atLeast"/>
        </w:trPr>
        <w:tc>
          <w:tcPr>
            <w:tcW w:w="6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可测算碳排放量的客户数（个）</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无</w:t>
            </w:r>
          </w:p>
        </w:tc>
      </w:tr>
      <w:tr>
        <w:tblPrEx>
          <w:tblCellMar>
            <w:top w:w="0" w:type="dxa"/>
            <w:left w:w="108" w:type="dxa"/>
            <w:bottom w:w="0" w:type="dxa"/>
            <w:right w:w="108" w:type="dxa"/>
          </w:tblCellMar>
        </w:tblPrEx>
        <w:trPr>
          <w:trHeight w:val="270" w:hRule="atLeast"/>
        </w:trPr>
        <w:tc>
          <w:tcPr>
            <w:tcW w:w="6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可测算碳排放量的贷款笔数（笔）</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无</w:t>
            </w:r>
          </w:p>
        </w:tc>
      </w:tr>
      <w:tr>
        <w:tblPrEx>
          <w:tblCellMar>
            <w:top w:w="0" w:type="dxa"/>
            <w:left w:w="108" w:type="dxa"/>
            <w:bottom w:w="0" w:type="dxa"/>
            <w:right w:w="108" w:type="dxa"/>
          </w:tblCellMar>
        </w:tblPrEx>
        <w:trPr>
          <w:trHeight w:val="270" w:hRule="atLeast"/>
        </w:trPr>
        <w:tc>
          <w:tcPr>
            <w:tcW w:w="6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可测算碳排放量的贷款余额（万元）</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无</w:t>
            </w:r>
          </w:p>
        </w:tc>
      </w:tr>
      <w:tr>
        <w:tblPrEx>
          <w:tblCellMar>
            <w:top w:w="0" w:type="dxa"/>
            <w:left w:w="108" w:type="dxa"/>
            <w:bottom w:w="0" w:type="dxa"/>
            <w:right w:w="108" w:type="dxa"/>
          </w:tblCellMar>
        </w:tblPrEx>
        <w:trPr>
          <w:trHeight w:val="270" w:hRule="atLeast"/>
        </w:trPr>
        <w:tc>
          <w:tcPr>
            <w:tcW w:w="6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贷款企业或项目年度合计碳排放量（吨）</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无</w:t>
            </w:r>
          </w:p>
        </w:tc>
      </w:tr>
      <w:tr>
        <w:tblPrEx>
          <w:tblCellMar>
            <w:top w:w="0" w:type="dxa"/>
            <w:left w:w="108" w:type="dxa"/>
            <w:bottom w:w="0" w:type="dxa"/>
            <w:right w:w="108" w:type="dxa"/>
          </w:tblCellMar>
        </w:tblPrEx>
        <w:trPr>
          <w:trHeight w:val="270" w:hRule="atLeast"/>
        </w:trPr>
        <w:tc>
          <w:tcPr>
            <w:tcW w:w="6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贷款对应年度合计碳排放量（吨）</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无</w:t>
            </w:r>
          </w:p>
        </w:tc>
      </w:tr>
      <w:tr>
        <w:tblPrEx>
          <w:tblCellMar>
            <w:top w:w="0" w:type="dxa"/>
            <w:left w:w="108" w:type="dxa"/>
            <w:bottom w:w="0" w:type="dxa"/>
            <w:right w:w="108" w:type="dxa"/>
          </w:tblCellMar>
        </w:tblPrEx>
        <w:trPr>
          <w:trHeight w:val="270" w:hRule="atLeast"/>
        </w:trPr>
        <w:tc>
          <w:tcPr>
            <w:tcW w:w="6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已披露碳排放的资产占全部资产的比例（%）</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无</w:t>
            </w:r>
          </w:p>
        </w:tc>
      </w:tr>
      <w:tr>
        <w:tblPrEx>
          <w:tblCellMar>
            <w:top w:w="0" w:type="dxa"/>
            <w:left w:w="108" w:type="dxa"/>
            <w:bottom w:w="0" w:type="dxa"/>
            <w:right w:w="108" w:type="dxa"/>
          </w:tblCellMar>
        </w:tblPrEx>
        <w:trPr>
          <w:trHeight w:val="510" w:hRule="atLeast"/>
        </w:trPr>
        <w:tc>
          <w:tcPr>
            <w:tcW w:w="6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文字说明（碳排放计算的方法、输入资料及假设，说明选择方法的原因）</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无</w:t>
            </w:r>
          </w:p>
        </w:tc>
      </w:tr>
      <w:tr>
        <w:tblPrEx>
          <w:tblCellMar>
            <w:top w:w="0" w:type="dxa"/>
            <w:left w:w="108" w:type="dxa"/>
            <w:bottom w:w="0" w:type="dxa"/>
            <w:right w:w="108" w:type="dxa"/>
          </w:tblCellMar>
        </w:tblPrEx>
        <w:trPr>
          <w:trHeight w:val="510" w:hRule="atLeast"/>
        </w:trPr>
        <w:tc>
          <w:tcPr>
            <w:tcW w:w="6884"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文字说明（逐年提高投融资活动碳排放量报告比例的计划）</w:t>
            </w:r>
          </w:p>
        </w:tc>
        <w:tc>
          <w:tcPr>
            <w:tcW w:w="237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无</w:t>
            </w:r>
          </w:p>
        </w:tc>
      </w:tr>
      <w:tr>
        <w:tblPrEx>
          <w:tblCellMar>
            <w:top w:w="0" w:type="dxa"/>
            <w:left w:w="108" w:type="dxa"/>
            <w:bottom w:w="0" w:type="dxa"/>
            <w:right w:w="108" w:type="dxa"/>
          </w:tblCellMar>
        </w:tblPrEx>
        <w:trPr>
          <w:trHeight w:val="270" w:hRule="atLeast"/>
        </w:trPr>
        <w:tc>
          <w:tcPr>
            <w:tcW w:w="9260" w:type="dxa"/>
            <w:gridSpan w:val="2"/>
            <w:tcBorders>
              <w:top w:val="nil"/>
              <w:left w:val="nil"/>
              <w:bottom w:val="nil"/>
              <w:right w:val="nil"/>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注：参考《金融机构碳核算技术指南（试行）》填写，包括项目融资与非项目融资。</w:t>
            </w:r>
          </w:p>
        </w:tc>
      </w:tr>
    </w:tbl>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（二）投融资业务碳排放核算</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（三）绿色贷款整体情况、分行业贷款情况及较之前年度的变化。</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2025年末绿色贷款余额3690.95万元，较年初增幅20.75%，增速大幅高于各项贷款平均增速，规模稳步扩容、结构持续优化。生态农林牧渔业贷款余额2683.95万元，其中绿色有机认证农业贷款902.5万元、绿色畜牧业贷款1425万元，覆盖面及投放规模较上年明显提升；资源循环利用产业贷款余额393万元。</w:t>
      </w:r>
    </w:p>
    <w:p>
      <w:pPr>
        <w:keepNext w:val="0"/>
        <w:keepLines w:val="0"/>
        <w:pageBreakBefore w:val="0"/>
        <w:widowControl w:val="0"/>
        <w:kinsoku/>
        <w:wordWrap/>
        <w:topLinePunct w:val="0"/>
        <w:bidi w:val="0"/>
        <w:spacing w:line="560" w:lineRule="exact"/>
        <w:ind w:left="800" w:leftChars="400" w:firstLine="700" w:firstLineChars="200"/>
        <w:jc w:val="both"/>
        <w:rPr>
          <w:rFonts w:ascii="Calibri" w:hAnsi="Calibri" w:eastAsia="宋体" w:cs="Arial"/>
          <w:kern w:val="2"/>
          <w:sz w:val="32"/>
          <w:szCs w:val="32"/>
          <w:highlight w:val="none"/>
          <w:lang w:val="en-US" w:eastAsia="zh-CN" w:bidi="ar-SA"/>
        </w:rPr>
      </w:pPr>
      <w:r>
        <w:rPr>
          <w:rFonts w:hint="eastAsia" w:ascii="仿宋_GB2312" w:hAnsi="仿宋_GB2312" w:eastAsia="仿宋_GB2312" w:cs="仿宋_GB2312"/>
          <w:spacing w:val="15"/>
          <w:kern w:val="2"/>
          <w:sz w:val="32"/>
          <w:szCs w:val="32"/>
          <w:highlight w:val="none"/>
          <w:lang w:val="en-US" w:eastAsia="zh-CN" w:bidi="ar-SA"/>
        </w:rPr>
        <w:t>（</w:t>
      </w:r>
      <w:r>
        <w:rPr>
          <w:rFonts w:hint="eastAsia" w:ascii="仿宋_GB2312" w:hAnsi="仿宋_GB2312" w:eastAsia="仿宋_GB2312" w:cs="仿宋_GB2312"/>
          <w:b/>
          <w:bCs/>
          <w:spacing w:val="15"/>
          <w:kern w:val="2"/>
          <w:sz w:val="32"/>
          <w:szCs w:val="32"/>
          <w:highlight w:val="none"/>
          <w:lang w:val="en-US" w:eastAsia="zh-CN" w:bidi="ar-SA"/>
        </w:rPr>
        <w:t>四）绿色贷款余额折合减排情况</w:t>
      </w:r>
    </w:p>
    <w:tbl>
      <w:tblPr>
        <w:tblStyle w:val="3"/>
        <w:tblW w:w="10200" w:type="dxa"/>
        <w:tblInd w:w="93" w:type="dxa"/>
        <w:tblLayout w:type="autofit"/>
        <w:tblCellMar>
          <w:top w:w="0" w:type="dxa"/>
          <w:left w:w="108" w:type="dxa"/>
          <w:bottom w:w="0" w:type="dxa"/>
          <w:right w:w="108" w:type="dxa"/>
        </w:tblCellMar>
      </w:tblPr>
      <w:tblGrid>
        <w:gridCol w:w="4485"/>
        <w:gridCol w:w="3345"/>
        <w:gridCol w:w="2370"/>
      </w:tblGrid>
      <w:tr>
        <w:tblPrEx>
          <w:tblCellMar>
            <w:top w:w="0" w:type="dxa"/>
            <w:left w:w="108" w:type="dxa"/>
            <w:bottom w:w="0" w:type="dxa"/>
            <w:right w:w="108" w:type="dxa"/>
          </w:tblCellMar>
        </w:tblPrEx>
        <w:trPr>
          <w:trHeight w:val="90" w:hRule="atLeast"/>
        </w:trPr>
        <w:tc>
          <w:tcPr>
            <w:tcW w:w="4485" w:type="dxa"/>
            <w:tcBorders>
              <w:top w:val="nil"/>
              <w:left w:val="nil"/>
              <w:bottom w:val="nil"/>
              <w:right w:val="nil"/>
            </w:tcBorders>
            <w:shd w:val="clear" w:color="auto" w:fill="auto"/>
            <w:vAlign w:val="center"/>
          </w:tcPr>
          <w:p>
            <w:pPr>
              <w:keepNext w:val="0"/>
              <w:keepLines w:val="0"/>
              <w:pageBreakBefore w:val="0"/>
              <w:kinsoku/>
              <w:wordWrap/>
              <w:overflowPunct w:val="0"/>
              <w:topLinePunct w:val="0"/>
              <w:bidi w:val="0"/>
              <w:spacing w:line="560" w:lineRule="exact"/>
              <w:ind w:firstLine="660" w:firstLineChars="200"/>
              <w:rPr>
                <w:rFonts w:ascii="仿宋_GB2312" w:hAnsi="仿宋_GB2312" w:eastAsia="仿宋_GB2312" w:cs="仿宋_GB2312"/>
                <w:spacing w:val="15"/>
                <w:kern w:val="2"/>
                <w:sz w:val="30"/>
                <w:szCs w:val="30"/>
                <w:highlight w:val="none"/>
              </w:rPr>
            </w:pPr>
          </w:p>
        </w:tc>
        <w:tc>
          <w:tcPr>
            <w:tcW w:w="3345" w:type="dxa"/>
            <w:tcBorders>
              <w:top w:val="nil"/>
              <w:left w:val="nil"/>
              <w:bottom w:val="nil"/>
              <w:right w:val="nil"/>
            </w:tcBorders>
            <w:shd w:val="clear" w:color="auto" w:fill="auto"/>
            <w:noWrap/>
            <w:vAlign w:val="center"/>
          </w:tcPr>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p>
        </w:tc>
        <w:tc>
          <w:tcPr>
            <w:tcW w:w="2370" w:type="dxa"/>
            <w:tcBorders>
              <w:top w:val="nil"/>
              <w:left w:val="nil"/>
              <w:bottom w:val="nil"/>
              <w:right w:val="nil"/>
            </w:tcBorders>
            <w:shd w:val="clear" w:color="auto" w:fill="auto"/>
            <w:vAlign w:val="center"/>
          </w:tcPr>
          <w:p>
            <w:pPr>
              <w:keepNext w:val="0"/>
              <w:keepLines w:val="0"/>
              <w:pageBreakBefore w:val="0"/>
              <w:kinsoku/>
              <w:wordWrap/>
              <w:topLinePunct w:val="0"/>
              <w:bidi w:val="0"/>
              <w:spacing w:line="560" w:lineRule="exact"/>
              <w:ind w:firstLine="422" w:firstLineChars="200"/>
              <w:rPr>
                <w:rFonts w:ascii="宋体" w:hAnsi="宋体" w:eastAsia="宋体" w:cs="宋体"/>
                <w:b/>
                <w:bCs/>
                <w:color w:val="000000"/>
                <w:kern w:val="2"/>
                <w:sz w:val="21"/>
                <w:szCs w:val="21"/>
                <w:highlight w:val="none"/>
              </w:rPr>
            </w:pPr>
          </w:p>
        </w:tc>
      </w:tr>
      <w:tr>
        <w:tblPrEx>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可测算环境效益的绿色贷款笔数（笔）</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可测算环境效益的绿色贷款余额（万元）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折合减排标准煤（吨）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折合减排二氧化碳当量（吨）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折合减排化学需氧量（吨）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折合减排氨氮（吨）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折合减排二氧化硫（吨）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折合减排氮氧化物（吨）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270" w:hRule="atLeast"/>
        </w:trPr>
        <w:tc>
          <w:tcPr>
            <w:tcW w:w="448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折合节水（吨）</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0</w:t>
            </w: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330" w:hRule="atLeast"/>
        </w:trPr>
        <w:tc>
          <w:tcPr>
            <w:tcW w:w="10200" w:type="dxa"/>
            <w:gridSpan w:val="3"/>
            <w:tcBorders>
              <w:top w:val="single" w:color="000000" w:sz="4" w:space="0"/>
              <w:left w:val="nil"/>
              <w:bottom w:val="nil"/>
              <w:right w:val="nil"/>
            </w:tcBorders>
            <w:shd w:val="clear" w:color="auto" w:fill="auto"/>
            <w:vAlign w:val="center"/>
          </w:tcPr>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注：参考《绿色信贷项目节能减排量测算指引》填写。</w:t>
            </w:r>
          </w:p>
        </w:tc>
      </w:tr>
      <w:tr>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drawing>
                <wp:anchor distT="0" distB="0" distL="114300" distR="114300" simplePos="0" relativeHeight="251659264" behindDoc="0" locked="0" layoutInCell="1" allowOverlap="1">
                  <wp:simplePos x="0" y="0"/>
                  <wp:positionH relativeFrom="column">
                    <wp:posOffset>0</wp:posOffset>
                  </wp:positionH>
                  <wp:positionV relativeFrom="paragraph">
                    <wp:posOffset>57150</wp:posOffset>
                  </wp:positionV>
                  <wp:extent cx="4791075" cy="361950"/>
                  <wp:effectExtent l="0" t="0" r="0" b="3810"/>
                  <wp:wrapNone/>
                  <wp:docPr id="24" name="Picture_1"/>
                  <wp:cNvGraphicFramePr/>
                  <a:graphic xmlns:a="http://schemas.openxmlformats.org/drawingml/2006/main">
                    <a:graphicData uri="http://schemas.openxmlformats.org/drawingml/2006/picture">
                      <pic:pic xmlns:pic="http://schemas.openxmlformats.org/drawingml/2006/picture">
                        <pic:nvPicPr>
                          <pic:cNvPr id="24" name="Picture_1"/>
                          <pic:cNvPicPr/>
                        </pic:nvPicPr>
                        <pic:blipFill>
                          <a:blip r:embed="rId6"/>
                          <a:stretch>
                            <a:fillRect/>
                          </a:stretch>
                        </pic:blipFill>
                        <pic:spPr>
                          <a:xfrm>
                            <a:off x="0" y="0"/>
                            <a:ext cx="4791075" cy="361950"/>
                          </a:xfrm>
                          <a:prstGeom prst="rect">
                            <a:avLst/>
                          </a:prstGeom>
                          <a:noFill/>
                          <a:ln>
                            <a:noFill/>
                          </a:ln>
                        </pic:spPr>
                      </pic:pic>
                    </a:graphicData>
                  </a:graphic>
                </wp:anchor>
              </w:drawing>
            </w:r>
          </w:p>
        </w:tc>
        <w:tc>
          <w:tcPr>
            <w:tcW w:w="0" w:type="auto"/>
            <w:tcBorders>
              <w:top w:val="nil"/>
              <w:left w:val="nil"/>
              <w:bottom w:val="nil"/>
              <w:right w:val="nil"/>
            </w:tcBorders>
            <w:shd w:val="clear" w:color="auto" w:fill="auto"/>
            <w:noWrap/>
            <w:vAlign w:val="center"/>
          </w:tcPr>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270" w:hRule="atLeast"/>
        </w:trPr>
        <w:tc>
          <w:tcPr>
            <w:tcW w:w="0" w:type="auto"/>
            <w:tcBorders>
              <w:top w:val="nil"/>
              <w:left w:val="nil"/>
              <w:bottom w:val="nil"/>
              <w:right w:val="nil"/>
            </w:tcBorders>
            <w:shd w:val="clear" w:color="auto" w:fill="auto"/>
            <w:noWrap/>
            <w:vAlign w:val="center"/>
          </w:tcPr>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p>
        </w:tc>
        <w:tc>
          <w:tcPr>
            <w:tcW w:w="0" w:type="auto"/>
            <w:tcBorders>
              <w:top w:val="nil"/>
              <w:left w:val="nil"/>
              <w:bottom w:val="nil"/>
              <w:right w:val="nil"/>
            </w:tcBorders>
            <w:shd w:val="clear" w:color="auto" w:fill="auto"/>
            <w:noWrap/>
            <w:vAlign w:val="center"/>
          </w:tcPr>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p>
        </w:tc>
        <w:tc>
          <w:tcPr>
            <w:tcW w:w="0" w:type="auto"/>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bl>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（五）绿色债券承销情况。本社无绿色债券承销，与上一年持平。</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（六）报告期末绿色债券投资及发行情况。本社无绿色债券投资，与上一年持平。</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（七）其他绿色投融资活动的情况及较之前年度的变化。本社无其他绿色投资活动，与上一年持平。</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六、自身运营可持续信息</w:t>
      </w:r>
    </w:p>
    <w:tbl>
      <w:tblPr>
        <w:tblStyle w:val="3"/>
        <w:tblW w:w="15105" w:type="dxa"/>
        <w:tblInd w:w="93" w:type="dxa"/>
        <w:tblLayout w:type="autofit"/>
        <w:tblCellMar>
          <w:top w:w="0" w:type="dxa"/>
          <w:left w:w="108" w:type="dxa"/>
          <w:bottom w:w="0" w:type="dxa"/>
          <w:right w:w="108" w:type="dxa"/>
        </w:tblCellMar>
      </w:tblPr>
      <w:tblGrid>
        <w:gridCol w:w="2237"/>
        <w:gridCol w:w="2606"/>
        <w:gridCol w:w="5357"/>
        <w:gridCol w:w="1665"/>
        <w:gridCol w:w="3240"/>
      </w:tblGrid>
      <w:tr>
        <w:tblPrEx>
          <w:tblCellMar>
            <w:top w:w="0" w:type="dxa"/>
            <w:left w:w="108" w:type="dxa"/>
            <w:bottom w:w="0" w:type="dxa"/>
            <w:right w:w="108" w:type="dxa"/>
          </w:tblCellMar>
        </w:tblPrEx>
        <w:trPr>
          <w:trHeight w:val="293" w:hRule="atLeast"/>
        </w:trPr>
        <w:tc>
          <w:tcPr>
            <w:tcW w:w="2237" w:type="dxa"/>
            <w:tcBorders>
              <w:top w:val="nil"/>
              <w:left w:val="nil"/>
              <w:bottom w:val="nil"/>
              <w:right w:val="nil"/>
            </w:tcBorders>
            <w:shd w:val="clear" w:color="auto" w:fill="auto"/>
          </w:tcPr>
          <w:p>
            <w:pPr>
              <w:keepNext w:val="0"/>
              <w:keepLines w:val="0"/>
              <w:pageBreakBefore w:val="0"/>
              <w:widowControl/>
              <w:kinsoku/>
              <w:wordWrap/>
              <w:topLinePunct w:val="0"/>
              <w:bidi w:val="0"/>
              <w:spacing w:line="560" w:lineRule="exact"/>
              <w:ind w:firstLine="422" w:firstLineChars="200"/>
              <w:jc w:val="left"/>
              <w:textAlignment w:val="top"/>
              <w:rPr>
                <w:rFonts w:ascii="宋体" w:hAnsi="宋体" w:eastAsia="宋体" w:cs="宋体"/>
                <w:b/>
                <w:bCs/>
                <w:color w:val="FF0000"/>
                <w:kern w:val="2"/>
                <w:sz w:val="21"/>
                <w:szCs w:val="21"/>
                <w:highlight w:val="none"/>
              </w:rPr>
            </w:pPr>
          </w:p>
        </w:tc>
        <w:tc>
          <w:tcPr>
            <w:tcW w:w="2606" w:type="dxa"/>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c>
          <w:tcPr>
            <w:tcW w:w="5357" w:type="dxa"/>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c>
          <w:tcPr>
            <w:tcW w:w="1665" w:type="dxa"/>
            <w:tcBorders>
              <w:top w:val="nil"/>
              <w:left w:val="nil"/>
              <w:bottom w:val="nil"/>
              <w:right w:val="nil"/>
            </w:tcBorders>
            <w:shd w:val="clear" w:color="auto" w:fill="00B0F0"/>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c>
          <w:tcPr>
            <w:tcW w:w="3240" w:type="dxa"/>
            <w:tcBorders>
              <w:top w:val="nil"/>
              <w:left w:val="nil"/>
              <w:bottom w:val="nil"/>
              <w:right w:val="nil"/>
            </w:tcBorders>
            <w:shd w:val="clear" w:color="auto" w:fill="00B0F0"/>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1150" w:hRule="atLeast"/>
        </w:trPr>
        <w:tc>
          <w:tcPr>
            <w:tcW w:w="10200" w:type="dxa"/>
            <w:gridSpan w:val="3"/>
            <w:tcBorders>
              <w:top w:val="nil"/>
              <w:left w:val="nil"/>
              <w:bottom w:val="nil"/>
              <w:right w:val="nil"/>
            </w:tcBorders>
            <w:shd w:val="clear" w:color="auto" w:fill="auto"/>
            <w:noWrap/>
            <w:vAlign w:val="center"/>
          </w:tcPr>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1.自身运营活动产生的直接碳排（范围一）</w:t>
            </w:r>
          </w:p>
          <w:tbl>
            <w:tblPr>
              <w:tblStyle w:val="3"/>
              <w:tblW w:w="9886" w:type="dxa"/>
              <w:tblInd w:w="0" w:type="dxa"/>
              <w:tblLayout w:type="autofit"/>
              <w:tblCellMar>
                <w:top w:w="0" w:type="dxa"/>
                <w:left w:w="108" w:type="dxa"/>
                <w:bottom w:w="0" w:type="dxa"/>
                <w:right w:w="108" w:type="dxa"/>
              </w:tblCellMar>
            </w:tblPr>
            <w:tblGrid>
              <w:gridCol w:w="3717"/>
              <w:gridCol w:w="2083"/>
              <w:gridCol w:w="2062"/>
              <w:gridCol w:w="2024"/>
            </w:tblGrid>
            <w:tr>
              <w:tblPrEx>
                <w:tblCellMar>
                  <w:top w:w="0" w:type="dxa"/>
                  <w:left w:w="108" w:type="dxa"/>
                  <w:bottom w:w="0" w:type="dxa"/>
                  <w:right w:w="108" w:type="dxa"/>
                </w:tblCellMar>
              </w:tblPrEx>
              <w:trPr>
                <w:trHeight w:val="285" w:hRule="atLeast"/>
              </w:trPr>
              <w:tc>
                <w:tcPr>
                  <w:tcW w:w="3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项目</w:t>
                  </w:r>
                </w:p>
              </w:tc>
              <w:tc>
                <w:tcPr>
                  <w:tcW w:w="20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2025年度</w:t>
                  </w:r>
                </w:p>
              </w:tc>
              <w:tc>
                <w:tcPr>
                  <w:tcW w:w="20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2024年度</w:t>
                  </w:r>
                </w:p>
              </w:tc>
              <w:tc>
                <w:tcPr>
                  <w:tcW w:w="20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2023年度</w:t>
                  </w:r>
                </w:p>
              </w:tc>
            </w:tr>
            <w:tr>
              <w:tblPrEx>
                <w:tblCellMar>
                  <w:top w:w="0" w:type="dxa"/>
                  <w:left w:w="108" w:type="dxa"/>
                  <w:bottom w:w="0" w:type="dxa"/>
                  <w:right w:w="108" w:type="dxa"/>
                </w:tblCellMar>
              </w:tblPrEx>
              <w:trPr>
                <w:trHeight w:val="285" w:hRule="atLeast"/>
              </w:trPr>
              <w:tc>
                <w:tcPr>
                  <w:tcW w:w="3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食堂灶具</w:t>
                  </w:r>
                </w:p>
              </w:tc>
              <w:tc>
                <w:tcPr>
                  <w:tcW w:w="2083"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1.29吨</w:t>
                  </w:r>
                </w:p>
              </w:tc>
              <w:tc>
                <w:tcPr>
                  <w:tcW w:w="2062"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1.44吨</w:t>
                  </w:r>
                </w:p>
              </w:tc>
              <w:tc>
                <w:tcPr>
                  <w:tcW w:w="2024"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2.23吨</w:t>
                  </w:r>
                </w:p>
              </w:tc>
            </w:tr>
          </w:tbl>
          <w:p>
            <w:pPr>
              <w:keepNext w:val="0"/>
              <w:keepLines w:val="0"/>
              <w:pageBreakBefore w:val="0"/>
              <w:widowControl w:val="0"/>
              <w:numPr>
                <w:ilvl w:val="0"/>
                <w:numId w:val="2"/>
              </w:numPr>
              <w:kinsoku/>
              <w:wordWrap/>
              <w:topLinePunct w:val="0"/>
              <w:bidi w:val="0"/>
              <w:spacing w:line="560" w:lineRule="exact"/>
              <w:ind w:left="800" w:leftChars="400" w:firstLine="420" w:firstLineChars="200"/>
              <w:jc w:val="both"/>
              <w:rPr>
                <w:rFonts w:ascii="Calibri" w:hAnsi="Calibri" w:eastAsia="宋体" w:cs="Arial"/>
                <w:kern w:val="2"/>
                <w:sz w:val="21"/>
                <w:szCs w:val="22"/>
                <w:highlight w:val="none"/>
                <w:lang w:val="en-US" w:eastAsia="zh-CN" w:bidi="ar-SA"/>
              </w:rPr>
            </w:pPr>
          </w:p>
        </w:tc>
        <w:tc>
          <w:tcPr>
            <w:tcW w:w="1665" w:type="dxa"/>
            <w:tcBorders>
              <w:top w:val="nil"/>
              <w:left w:val="nil"/>
              <w:bottom w:val="nil"/>
              <w:right w:val="nil"/>
            </w:tcBorders>
            <w:shd w:val="clear" w:color="auto" w:fill="00B0F0"/>
            <w:noWrap/>
            <w:vAlign w:val="center"/>
          </w:tcPr>
          <w:p>
            <w:pPr>
              <w:keepNext w:val="0"/>
              <w:keepLines w:val="0"/>
              <w:pageBreakBefore w:val="0"/>
              <w:widowControl/>
              <w:kinsoku/>
              <w:wordWrap/>
              <w:topLinePunct w:val="0"/>
              <w:bidi w:val="0"/>
              <w:spacing w:line="560" w:lineRule="exact"/>
              <w:ind w:firstLine="420" w:firstLineChars="200"/>
              <w:jc w:val="center"/>
              <w:textAlignment w:val="center"/>
              <w:rPr>
                <w:rFonts w:ascii="宋体" w:hAnsi="宋体" w:eastAsia="宋体" w:cs="宋体"/>
                <w:color w:val="FF0000"/>
                <w:kern w:val="2"/>
                <w:sz w:val="21"/>
                <w:szCs w:val="21"/>
                <w:highlight w:val="none"/>
              </w:rPr>
            </w:pPr>
            <w:r>
              <w:rPr>
                <w:rFonts w:hint="eastAsia" w:ascii="宋体" w:hAnsi="宋体" w:eastAsia="宋体" w:cs="宋体"/>
                <w:color w:val="FF0000"/>
                <w:kern w:val="0"/>
                <w:sz w:val="21"/>
                <w:szCs w:val="21"/>
                <w:highlight w:val="none"/>
              </w:rPr>
              <w:t>★</w:t>
            </w:r>
          </w:p>
        </w:tc>
        <w:tc>
          <w:tcPr>
            <w:tcW w:w="3240" w:type="dxa"/>
            <w:tcBorders>
              <w:top w:val="nil"/>
              <w:left w:val="nil"/>
              <w:bottom w:val="nil"/>
              <w:right w:val="nil"/>
            </w:tcBorders>
            <w:shd w:val="clear" w:color="auto" w:fill="00B0F0"/>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1260" w:hRule="atLeast"/>
        </w:trPr>
        <w:tc>
          <w:tcPr>
            <w:tcW w:w="11865" w:type="dxa"/>
            <w:gridSpan w:val="4"/>
            <w:tcBorders>
              <w:top w:val="single" w:color="000000" w:sz="4" w:space="0"/>
              <w:left w:val="nil"/>
              <w:bottom w:val="nil"/>
              <w:right w:val="nil"/>
            </w:tcBorders>
            <w:shd w:val="clear" w:color="auto" w:fill="auto"/>
            <w:vAlign w:val="center"/>
          </w:tcPr>
          <w:p>
            <w:pPr>
              <w:keepNext w:val="0"/>
              <w:keepLines w:val="0"/>
              <w:pageBreakBefore w:val="0"/>
              <w:widowControl/>
              <w:kinsoku/>
              <w:wordWrap/>
              <w:topLinePunct w:val="0"/>
              <w:bidi w:val="0"/>
              <w:spacing w:line="560" w:lineRule="exact"/>
              <w:ind w:firstLine="420" w:firstLineChars="200"/>
              <w:jc w:val="left"/>
              <w:textAlignment w:val="center"/>
              <w:rPr>
                <w:rFonts w:ascii="宋体" w:hAnsi="宋体" w:eastAsia="宋体" w:cs="宋体"/>
                <w:color w:val="000000"/>
                <w:kern w:val="2"/>
                <w:sz w:val="21"/>
                <w:szCs w:val="21"/>
                <w:highlight w:val="none"/>
              </w:rPr>
            </w:pPr>
            <w:r>
              <w:rPr>
                <w:rFonts w:hint="eastAsia" w:ascii="宋体" w:hAnsi="宋体" w:eastAsia="宋体" w:cs="宋体"/>
                <w:color w:val="000000"/>
                <w:kern w:val="0"/>
                <w:sz w:val="21"/>
                <w:szCs w:val="21"/>
                <w:highlight w:val="none"/>
              </w:rPr>
              <w:t>注：1.包括以下方面：固定源化石燃料燃烧排放，如供暖锅炉、热水锅炉、食堂灶具等；移动燃烧，如承担能源费用的自有汽车、巴士、飞机、船舶等（如有）；无组织排放：如废水处理甲烷（CH4）逸散排放、灭火器逸散排放、空调制冷剂逸散排放、断路器六氟化硫（SF6）保护气逸散排放等。</w:t>
            </w:r>
            <w:r>
              <w:rPr>
                <w:rFonts w:hint="eastAsia" w:ascii="宋体" w:hAnsi="宋体" w:eastAsia="宋体" w:cs="宋体"/>
                <w:color w:val="000000"/>
                <w:kern w:val="0"/>
                <w:sz w:val="21"/>
                <w:szCs w:val="21"/>
                <w:highlight w:val="none"/>
              </w:rPr>
              <w:br w:type="textWrapping"/>
            </w:r>
          </w:p>
        </w:tc>
        <w:tc>
          <w:tcPr>
            <w:tcW w:w="3240" w:type="dxa"/>
            <w:tcBorders>
              <w:top w:val="nil"/>
              <w:left w:val="nil"/>
              <w:bottom w:val="nil"/>
              <w:right w:val="nil"/>
            </w:tcBorders>
            <w:shd w:val="clear" w:color="auto" w:fill="00B0F0"/>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300" w:hRule="atLeast"/>
        </w:trPr>
        <w:tc>
          <w:tcPr>
            <w:tcW w:w="2237" w:type="dxa"/>
            <w:tcBorders>
              <w:top w:val="nil"/>
              <w:left w:val="nil"/>
              <w:bottom w:val="nil"/>
              <w:right w:val="nil"/>
            </w:tcBorders>
            <w:shd w:val="clear" w:color="auto" w:fill="auto"/>
            <w:vAlign w:val="center"/>
          </w:tcPr>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p>
        </w:tc>
        <w:tc>
          <w:tcPr>
            <w:tcW w:w="2606" w:type="dxa"/>
            <w:tcBorders>
              <w:top w:val="nil"/>
              <w:left w:val="nil"/>
              <w:bottom w:val="nil"/>
              <w:right w:val="nil"/>
            </w:tcBorders>
            <w:shd w:val="clear" w:color="auto" w:fill="auto"/>
            <w:vAlign w:val="center"/>
          </w:tcPr>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p>
        </w:tc>
        <w:tc>
          <w:tcPr>
            <w:tcW w:w="5357" w:type="dxa"/>
            <w:tcBorders>
              <w:top w:val="nil"/>
              <w:left w:val="nil"/>
              <w:bottom w:val="nil"/>
              <w:right w:val="nil"/>
            </w:tcBorders>
            <w:shd w:val="clear" w:color="auto" w:fill="auto"/>
            <w:vAlign w:val="center"/>
          </w:tcPr>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p>
        </w:tc>
        <w:tc>
          <w:tcPr>
            <w:tcW w:w="1665" w:type="dxa"/>
            <w:tcBorders>
              <w:top w:val="nil"/>
              <w:left w:val="nil"/>
              <w:bottom w:val="nil"/>
              <w:right w:val="nil"/>
            </w:tcBorders>
            <w:shd w:val="clear" w:color="auto" w:fill="00B0F0"/>
            <w:vAlign w:val="center"/>
          </w:tcPr>
          <w:p>
            <w:pPr>
              <w:keepNext w:val="0"/>
              <w:keepLines w:val="0"/>
              <w:pageBreakBefore w:val="0"/>
              <w:kinsoku/>
              <w:wordWrap/>
              <w:topLinePunct w:val="0"/>
              <w:bidi w:val="0"/>
              <w:spacing w:line="560" w:lineRule="exact"/>
              <w:ind w:firstLine="420" w:firstLineChars="200"/>
              <w:jc w:val="left"/>
              <w:rPr>
                <w:rFonts w:ascii="宋体" w:hAnsi="宋体" w:eastAsia="宋体" w:cs="宋体"/>
                <w:color w:val="000000"/>
                <w:kern w:val="2"/>
                <w:sz w:val="21"/>
                <w:szCs w:val="21"/>
                <w:highlight w:val="none"/>
              </w:rPr>
            </w:pPr>
          </w:p>
        </w:tc>
        <w:tc>
          <w:tcPr>
            <w:tcW w:w="3240" w:type="dxa"/>
            <w:tcBorders>
              <w:top w:val="nil"/>
              <w:left w:val="nil"/>
              <w:bottom w:val="nil"/>
              <w:right w:val="nil"/>
            </w:tcBorders>
            <w:shd w:val="clear" w:color="auto" w:fill="00B0F0"/>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300" w:hRule="atLeast"/>
        </w:trPr>
        <w:tc>
          <w:tcPr>
            <w:tcW w:w="10200" w:type="dxa"/>
            <w:gridSpan w:val="3"/>
            <w:tcBorders>
              <w:top w:val="nil"/>
              <w:left w:val="nil"/>
              <w:bottom w:val="nil"/>
              <w:right w:val="nil"/>
            </w:tcBorders>
            <w:shd w:val="clear" w:color="auto" w:fill="auto"/>
            <w:noWrap/>
            <w:vAlign w:val="center"/>
          </w:tcPr>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2.自身运营活动产生的间接碳排放（范围二）</w:t>
            </w:r>
          </w:p>
          <w:tbl>
            <w:tblPr>
              <w:tblStyle w:val="3"/>
              <w:tblW w:w="9886" w:type="dxa"/>
              <w:tblInd w:w="0" w:type="dxa"/>
              <w:tblLayout w:type="autofit"/>
              <w:tblCellMar>
                <w:top w:w="0" w:type="dxa"/>
                <w:left w:w="108" w:type="dxa"/>
                <w:bottom w:w="0" w:type="dxa"/>
                <w:right w:w="108" w:type="dxa"/>
              </w:tblCellMar>
            </w:tblPr>
            <w:tblGrid>
              <w:gridCol w:w="3717"/>
              <w:gridCol w:w="1858"/>
              <w:gridCol w:w="2175"/>
              <w:gridCol w:w="2136"/>
            </w:tblGrid>
            <w:tr>
              <w:tblPrEx>
                <w:tblCellMar>
                  <w:top w:w="0" w:type="dxa"/>
                  <w:left w:w="108" w:type="dxa"/>
                  <w:bottom w:w="0" w:type="dxa"/>
                  <w:right w:w="108" w:type="dxa"/>
                </w:tblCellMar>
              </w:tblPrEx>
              <w:trPr>
                <w:trHeight w:val="300" w:hRule="atLeast"/>
              </w:trPr>
              <w:tc>
                <w:tcPr>
                  <w:tcW w:w="3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项目</w:t>
                  </w:r>
                </w:p>
              </w:tc>
              <w:tc>
                <w:tcPr>
                  <w:tcW w:w="18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2025年度</w:t>
                  </w:r>
                </w:p>
              </w:tc>
              <w:tc>
                <w:tcPr>
                  <w:tcW w:w="2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2024年度</w:t>
                  </w:r>
                </w:p>
              </w:tc>
              <w:tc>
                <w:tcPr>
                  <w:tcW w:w="21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2023年度</w:t>
                  </w:r>
                </w:p>
              </w:tc>
            </w:tr>
            <w:tr>
              <w:tblPrEx>
                <w:tblCellMar>
                  <w:top w:w="0" w:type="dxa"/>
                  <w:left w:w="108" w:type="dxa"/>
                  <w:bottom w:w="0" w:type="dxa"/>
                  <w:right w:w="108" w:type="dxa"/>
                </w:tblCellMar>
              </w:tblPrEx>
              <w:trPr>
                <w:trHeight w:val="360" w:hRule="atLeast"/>
              </w:trPr>
              <w:tc>
                <w:tcPr>
                  <w:tcW w:w="3717"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外购电力排放</w:t>
                  </w:r>
                </w:p>
              </w:tc>
              <w:tc>
                <w:tcPr>
                  <w:tcW w:w="1858"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37.48吨</w:t>
                  </w:r>
                </w:p>
              </w:tc>
              <w:tc>
                <w:tcPr>
                  <w:tcW w:w="2175"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37.66吨</w:t>
                  </w:r>
                </w:p>
              </w:tc>
              <w:tc>
                <w:tcPr>
                  <w:tcW w:w="2136" w:type="dxa"/>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37.72吨</w:t>
                  </w:r>
                </w:p>
              </w:tc>
            </w:tr>
          </w:tbl>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p>
        </w:tc>
        <w:tc>
          <w:tcPr>
            <w:tcW w:w="1665" w:type="dxa"/>
            <w:tcBorders>
              <w:top w:val="nil"/>
              <w:left w:val="nil"/>
              <w:bottom w:val="nil"/>
              <w:right w:val="nil"/>
            </w:tcBorders>
            <w:shd w:val="clear" w:color="auto" w:fill="00B0F0"/>
            <w:noWrap/>
            <w:vAlign w:val="center"/>
          </w:tcPr>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w:t>
            </w:r>
          </w:p>
        </w:tc>
        <w:tc>
          <w:tcPr>
            <w:tcW w:w="3240" w:type="dxa"/>
            <w:tcBorders>
              <w:top w:val="nil"/>
              <w:left w:val="nil"/>
              <w:bottom w:val="nil"/>
              <w:right w:val="nil"/>
            </w:tcBorders>
            <w:shd w:val="clear" w:color="auto" w:fill="00B0F0"/>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825" w:hRule="atLeast"/>
        </w:trPr>
        <w:tc>
          <w:tcPr>
            <w:tcW w:w="11865" w:type="dxa"/>
            <w:gridSpan w:val="4"/>
            <w:tcBorders>
              <w:top w:val="single" w:color="000000" w:sz="4" w:space="0"/>
              <w:left w:val="nil"/>
              <w:bottom w:val="nil"/>
              <w:right w:val="nil"/>
            </w:tcBorders>
            <w:shd w:val="clear" w:color="auto" w:fill="auto"/>
            <w:vAlign w:val="center"/>
          </w:tcPr>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注：1.包括以下方面：外购电力排放，如组织边界内所有耗电设施的排放，如数据中心、办公耗电、电车耗电等；外购热力冷源排放，如数据中心使用外购冷源排放；员工通勤和差旅等产生的碳排放。</w:t>
            </w:r>
            <w:r>
              <w:rPr>
                <w:rFonts w:hint="eastAsia" w:ascii="仿宋_GB2312" w:hAnsi="仿宋_GB2312" w:eastAsia="仿宋_GB2312" w:cs="仿宋_GB2312"/>
                <w:spacing w:val="15"/>
                <w:kern w:val="2"/>
                <w:sz w:val="32"/>
                <w:szCs w:val="32"/>
                <w:highlight w:val="none"/>
              </w:rPr>
              <w:br w:type="textWrapping"/>
            </w:r>
          </w:p>
        </w:tc>
        <w:tc>
          <w:tcPr>
            <w:tcW w:w="3240" w:type="dxa"/>
            <w:tcBorders>
              <w:top w:val="nil"/>
              <w:left w:val="nil"/>
              <w:bottom w:val="nil"/>
              <w:right w:val="nil"/>
            </w:tcBorders>
            <w:shd w:val="clear" w:color="auto" w:fill="00B0F0"/>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285" w:hRule="atLeast"/>
        </w:trPr>
        <w:tc>
          <w:tcPr>
            <w:tcW w:w="2237" w:type="dxa"/>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60" w:lineRule="exact"/>
              <w:ind w:firstLine="422" w:firstLineChars="200"/>
              <w:jc w:val="left"/>
              <w:rPr>
                <w:rFonts w:ascii="宋体" w:hAnsi="宋体" w:eastAsia="宋体" w:cs="宋体"/>
                <w:b/>
                <w:bCs/>
                <w:color w:val="000000"/>
                <w:kern w:val="2"/>
                <w:sz w:val="21"/>
                <w:szCs w:val="21"/>
                <w:highlight w:val="none"/>
              </w:rPr>
            </w:pPr>
          </w:p>
        </w:tc>
        <w:tc>
          <w:tcPr>
            <w:tcW w:w="2606" w:type="dxa"/>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60" w:lineRule="exact"/>
              <w:ind w:firstLine="422" w:firstLineChars="200"/>
              <w:jc w:val="left"/>
              <w:rPr>
                <w:rFonts w:ascii="宋体" w:hAnsi="宋体" w:eastAsia="宋体" w:cs="宋体"/>
                <w:b/>
                <w:bCs/>
                <w:color w:val="000000"/>
                <w:kern w:val="2"/>
                <w:sz w:val="21"/>
                <w:szCs w:val="21"/>
                <w:highlight w:val="none"/>
              </w:rPr>
            </w:pPr>
          </w:p>
        </w:tc>
        <w:tc>
          <w:tcPr>
            <w:tcW w:w="5357" w:type="dxa"/>
            <w:tcBorders>
              <w:top w:val="nil"/>
              <w:left w:val="nil"/>
              <w:bottom w:val="nil"/>
              <w:right w:val="nil"/>
            </w:tcBorders>
            <w:shd w:val="clear" w:color="auto" w:fill="auto"/>
            <w:noWrap/>
            <w:vAlign w:val="center"/>
          </w:tcPr>
          <w:p>
            <w:pPr>
              <w:keepNext w:val="0"/>
              <w:keepLines w:val="0"/>
              <w:pageBreakBefore w:val="0"/>
              <w:kinsoku/>
              <w:wordWrap/>
              <w:topLinePunct w:val="0"/>
              <w:bidi w:val="0"/>
              <w:spacing w:line="560" w:lineRule="exact"/>
              <w:ind w:firstLine="422" w:firstLineChars="200"/>
              <w:jc w:val="left"/>
              <w:rPr>
                <w:rFonts w:ascii="宋体" w:hAnsi="宋体" w:eastAsia="宋体" w:cs="宋体"/>
                <w:b/>
                <w:bCs/>
                <w:color w:val="000000"/>
                <w:kern w:val="2"/>
                <w:sz w:val="21"/>
                <w:szCs w:val="21"/>
                <w:highlight w:val="none"/>
              </w:rPr>
            </w:pPr>
          </w:p>
        </w:tc>
        <w:tc>
          <w:tcPr>
            <w:tcW w:w="1665" w:type="dxa"/>
            <w:tcBorders>
              <w:top w:val="nil"/>
              <w:left w:val="nil"/>
              <w:bottom w:val="nil"/>
              <w:right w:val="nil"/>
            </w:tcBorders>
            <w:shd w:val="clear" w:color="auto" w:fill="00B0F0"/>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c>
          <w:tcPr>
            <w:tcW w:w="3240" w:type="dxa"/>
            <w:tcBorders>
              <w:top w:val="nil"/>
              <w:left w:val="nil"/>
              <w:bottom w:val="nil"/>
              <w:right w:val="nil"/>
            </w:tcBorders>
            <w:shd w:val="clear" w:color="auto" w:fill="00B0F0"/>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r>
        <w:tblPrEx>
          <w:tblCellMar>
            <w:top w:w="0" w:type="dxa"/>
            <w:left w:w="108" w:type="dxa"/>
            <w:bottom w:w="0" w:type="dxa"/>
            <w:right w:w="108" w:type="dxa"/>
          </w:tblCellMar>
        </w:tblPrEx>
        <w:trPr>
          <w:trHeight w:val="270" w:hRule="atLeast"/>
        </w:trPr>
        <w:tc>
          <w:tcPr>
            <w:tcW w:w="10200" w:type="dxa"/>
            <w:gridSpan w:val="3"/>
            <w:tcBorders>
              <w:top w:val="nil"/>
              <w:left w:val="nil"/>
              <w:bottom w:val="nil"/>
              <w:right w:val="nil"/>
            </w:tcBorders>
            <w:shd w:val="clear" w:color="auto" w:fill="auto"/>
            <w:noWrap/>
            <w:vAlign w:val="center"/>
          </w:tcPr>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3.金融机构经营活动对环境产生的影响</w:t>
            </w:r>
          </w:p>
          <w:tbl>
            <w:tblPr>
              <w:tblStyle w:val="3"/>
              <w:tblW w:w="0" w:type="auto"/>
              <w:tblInd w:w="0" w:type="dxa"/>
              <w:tblLayout w:type="autofit"/>
              <w:tblCellMar>
                <w:top w:w="0" w:type="dxa"/>
                <w:left w:w="108" w:type="dxa"/>
                <w:bottom w:w="0" w:type="dxa"/>
                <w:right w:w="108" w:type="dxa"/>
              </w:tblCellMar>
            </w:tblPr>
            <w:tblGrid>
              <w:gridCol w:w="2595"/>
              <w:gridCol w:w="3041"/>
              <w:gridCol w:w="2141"/>
              <w:gridCol w:w="2202"/>
            </w:tblGrid>
            <w:tr>
              <w:tblPrEx>
                <w:tblCellMar>
                  <w:top w:w="0" w:type="dxa"/>
                  <w:left w:w="108" w:type="dxa"/>
                  <w:bottom w:w="0" w:type="dxa"/>
                  <w:right w:w="108" w:type="dxa"/>
                </w:tblCellMar>
              </w:tblPrEx>
              <w:trPr>
                <w:trHeight w:val="27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指标名称</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披露细项</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本年度总量</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上一年度总量</w:t>
                  </w:r>
                </w:p>
              </w:tc>
            </w:tr>
            <w:tr>
              <w:tblPrEx>
                <w:tblCellMar>
                  <w:top w:w="0" w:type="dxa"/>
                  <w:left w:w="108" w:type="dxa"/>
                  <w:bottom w:w="0" w:type="dxa"/>
                  <w:right w:w="108" w:type="dxa"/>
                </w:tblCellMar>
              </w:tblPrEx>
              <w:trPr>
                <w:trHeight w:val="270" w:hRule="atLeast"/>
              </w:trPr>
              <w:tc>
                <w:tcPr>
                  <w:tcW w:w="0" w:type="auto"/>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报告期经营活动产生的资源消耗</w:t>
                  </w: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自有交通运输工具消耗燃油（升）</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1546.32</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lang w:val="zh-CN" w:eastAsia="zh-CN"/>
                    </w:rPr>
                    <w:t>2105.26</w:t>
                  </w:r>
                </w:p>
              </w:tc>
            </w:tr>
            <w:tr>
              <w:tblPrEx>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营业办公消耗电力（万千瓦时）</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64.28</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lang w:val="zh-CN" w:eastAsia="zh-CN"/>
                    </w:rPr>
                    <w:t>64.59</w:t>
                  </w:r>
                </w:p>
              </w:tc>
            </w:tr>
            <w:tr>
              <w:tblPrEx>
                <w:tblCellMar>
                  <w:top w:w="0" w:type="dxa"/>
                  <w:left w:w="108" w:type="dxa"/>
                  <w:bottom w:w="0" w:type="dxa"/>
                  <w:right w:w="108" w:type="dxa"/>
                </w:tblCellMar>
              </w:tblPrEx>
              <w:trPr>
                <w:trHeight w:val="270"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营业办公消耗水（吨）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1251.37</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lang w:val="zh-CN" w:eastAsia="zh-CN"/>
                    </w:rPr>
                    <w:t>3014.85</w:t>
                  </w:r>
                </w:p>
              </w:tc>
            </w:tr>
            <w:tr>
              <w:tblPrEx>
                <w:tblCellMar>
                  <w:top w:w="0" w:type="dxa"/>
                  <w:left w:w="108" w:type="dxa"/>
                  <w:bottom w:w="0" w:type="dxa"/>
                  <w:right w:w="108" w:type="dxa"/>
                </w:tblCellMar>
              </w:tblPrEx>
              <w:trPr>
                <w:trHeight w:val="315" w:hRule="atLeast"/>
              </w:trPr>
              <w:tc>
                <w:tcPr>
                  <w:tcW w:w="0" w:type="auto"/>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营业办公消耗纸张（吨）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6.21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lang w:val="zh-CN" w:eastAsia="zh-CN"/>
                    </w:rPr>
                    <w:t>6.53</w:t>
                  </w:r>
                </w:p>
              </w:tc>
            </w:tr>
            <w:tr>
              <w:tblPrEx>
                <w:tblCellMar>
                  <w:top w:w="0" w:type="dxa"/>
                  <w:left w:w="108" w:type="dxa"/>
                  <w:bottom w:w="0" w:type="dxa"/>
                  <w:right w:w="108" w:type="dxa"/>
                </w:tblCellMar>
              </w:tblPrEx>
              <w:trPr>
                <w:trHeight w:val="315"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购买或自有的碳抵消项目产生的碳减排量（吨）</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lang w:val="en-US" w:eastAsia="zh-CN"/>
                    </w:rPr>
                  </w:pPr>
                  <w:r>
                    <w:rPr>
                      <w:rFonts w:hint="eastAsia" w:ascii="仿宋_GB2312" w:hAnsi="仿宋_GB2312" w:eastAsia="仿宋_GB2312" w:cs="仿宋_GB2312"/>
                      <w:spacing w:val="15"/>
                      <w:kern w:val="2"/>
                      <w:sz w:val="32"/>
                      <w:szCs w:val="32"/>
                      <w:highlight w:val="none"/>
                      <w:lang w:val="en-US" w:eastAsia="zh-CN"/>
                    </w:rPr>
                    <w:t>0</w:t>
                  </w:r>
                </w:p>
              </w:tc>
            </w:tr>
            <w:tr>
              <w:tblPrEx>
                <w:tblCellMar>
                  <w:top w:w="0" w:type="dxa"/>
                  <w:left w:w="108" w:type="dxa"/>
                  <w:bottom w:w="0" w:type="dxa"/>
                  <w:right w:w="108" w:type="dxa"/>
                </w:tblCellMar>
              </w:tblPrEx>
              <w:trPr>
                <w:trHeight w:val="27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网点数量（个）</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13</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lang w:val="zh-CN" w:eastAsia="zh-CN"/>
                    </w:rPr>
                    <w:t>13</w:t>
                  </w:r>
                </w:p>
              </w:tc>
            </w:tr>
            <w:tr>
              <w:tblPrEx>
                <w:tblCellMar>
                  <w:top w:w="0" w:type="dxa"/>
                  <w:left w:w="108" w:type="dxa"/>
                  <w:bottom w:w="0" w:type="dxa"/>
                  <w:right w:w="108" w:type="dxa"/>
                </w:tblCellMar>
              </w:tblPrEx>
              <w:trPr>
                <w:trHeight w:val="27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员工数（人）</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137</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lang w:val="zh-CN" w:eastAsia="zh-CN"/>
                    </w:rPr>
                    <w:t>139</w:t>
                  </w:r>
                </w:p>
              </w:tc>
            </w:tr>
            <w:tr>
              <w:tblPrEx>
                <w:tblCellMar>
                  <w:top w:w="0" w:type="dxa"/>
                  <w:left w:w="108" w:type="dxa"/>
                  <w:bottom w:w="0" w:type="dxa"/>
                  <w:right w:w="108" w:type="dxa"/>
                </w:tblCellMar>
              </w:tblPrEx>
              <w:trPr>
                <w:trHeight w:val="270" w:hRule="atLeast"/>
              </w:trPr>
              <w:tc>
                <w:tcPr>
                  <w:tcW w:w="0" w:type="auto"/>
                  <w:gridSpan w:val="2"/>
                  <w:tcBorders>
                    <w:top w:val="single" w:color="000000" w:sz="4" w:space="0"/>
                    <w:left w:val="single" w:color="000000" w:sz="4" w:space="0"/>
                    <w:bottom w:val="single" w:color="000000" w:sz="4" w:space="0"/>
                    <w:right w:val="single" w:color="000000" w:sz="4" w:space="0"/>
                  </w:tcBorders>
                  <w:shd w:val="clear" w:color="auto" w:fill="FFFFFF"/>
                  <w:noWrap/>
                  <w:vAlign w:val="center"/>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营业收入（万元）</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25164.50088</w:t>
                  </w:r>
                </w:p>
              </w:tc>
              <w:tc>
                <w:tcPr>
                  <w:tcW w:w="0" w:type="auto"/>
                  <w:tcBorders>
                    <w:top w:val="single" w:color="000000" w:sz="4" w:space="0"/>
                    <w:left w:val="single" w:color="000000" w:sz="4" w:space="0"/>
                    <w:bottom w:val="single" w:color="000000" w:sz="4" w:space="0"/>
                    <w:right w:val="single" w:color="000000" w:sz="4" w:space="0"/>
                  </w:tcBorders>
                  <w:shd w:val="clear" w:color="auto" w:fill="auto"/>
                  <w:noWrap/>
                  <w:vAlign w:val="bottom"/>
                </w:tcPr>
                <w:p>
                  <w:pPr>
                    <w:keepNext w:val="0"/>
                    <w:keepLines w:val="0"/>
                    <w:pageBreakBefore w:val="0"/>
                    <w:widowControl w:val="0"/>
                    <w:kinsoku/>
                    <w:wordWrap/>
                    <w:overflowPunct w:val="0"/>
                    <w:topLinePunct w:val="0"/>
                    <w:autoSpaceDE/>
                    <w:autoSpaceDN/>
                    <w:bidi w:val="0"/>
                    <w:adjustRightInd/>
                    <w:snapToGrid/>
                    <w:spacing w:line="560" w:lineRule="exact"/>
                    <w:ind w:firstLine="0" w:firstLineChars="0"/>
                    <w:textAlignment w:val="auto"/>
                    <w:rPr>
                      <w:rFonts w:hint="eastAsia"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lang w:val="zh-CN" w:eastAsia="zh-CN"/>
                    </w:rPr>
                    <w:t>27386.50162</w:t>
                  </w:r>
                </w:p>
              </w:tc>
            </w:tr>
          </w:tbl>
          <w:p>
            <w:pPr>
              <w:keepNext w:val="0"/>
              <w:keepLines w:val="0"/>
              <w:pageBreakBefore w:val="0"/>
              <w:widowControl w:val="0"/>
              <w:kinsoku/>
              <w:wordWrap/>
              <w:topLinePunct w:val="0"/>
              <w:bidi w:val="0"/>
              <w:spacing w:line="560" w:lineRule="exact"/>
              <w:ind w:left="0" w:leftChars="0" w:firstLine="420" w:firstLineChars="200"/>
              <w:jc w:val="both"/>
              <w:rPr>
                <w:rFonts w:ascii="Calibri" w:hAnsi="Calibri" w:eastAsia="宋体" w:cs="Arial"/>
                <w:kern w:val="2"/>
                <w:sz w:val="21"/>
                <w:szCs w:val="22"/>
                <w:highlight w:val="none"/>
                <w:lang w:val="en-US" w:eastAsia="zh-CN" w:bidi="ar-SA"/>
              </w:rPr>
            </w:pPr>
          </w:p>
          <w:p>
            <w:pPr>
              <w:keepNext w:val="0"/>
              <w:keepLines w:val="0"/>
              <w:pageBreakBefore w:val="0"/>
              <w:kinsoku/>
              <w:wordWrap/>
              <w:topLinePunct w:val="0"/>
              <w:bidi w:val="0"/>
              <w:spacing w:line="560" w:lineRule="exact"/>
              <w:ind w:firstLine="420" w:firstLineChars="200"/>
              <w:rPr>
                <w:rFonts w:ascii="Calibri" w:hAnsi="Calibri" w:eastAsia="宋体" w:cs="Arial"/>
                <w:kern w:val="2"/>
                <w:sz w:val="21"/>
                <w:szCs w:val="22"/>
                <w:highlight w:val="none"/>
              </w:rPr>
            </w:pPr>
          </w:p>
        </w:tc>
        <w:tc>
          <w:tcPr>
            <w:tcW w:w="1665" w:type="dxa"/>
            <w:tcBorders>
              <w:top w:val="nil"/>
              <w:left w:val="nil"/>
              <w:bottom w:val="nil"/>
              <w:right w:val="nil"/>
            </w:tcBorders>
            <w:shd w:val="clear" w:color="auto" w:fill="00B0F0"/>
            <w:noWrap/>
            <w:vAlign w:val="center"/>
          </w:tcPr>
          <w:p>
            <w:pPr>
              <w:keepNext w:val="0"/>
              <w:keepLines w:val="0"/>
              <w:pageBreakBefore w:val="0"/>
              <w:widowControl/>
              <w:kinsoku/>
              <w:wordWrap/>
              <w:topLinePunct w:val="0"/>
              <w:bidi w:val="0"/>
              <w:spacing w:line="560" w:lineRule="exact"/>
              <w:ind w:firstLine="420" w:firstLineChars="200"/>
              <w:jc w:val="center"/>
              <w:textAlignment w:val="center"/>
              <w:rPr>
                <w:rFonts w:ascii="宋体" w:hAnsi="宋体" w:eastAsia="宋体" w:cs="宋体"/>
                <w:color w:val="FF0000"/>
                <w:kern w:val="2"/>
                <w:sz w:val="21"/>
                <w:szCs w:val="21"/>
                <w:highlight w:val="none"/>
              </w:rPr>
            </w:pPr>
            <w:r>
              <w:rPr>
                <w:rFonts w:hint="eastAsia" w:ascii="宋体" w:hAnsi="宋体" w:eastAsia="宋体" w:cs="宋体"/>
                <w:color w:val="FF0000"/>
                <w:kern w:val="0"/>
                <w:sz w:val="21"/>
                <w:szCs w:val="21"/>
                <w:highlight w:val="none"/>
              </w:rPr>
              <w:t>★</w:t>
            </w:r>
          </w:p>
        </w:tc>
        <w:tc>
          <w:tcPr>
            <w:tcW w:w="3240" w:type="dxa"/>
            <w:tcBorders>
              <w:top w:val="nil"/>
              <w:left w:val="nil"/>
              <w:bottom w:val="nil"/>
              <w:right w:val="nil"/>
            </w:tcBorders>
            <w:shd w:val="clear" w:color="auto" w:fill="00B0F0"/>
            <w:noWrap/>
            <w:vAlign w:val="center"/>
          </w:tcPr>
          <w:p>
            <w:pPr>
              <w:keepNext w:val="0"/>
              <w:keepLines w:val="0"/>
              <w:pageBreakBefore w:val="0"/>
              <w:kinsoku/>
              <w:wordWrap/>
              <w:topLinePunct w:val="0"/>
              <w:bidi w:val="0"/>
              <w:spacing w:line="560" w:lineRule="exact"/>
              <w:ind w:firstLine="420" w:firstLineChars="200"/>
              <w:rPr>
                <w:rFonts w:ascii="宋体" w:hAnsi="宋体" w:eastAsia="宋体" w:cs="宋体"/>
                <w:color w:val="000000"/>
                <w:kern w:val="2"/>
                <w:sz w:val="21"/>
                <w:szCs w:val="21"/>
                <w:highlight w:val="none"/>
              </w:rPr>
            </w:pPr>
          </w:p>
        </w:tc>
      </w:tr>
    </w:tbl>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4.自身运营活动的其他环境信息</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一是无纸化办公成效。全面普及OA协同办公、移动办公系统，严控纸质公文、凭证印制，2025年较上年节约用纸0.32吨，降本减耗成效明显。</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二是节能降耗管理。分批淘汰老旧高耗能办公设备，统一设置办公设备夜间智能关机策略，减少无效电能消耗；常态化开展节能宣传，树立全员低碳办公意识。</w:t>
      </w:r>
    </w:p>
    <w:p>
      <w:pPr>
        <w:keepNext w:val="0"/>
        <w:keepLines w:val="0"/>
        <w:pageBreakBefore w:val="0"/>
        <w:kinsoku/>
        <w:wordWrap/>
        <w:overflowPunct w:val="0"/>
        <w:topLinePunct w:val="0"/>
        <w:bidi w:val="0"/>
        <w:spacing w:line="560" w:lineRule="exact"/>
        <w:ind w:firstLine="700" w:firstLineChars="200"/>
        <w:rPr>
          <w:rFonts w:ascii="Calibri" w:hAnsi="Calibri" w:eastAsia="宋体" w:cs="Arial"/>
          <w:kern w:val="2"/>
          <w:sz w:val="30"/>
          <w:szCs w:val="30"/>
          <w:highlight w:val="none"/>
        </w:rPr>
      </w:pPr>
      <w:r>
        <w:rPr>
          <w:rFonts w:hint="eastAsia" w:ascii="仿宋_GB2312" w:hAnsi="仿宋_GB2312" w:eastAsia="仿宋_GB2312" w:cs="仿宋_GB2312"/>
          <w:spacing w:val="15"/>
          <w:kern w:val="2"/>
          <w:sz w:val="32"/>
          <w:szCs w:val="32"/>
          <w:highlight w:val="none"/>
        </w:rPr>
        <w:t>三是绿色公益宣传。组织员工参与文明创城、义务植树、垃圾分类宣传等志愿活动；普及绿色低碳理念，提升社会环保共</w:t>
      </w:r>
      <w:r>
        <w:rPr>
          <w:rFonts w:ascii="Calibri" w:hAnsi="Calibri" w:eastAsia="宋体" w:cs="Arial"/>
          <w:kern w:val="2"/>
          <w:sz w:val="30"/>
          <w:szCs w:val="30"/>
          <w:highlight w:val="none"/>
        </w:rPr>
        <w:t>识。</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七、研究与交流成果</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无</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八、典型实践和案例</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项目名称：林e贷</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val="0"/>
          <w:bCs w:val="0"/>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案例背景：</w:t>
      </w:r>
      <w:r>
        <w:rPr>
          <w:rFonts w:hint="eastAsia" w:ascii="仿宋_GB2312" w:hAnsi="仿宋_GB2312" w:eastAsia="仿宋_GB2312" w:cs="仿宋_GB2312"/>
          <w:b w:val="0"/>
          <w:bCs w:val="0"/>
          <w:spacing w:val="15"/>
          <w:kern w:val="2"/>
          <w:sz w:val="32"/>
          <w:szCs w:val="32"/>
          <w:highlight w:val="none"/>
        </w:rPr>
        <w:t>屏南县拥有优质山林生态资源，林下经济是县域乡村绿色特色主导产业。屏南县黑栗子锥栗专业合作社为省级示范合作社，主打锥栗种植与林下生态种养产业，带动本地农户及脱贫户就业增收。产业发展初期，搭建初加工生产线、扩大种养规模，但面临明显发展瓶颈。涉农小微企业普遍存在固定资产抵押物不足、林地资源难以融资的问题，传统贷款成本高、审批慢，流动资金短缺严重制约合作社生态产业规模化、标准化发展，亟需绿色金融政策精准赋能。</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val="0"/>
          <w:bCs w:val="0"/>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主要做法：</w:t>
      </w:r>
      <w:r>
        <w:rPr>
          <w:rFonts w:hint="eastAsia" w:ascii="仿宋_GB2312" w:hAnsi="仿宋_GB2312" w:eastAsia="仿宋_GB2312" w:cs="仿宋_GB2312"/>
          <w:b w:val="0"/>
          <w:bCs w:val="0"/>
          <w:spacing w:val="15"/>
          <w:kern w:val="2"/>
          <w:sz w:val="32"/>
          <w:szCs w:val="32"/>
          <w:highlight w:val="none"/>
        </w:rPr>
        <w:t>立足县域林业改革政策与绿色金融体系，针对性推出适配林下经济的金融服务方案。创新林票抵押融资模式，盘活林地经营权绿色资产，搭配绿色评级，大幅降低企业融资利率。开通绿色信贷审批绿色通道，金融人员下沉田间实地核验产业生态种植情况，压缩审批放款时效，保障生产资金快速到位。同时实行全产业链精准授信，根据种植培育、产品加工、仓储销售各环节需求拆分授信额度，实现资金专款专用，全方位支撑合作社绿色产业升级。</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val="0"/>
          <w:bCs w:val="0"/>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主要成效：</w:t>
      </w:r>
      <w:r>
        <w:rPr>
          <w:rFonts w:hint="eastAsia" w:ascii="仿宋_GB2312" w:hAnsi="仿宋_GB2312" w:eastAsia="仿宋_GB2312" w:cs="仿宋_GB2312"/>
          <w:b w:val="0"/>
          <w:bCs w:val="0"/>
          <w:spacing w:val="15"/>
          <w:kern w:val="2"/>
          <w:sz w:val="32"/>
          <w:szCs w:val="32"/>
          <w:highlight w:val="none"/>
        </w:rPr>
        <w:t>合作社种养规模持续扩大，锥栗产量稳步增长，通过电商渠道拓宽销路，产业年产值显著提升。同时充分发挥联农带农作用，免费为农户、脱贫户提供种苗与技术支持，吸纳本地闲置劳动力就业，有效带动村民稳定增收。本案例成功实现生态保护、产业发展、惠农增收三方共赢，为山区县域林下经济绿色发展提供了可复制的金融助力模式。</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（二）碳中和银行网点建设情况</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无</w:t>
      </w:r>
    </w:p>
    <w:p>
      <w:pPr>
        <w:keepNext w:val="0"/>
        <w:keepLines w:val="0"/>
        <w:pageBreakBefore w:val="0"/>
        <w:kinsoku/>
        <w:wordWrap/>
        <w:overflowPunct w:val="0"/>
        <w:topLinePunct w:val="0"/>
        <w:bidi w:val="0"/>
        <w:spacing w:line="560" w:lineRule="exact"/>
        <w:ind w:firstLine="703" w:firstLineChars="200"/>
        <w:rPr>
          <w:rFonts w:ascii="仿宋_GB2312" w:hAnsi="仿宋_GB2312" w:eastAsia="仿宋_GB2312" w:cs="仿宋_GB2312"/>
          <w:b/>
          <w:bCs/>
          <w:spacing w:val="15"/>
          <w:kern w:val="2"/>
          <w:sz w:val="32"/>
          <w:szCs w:val="32"/>
          <w:highlight w:val="none"/>
        </w:rPr>
      </w:pPr>
      <w:r>
        <w:rPr>
          <w:rFonts w:hint="eastAsia" w:ascii="仿宋_GB2312" w:hAnsi="仿宋_GB2312" w:eastAsia="仿宋_GB2312" w:cs="仿宋_GB2312"/>
          <w:b/>
          <w:bCs/>
          <w:spacing w:val="15"/>
          <w:kern w:val="2"/>
          <w:sz w:val="32"/>
          <w:szCs w:val="32"/>
          <w:highlight w:val="none"/>
        </w:rPr>
        <w:t>九、其他信息</w:t>
      </w:r>
    </w:p>
    <w:p>
      <w:pPr>
        <w:keepNext w:val="0"/>
        <w:keepLines w:val="0"/>
        <w:pageBreakBefore w:val="0"/>
        <w:kinsoku/>
        <w:wordWrap/>
        <w:overflowPunct w:val="0"/>
        <w:topLinePunct w:val="0"/>
        <w:bidi w:val="0"/>
        <w:spacing w:line="560" w:lineRule="exact"/>
        <w:ind w:firstLine="700" w:firstLineChars="200"/>
        <w:rPr>
          <w:rFonts w:ascii="仿宋_GB2312" w:hAnsi="仿宋_GB2312" w:eastAsia="仿宋_GB2312" w:cs="仿宋_GB2312"/>
          <w:spacing w:val="15"/>
          <w:kern w:val="2"/>
          <w:sz w:val="32"/>
          <w:szCs w:val="32"/>
          <w:highlight w:val="none"/>
        </w:rPr>
      </w:pPr>
      <w:r>
        <w:rPr>
          <w:rFonts w:hint="eastAsia" w:ascii="仿宋_GB2312" w:hAnsi="仿宋_GB2312" w:eastAsia="仿宋_GB2312" w:cs="仿宋_GB2312"/>
          <w:spacing w:val="15"/>
          <w:kern w:val="2"/>
          <w:sz w:val="32"/>
          <w:szCs w:val="32"/>
          <w:highlight w:val="none"/>
        </w:rPr>
        <w:t>无</w:t>
      </w:r>
    </w:p>
    <w:p>
      <w:pPr>
        <w:rPr>
          <w:highlight w:val="none"/>
        </w:rPr>
      </w:pPr>
    </w:p>
    <w:bookmarkEnd w:id="1"/>
    <w:sectPr>
      <w:footerReference r:id="rId4" w:type="default"/>
      <w:pgSz w:w="11906" w:h="16838"/>
      <w:pgMar w:top="2098" w:right="1474" w:bottom="1984" w:left="1587"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AFF" w:usb1="C0007841"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162"/>
      <w:rPr>
        <w:rFonts w:ascii="Calibri" w:hAnsi="Calibri" w:eastAsia="Calibri" w:cs="Calibri"/>
        <w:kern w:val="2"/>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pPr>
                            <w:widowControl w:val="0"/>
                            <w:tabs>
                              <w:tab w:val="center" w:pos="4153"/>
                              <w:tab w:val="right" w:pos="8306"/>
                            </w:tabs>
                            <w:snapToGrid w:val="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 </w:t>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  \* MERGEFORMAT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116</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kern w:val="2"/>
                              <w:sz w:val="28"/>
                              <w:szCs w:val="28"/>
                              <w:lang w:val="en-US" w:eastAsia="zh-CN" w:bidi="ar-SA"/>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10G3Y3AgAAb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d0tK4+VP0F&#10;TKFlYat3lsc0USpvV8cAaTvFo0C9KuhU3GAOu54NbyYO+p/7LurxP7H8D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">
              <v:fill on="f" focussize="0,0"/>
              <v:stroke on="f" weight="0.5pt"/>
              <v:imagedata o:title=""/>
              <o:lock v:ext="edit" aspectratio="f"/>
              <v:textbox inset="0mm,0mm,0mm,0mm" style="mso-fit-shape-to-text:t;">
                <w:txbxContent>
                  <w:p>
                    <w:pPr>
                      <w:widowControl w:val="0"/>
                      <w:tabs>
                        <w:tab w:val="center" w:pos="4153"/>
                        <w:tab w:val="right" w:pos="8306"/>
                      </w:tabs>
                      <w:snapToGrid w:val="0"/>
                      <w:jc w:val="left"/>
                      <w:rPr>
                        <w:rFonts w:hint="eastAsia" w:ascii="仿宋_GB2312" w:hAnsi="仿宋_GB2312" w:eastAsia="仿宋_GB2312" w:cs="仿宋_GB2312"/>
                        <w:kern w:val="2"/>
                        <w:sz w:val="28"/>
                        <w:szCs w:val="28"/>
                        <w:lang w:val="en-US" w:eastAsia="zh-CN" w:bidi="ar-SA"/>
                      </w:rPr>
                    </w:pPr>
                    <w:r>
                      <w:rPr>
                        <w:rFonts w:hint="eastAsia" w:ascii="仿宋_GB2312" w:hAnsi="仿宋_GB2312" w:eastAsia="仿宋_GB2312" w:cs="仿宋_GB2312"/>
                        <w:kern w:val="2"/>
                        <w:sz w:val="28"/>
                        <w:szCs w:val="28"/>
                        <w:lang w:val="en-US" w:eastAsia="zh-CN" w:bidi="ar-SA"/>
                      </w:rPr>
                      <w:t xml:space="preserve">— </w:t>
                    </w:r>
                    <w:r>
                      <w:rPr>
                        <w:rFonts w:hint="eastAsia" w:ascii="仿宋_GB2312" w:hAnsi="仿宋_GB2312" w:eastAsia="仿宋_GB2312" w:cs="仿宋_GB2312"/>
                        <w:kern w:val="2"/>
                        <w:sz w:val="28"/>
                        <w:szCs w:val="28"/>
                        <w:lang w:val="en-US" w:eastAsia="zh-CN" w:bidi="ar-SA"/>
                      </w:rPr>
                      <w:fldChar w:fldCharType="begin"/>
                    </w:r>
                    <w:r>
                      <w:rPr>
                        <w:rFonts w:hint="eastAsia" w:ascii="仿宋_GB2312" w:hAnsi="仿宋_GB2312" w:eastAsia="仿宋_GB2312" w:cs="仿宋_GB2312"/>
                        <w:kern w:val="2"/>
                        <w:sz w:val="28"/>
                        <w:szCs w:val="28"/>
                        <w:lang w:val="en-US" w:eastAsia="zh-CN" w:bidi="ar-SA"/>
                      </w:rPr>
                      <w:instrText xml:space="preserve"> PAGE  \* MERGEFORMAT </w:instrText>
                    </w:r>
                    <w:r>
                      <w:rPr>
                        <w:rFonts w:hint="eastAsia" w:ascii="仿宋_GB2312" w:hAnsi="仿宋_GB2312" w:eastAsia="仿宋_GB2312" w:cs="仿宋_GB2312"/>
                        <w:kern w:val="2"/>
                        <w:sz w:val="28"/>
                        <w:szCs w:val="28"/>
                        <w:lang w:val="en-US" w:eastAsia="zh-CN" w:bidi="ar-SA"/>
                      </w:rPr>
                      <w:fldChar w:fldCharType="separate"/>
                    </w:r>
                    <w:r>
                      <w:rPr>
                        <w:rFonts w:hint="eastAsia" w:ascii="仿宋_GB2312" w:hAnsi="仿宋_GB2312" w:eastAsia="仿宋_GB2312" w:cs="仿宋_GB2312"/>
                        <w:kern w:val="2"/>
                        <w:sz w:val="28"/>
                        <w:szCs w:val="28"/>
                        <w:lang w:val="en-US" w:eastAsia="zh-CN" w:bidi="ar-SA"/>
                      </w:rPr>
                      <w:t>116</w:t>
                    </w:r>
                    <w:r>
                      <w:rPr>
                        <w:rFonts w:hint="eastAsia" w:ascii="仿宋_GB2312" w:hAnsi="仿宋_GB2312" w:eastAsia="仿宋_GB2312" w:cs="仿宋_GB2312"/>
                        <w:kern w:val="2"/>
                        <w:sz w:val="28"/>
                        <w:szCs w:val="28"/>
                        <w:lang w:val="en-US" w:eastAsia="zh-CN" w:bidi="ar-SA"/>
                      </w:rPr>
                      <w:fldChar w:fldCharType="end"/>
                    </w:r>
                    <w:r>
                      <w:rPr>
                        <w:rFonts w:hint="eastAsia" w:ascii="仿宋_GB2312" w:hAnsi="仿宋_GB2312" w:eastAsia="仿宋_GB2312" w:cs="仿宋_GB2312"/>
                        <w:kern w:val="2"/>
                        <w:sz w:val="28"/>
                        <w:szCs w:val="28"/>
                        <w:lang w:val="en-US" w:eastAsia="zh-CN" w:bidi="ar-SA"/>
                      </w:rPr>
                      <w:t xml:space="preserve"> —</w:t>
                    </w:r>
                  </w:p>
                </w:txbxContent>
              </v:textbox>
            </v:shape>
          </w:pict>
        </mc:Fallback>
      </mc:AlternateContent>
    </w:r>
    <w:r>
      <w:rPr>
        <w:rFonts w:ascii="Calibri" w:hAnsi="Calibri" w:eastAsia="宋体" w:cs="Arial"/>
        <w:kern w:val="2"/>
        <w:sz w:val="18"/>
        <w:szCs w:val="2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widowControl w:val="0"/>
                            <w:tabs>
                              <w:tab w:val="center" w:pos="4153"/>
                              <w:tab w:val="right" w:pos="8306"/>
                            </w:tabs>
                            <w:jc w:val="both"/>
                            <w:rPr>
                              <w:rFonts w:ascii="Calibri" w:hAnsi="Calibri" w:eastAsia="宋体" w:cs="Arial"/>
                              <w:kern w:val="2"/>
                              <w:sz w:val="18"/>
                              <w:szCs w:val="22"/>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4aj184AgAAbw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">
              <v:fill on="f" focussize="0,0"/>
              <v:stroke on="f" weight="0.5pt"/>
              <v:imagedata o:title=""/>
              <o:lock v:ext="edit" aspectratio="f"/>
              <v:textbox inset="0mm,0mm,0mm,0mm" style="mso-fit-shape-to-text:t;">
                <w:txbxContent>
                  <w:p>
                    <w:pPr>
                      <w:widowControl w:val="0"/>
                      <w:tabs>
                        <w:tab w:val="center" w:pos="4153"/>
                        <w:tab w:val="right" w:pos="8306"/>
                      </w:tabs>
                      <w:jc w:val="both"/>
                      <w:rPr>
                        <w:rFonts w:ascii="Calibri" w:hAnsi="Calibri" w:eastAsia="宋体" w:cs="Arial"/>
                        <w:kern w:val="2"/>
                        <w:sz w:val="18"/>
                        <w:szCs w:val="22"/>
                        <w:lang w:val="en-US" w:eastAsia="zh-CN" w:bidi="ar-SA"/>
                      </w:rPr>
                    </w:pPr>
                  </w:p>
                </w:txbxContent>
              </v:textbox>
            </v:shape>
          </w:pict>
        </mc:Fallback>
      </mc:AlternateContent>
    </w:r>
    <w:r>
      <w:rPr>
        <w:rFonts w:ascii="Calibri" w:hAnsi="Calibri" w:eastAsia="Calibri" w:cs="Calibri"/>
        <w:kern w:val="2"/>
        <w:sz w:val="18"/>
        <w:szCs w:val="18"/>
      </w:rPr>
      <w:t>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line="168" w:lineRule="auto"/>
      <w:ind w:left="4162"/>
      <w:rPr>
        <w:rFonts w:ascii="Calibri" w:hAnsi="Calibri" w:eastAsia="Calibri" w:cs="Calibri"/>
        <w:kern w:val="2"/>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3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wMClfjICAABjBAAADgAAAAAAAAABACAAAAAfAQAAZHJzL2Uyb0RvYy54bWxQSwUG&#10;AAAAAAYABgBZAQAAwwUAAAAA&#10;">
              <v:fill on="f" focussize="0,0"/>
              <v:stroke on="f" weight="0.5pt"/>
              <v:imagedata o:title=""/>
              <o:lock v:ext="edit" aspectratio="f"/>
              <v:textbox inset="0mm,0mm,0mm,0mm" style="mso-fit-shape-to-text:t;">
                <w:txbxContent>
                  <w:p>
                    <w:pPr>
                      <w:pStyle w:val="2"/>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 xml:space="preserve">— </w:t>
                    </w:r>
                    <w:r>
                      <w:rPr>
                        <w:rFonts w:hint="eastAsia" w:ascii="仿宋_GB2312" w:hAnsi="仿宋_GB2312" w:eastAsia="仿宋_GB2312" w:cs="仿宋_GB2312"/>
                        <w:sz w:val="28"/>
                        <w:szCs w:val="28"/>
                      </w:rPr>
                      <w:fldChar w:fldCharType="begin"/>
                    </w:r>
                    <w:r>
                      <w:rPr>
                        <w:rFonts w:hint="eastAsia" w:ascii="仿宋_GB2312" w:hAnsi="仿宋_GB2312" w:eastAsia="仿宋_GB2312" w:cs="仿宋_GB2312"/>
                        <w:sz w:val="28"/>
                        <w:szCs w:val="28"/>
                      </w:rPr>
                      <w:instrText xml:space="preserve"> PAGE  \* MERGEFORMAT </w:instrText>
                    </w:r>
                    <w:r>
                      <w:rPr>
                        <w:rFonts w:hint="eastAsia" w:ascii="仿宋_GB2312" w:hAnsi="仿宋_GB2312" w:eastAsia="仿宋_GB2312" w:cs="仿宋_GB2312"/>
                        <w:sz w:val="28"/>
                        <w:szCs w:val="28"/>
                      </w:rPr>
                      <w:fldChar w:fldCharType="separate"/>
                    </w:r>
                    <w:r>
                      <w:rPr>
                        <w:rFonts w:hint="eastAsia" w:ascii="仿宋_GB2312" w:hAnsi="仿宋_GB2312" w:eastAsia="仿宋_GB2312" w:cs="仿宋_GB2312"/>
                        <w:sz w:val="28"/>
                        <w:szCs w:val="28"/>
                      </w:rPr>
                      <w:t>116</w:t>
                    </w:r>
                    <w:r>
                      <w:rPr>
                        <w:rFonts w:hint="eastAsia" w:ascii="仿宋_GB2312" w:hAnsi="仿宋_GB2312" w:eastAsia="仿宋_GB2312" w:cs="仿宋_GB2312"/>
                        <w:sz w:val="28"/>
                        <w:szCs w:val="28"/>
                      </w:rPr>
                      <w:fldChar w:fldCharType="end"/>
                    </w:r>
                    <w:r>
                      <w:rPr>
                        <w:rFonts w:hint="eastAsia" w:ascii="仿宋_GB2312" w:hAnsi="仿宋_GB2312" w:eastAsia="仿宋_GB2312" w:cs="仿宋_GB2312"/>
                        <w:sz w:val="28"/>
                        <w:szCs w:val="28"/>
                      </w:rPr>
                      <w:t xml:space="preserve"> —</w:t>
                    </w:r>
                  </w:p>
                </w:txbxContent>
              </v:textbox>
            </v:shape>
          </w:pict>
        </mc:Fallback>
      </mc:AlternateContent>
    </w:r>
    <w:r>
      <w:rPr>
        <w:rFonts w:ascii="Calibri" w:hAnsi="Calibri" w:eastAsia="宋体" w:cs="Arial"/>
        <w:kern w:val="2"/>
        <w:sz w:val="18"/>
        <w:szCs w:val="22"/>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2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pPr>
                            <w:widowControl w:val="0"/>
                            <w:tabs>
                              <w:tab w:val="center" w:pos="4153"/>
                              <w:tab w:val="right" w:pos="8306"/>
                            </w:tabs>
                            <w:jc w:val="both"/>
                            <w:rPr>
                              <w:rFonts w:ascii="Calibri" w:hAnsi="Calibri" w:eastAsia="宋体" w:cs="Arial"/>
                              <w:kern w:val="2"/>
                              <w:sz w:val="18"/>
                              <w:szCs w:val="22"/>
                              <w:lang w:val="en-US" w:eastAsia="zh-CN" w:bidi="ar-SA"/>
                            </w:rPr>
                          </w:pP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pSbC86AgAAc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CKUmwvOgIAAHEEAAAOAAAAAAAAAAEAIAAAAB8BAABkcnMvZTJvRG9j&#10;LnhtbFBLBQYAAAAABgAGAFkBAADLBQAAAAA=&#10;">
              <v:fill on="f" focussize="0,0"/>
              <v:stroke on="f" weight="0.5pt"/>
              <v:imagedata o:title=""/>
              <o:lock v:ext="edit" aspectratio="f"/>
              <v:textbox inset="0mm,0mm,0mm,0mm" style="mso-fit-shape-to-text:t;">
                <w:txbxContent>
                  <w:p>
                    <w:pPr>
                      <w:widowControl w:val="0"/>
                      <w:tabs>
                        <w:tab w:val="center" w:pos="4153"/>
                        <w:tab w:val="right" w:pos="8306"/>
                      </w:tabs>
                      <w:jc w:val="both"/>
                      <w:rPr>
                        <w:rFonts w:ascii="Calibri" w:hAnsi="Calibri" w:eastAsia="宋体" w:cs="Arial"/>
                        <w:kern w:val="2"/>
                        <w:sz w:val="18"/>
                        <w:szCs w:val="22"/>
                        <w:lang w:val="en-US" w:eastAsia="zh-CN" w:bidi="ar-SA"/>
                      </w:rPr>
                    </w:pPr>
                  </w:p>
                </w:txbxContent>
              </v:textbox>
            </v:shape>
          </w:pict>
        </mc:Fallback>
      </mc:AlternateContent>
    </w:r>
    <w:r>
      <w:rPr>
        <w:rFonts w:ascii="Calibri" w:hAnsi="Calibri" w:eastAsia="Calibri" w:cs="Calibri"/>
        <w:kern w:val="2"/>
        <w:sz w:val="18"/>
        <w:szCs w:val="18"/>
      </w:rPr>
      <w:t>1</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51815A0"/>
    <w:multiLevelType w:val="singleLevel"/>
    <w:tmpl w:val="951815A0"/>
    <w:lvl w:ilvl="0" w:tentative="0">
      <w:start w:val="3"/>
      <w:numFmt w:val="chineseCounting"/>
      <w:suff w:val="nothing"/>
      <w:lvlText w:val="%1、"/>
      <w:lvlJc w:val="left"/>
      <w:rPr>
        <w:rFonts w:hint="eastAsia"/>
      </w:rPr>
    </w:lvl>
  </w:abstractNum>
  <w:abstractNum w:abstractNumId="1">
    <w:nsid w:val="B006C1F8"/>
    <w:multiLevelType w:val="singleLevel"/>
    <w:tmpl w:val="B006C1F8"/>
    <w:lvl w:ilvl="0" w:tentative="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313289F"/>
    <w:rsid w:val="09CA4450"/>
    <w:rsid w:val="17CA6442"/>
    <w:rsid w:val="39A23C68"/>
    <w:rsid w:val="4A094233"/>
    <w:rsid w:val="4DC526E9"/>
    <w:rsid w:val="54CC6AF2"/>
    <w:rsid w:val="61A33815"/>
    <w:rsid w:val="6B14615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rFonts w:ascii="Calibri" w:hAnsi="Calibri" w:eastAsia="仿宋_GB2312" w:cs="Times New Roman"/>
      <w:sz w:val="28"/>
    </w:rPr>
  </w:style>
  <w:style w:type="table" w:styleId="4">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Office_12.8.2.15001_F1E327BC-269C-435d-A152-05C5408002CA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2025-10-28T02:30:00Z</dcterms:created>
  <dc:creator>pnls</dc:creator>
  <cp:lastModifiedBy>pnls</cp:lastModifiedBy>
  <dcterms:modified xsi:type="dcterms:W3CDTF">2026-06-25T10:23:01Z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2052-12.8.2.15001</vt:lpwstr>
  </property>
  <property fmtid="{D5CDD505-2E9C-101B-9397-08002B2CF9AE}" pid="3" name="ICV">
    <vt:lpwstr>73F1DBC1D720485CBCC6C69A8106D882_12</vt:lpwstr>
  </property>
</Properties>
</file>