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0EDA26">
      <w:pPr>
        <w:spacing w:line="600" w:lineRule="exact"/>
        <w:ind w:firstLine="1320" w:firstLineChars="300"/>
        <w:jc w:val="both"/>
        <w:rPr>
          <w:rFonts w:ascii="方正小标宋简体" w:hAnsi="方正小标宋简体" w:eastAsia="方正小标宋简体" w:cs="方正小标宋简体"/>
          <w:sz w:val="44"/>
          <w:szCs w:val="44"/>
        </w:rPr>
      </w:pPr>
      <w:bookmarkStart w:id="1" w:name="_GoBack"/>
      <w:bookmarkEnd w:id="1"/>
      <w:r>
        <w:rPr>
          <w:rFonts w:hint="eastAsia" w:ascii="方正小标宋简体" w:hAnsi="方正小标宋简体" w:eastAsia="方正小标宋简体" w:cs="方正小标宋简体"/>
          <w:sz w:val="44"/>
          <w:szCs w:val="44"/>
        </w:rPr>
        <w:t>闽侯县农村信用合作联社2025年度</w:t>
      </w:r>
    </w:p>
    <w:p w14:paraId="679D7C77">
      <w:pPr>
        <w:spacing w:line="6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环境信息披露报告</w:t>
      </w:r>
    </w:p>
    <w:p w14:paraId="0B1B5747">
      <w:pPr>
        <w:spacing w:line="560" w:lineRule="exact"/>
        <w:jc w:val="center"/>
        <w:rPr>
          <w:rFonts w:ascii="方正小标宋_GBK" w:hAnsi="方正小标宋_GBK" w:eastAsia="方正小标宋_GBK" w:cs="方正小标宋_GBK"/>
          <w:sz w:val="15"/>
          <w:szCs w:val="15"/>
        </w:rPr>
      </w:pPr>
    </w:p>
    <w:p w14:paraId="34AE73F0">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一、关于本报告</w:t>
      </w:r>
    </w:p>
    <w:p w14:paraId="2FDCD20C">
      <w:pPr>
        <w:spacing w:line="560" w:lineRule="exact"/>
        <w:ind w:firstLine="640" w:firstLineChars="200"/>
        <w:rPr>
          <w:rFonts w:ascii="仿宋_GB2312" w:hAnsi="仿宋_GB2312" w:eastAsia="仿宋_GB2312" w:cs="仿宋_GB2312"/>
          <w:sz w:val="30"/>
          <w:szCs w:val="30"/>
        </w:rPr>
      </w:pPr>
      <w:r>
        <w:rPr>
          <w:rFonts w:hint="eastAsia" w:ascii="仿宋_GB2312" w:hAnsi="仿宋_GB2312" w:eastAsia="仿宋_GB2312" w:cs="仿宋_GB2312"/>
          <w:sz w:val="32"/>
          <w:szCs w:val="32"/>
        </w:rPr>
        <w:t>2025年是“十四五”收官之年，恰逢“双碳”目标提出五周年，也是我国经济社会发展全面加速绿色低碳转型的关键节点。为贯彻党的二十届四中全会关于“加快经济社会发展全面绿色转型，建设美丽中国”的战略部署以及中央经济工作会议“坚持‘双碳’引领，推动全面绿色转型”的重点任务要求</w:t>
      </w:r>
      <w:r>
        <w:fldChar w:fldCharType="begin"/>
      </w:r>
      <w:r>
        <w:instrText xml:space="preserve"> HYPERLINK "https://www.ndrc.gov.cn/fggz/hjyzy/tdftzh/202603/t20260313_1404118.html" \t "https://chat.deepseek.com/a/chat/s/_blank" </w:instrText>
      </w:r>
      <w:r>
        <w:fldChar w:fldCharType="separate"/>
      </w:r>
      <w:r>
        <w:fldChar w:fldCharType="end"/>
      </w:r>
      <w:r>
        <w:fldChar w:fldCharType="begin"/>
      </w:r>
      <w:r>
        <w:instrText xml:space="preserve"> HYPERLINK "http://sthjt.gxzf.gov.cn/ttxw/t27192975.shtml" \t "https://chat.deepseek.com/a/chat/s/_blank" </w:instrText>
      </w:r>
      <w:r>
        <w:fldChar w:fldCharType="separate"/>
      </w:r>
      <w:r>
        <w:fldChar w:fldCharType="end"/>
      </w:r>
      <w:r>
        <w:rPr>
          <w:rFonts w:hint="eastAsia" w:ascii="仿宋_GB2312" w:hAnsi="仿宋_GB2312" w:eastAsia="仿宋_GB2312" w:cs="仿宋_GB2312"/>
          <w:sz w:val="32"/>
          <w:szCs w:val="32"/>
        </w:rPr>
        <w:t>，落实国家金融监督管理总局、人民银行联合发布的《银行业保险业绿色金融高质量发展实施方案》关于完善绿色金融标准和信息披露要求的工作安排</w:t>
      </w:r>
      <w:r>
        <w:fldChar w:fldCharType="begin"/>
      </w:r>
      <w:r>
        <w:instrText xml:space="preserve"> HYPERLINK "https://credit.shandong.gov.cn/267.news.detail.dhtml?news_id=164754&amp;CreditKey=Hej5qzBGmVcpPFVP7Q5ALmwRt9KmBp9xFR1Gc10pz9BZKntBvoe7X5EP00UVGq5wpt3Splh3RGc5yLoiEpE2rVCNNdX77sZtSPqUylBXLH55" \t "https://chat.deepseek.com/a/chat/s/_blank" </w:instrText>
      </w:r>
      <w:r>
        <w:fldChar w:fldCharType="separate"/>
      </w:r>
      <w:r>
        <w:fldChar w:fldCharType="end"/>
      </w:r>
      <w:r>
        <w:rPr>
          <w:rFonts w:hint="eastAsia" w:ascii="仿宋_GB2312" w:hAnsi="仿宋_GB2312" w:eastAsia="仿宋_GB2312" w:cs="仿宋_GB2312"/>
          <w:sz w:val="32"/>
          <w:szCs w:val="32"/>
        </w:rPr>
        <w:t>，闽侯县农村信用合作联社（以下简称“我社”）积极响应福建省农村信用社联合社绿色金融发展战略，主动融入福建省经济社会全面绿色转型大局，持续优化绿色金融服务，加大信贷供给倾斜，因地制宜创新清洁能源、农林生态产业等绿色金融产品，以金融活水精准支持县域绿色低碳发展。</w:t>
      </w:r>
    </w:p>
    <w:p w14:paraId="0D1F4BDA">
      <w:pPr>
        <w:spacing w:line="560" w:lineRule="exact"/>
        <w:ind w:firstLine="640" w:firstLineChars="200"/>
        <w:rPr>
          <w:rFonts w:hint="eastAsia" w:ascii="楷体_GB2312" w:hAnsi="楷体" w:eastAsia="楷体_GB2312" w:cs="楷体"/>
          <w:sz w:val="32"/>
          <w:szCs w:val="32"/>
        </w:rPr>
      </w:pPr>
      <w:r>
        <w:rPr>
          <w:rFonts w:hint="eastAsia" w:ascii="楷体_GB2312" w:hAnsi="楷体" w:eastAsia="楷体_GB2312" w:cs="楷体"/>
          <w:sz w:val="32"/>
          <w:szCs w:val="32"/>
        </w:rPr>
        <w:t>（一）涵盖期间</w:t>
      </w:r>
    </w:p>
    <w:p w14:paraId="254E92E1">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本报告涵盖期限为2025年1月1日至2025年12月31日。</w:t>
      </w:r>
    </w:p>
    <w:p w14:paraId="59AC9A0B">
      <w:pPr>
        <w:spacing w:line="560" w:lineRule="exact"/>
        <w:ind w:firstLine="640" w:firstLineChars="200"/>
        <w:rPr>
          <w:rFonts w:ascii="楷体_GB2312" w:hAnsi="楷体" w:eastAsia="楷体_GB2312" w:cs="楷体"/>
          <w:sz w:val="32"/>
          <w:szCs w:val="32"/>
        </w:rPr>
      </w:pPr>
      <w:r>
        <w:rPr>
          <w:rFonts w:hint="eastAsia" w:ascii="楷体_GB2312" w:hAnsi="楷体" w:eastAsia="楷体_GB2312" w:cs="楷体"/>
          <w:sz w:val="32"/>
          <w:szCs w:val="32"/>
        </w:rPr>
        <w:t>（二）报告周期</w:t>
      </w:r>
    </w:p>
    <w:p w14:paraId="7F0CE0D5">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本报告为年度报告。</w:t>
      </w:r>
    </w:p>
    <w:p w14:paraId="734C148F">
      <w:pPr>
        <w:spacing w:line="560" w:lineRule="exact"/>
        <w:ind w:firstLine="640" w:firstLineChars="200"/>
        <w:rPr>
          <w:rFonts w:ascii="楷体_GB2312" w:hAnsi="楷体" w:eastAsia="楷体_GB2312" w:cs="楷体"/>
          <w:sz w:val="32"/>
          <w:szCs w:val="32"/>
        </w:rPr>
      </w:pPr>
      <w:r>
        <w:rPr>
          <w:rFonts w:hint="eastAsia" w:ascii="楷体_GB2312" w:hAnsi="楷体" w:eastAsia="楷体_GB2312" w:cs="楷体"/>
          <w:sz w:val="32"/>
          <w:szCs w:val="32"/>
        </w:rPr>
        <w:t>（三）报告范围</w:t>
      </w:r>
    </w:p>
    <w:p w14:paraId="7524D96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除特别说明外，本报告披露范围含闽侯县农村信用合作联社及分支机构。</w:t>
      </w:r>
    </w:p>
    <w:p w14:paraId="14F73F5A">
      <w:pPr>
        <w:spacing w:line="560" w:lineRule="exact"/>
        <w:ind w:firstLine="640" w:firstLineChars="200"/>
        <w:rPr>
          <w:rFonts w:ascii="楷体_GB2312" w:hAnsi="楷体" w:eastAsia="楷体_GB2312" w:cs="楷体"/>
          <w:sz w:val="32"/>
          <w:szCs w:val="32"/>
        </w:rPr>
      </w:pPr>
      <w:r>
        <w:rPr>
          <w:rFonts w:hint="eastAsia" w:ascii="楷体_GB2312" w:hAnsi="楷体" w:eastAsia="楷体_GB2312" w:cs="楷体"/>
          <w:sz w:val="32"/>
          <w:szCs w:val="32"/>
        </w:rPr>
        <w:t>（四）报告数据说明</w:t>
      </w:r>
    </w:p>
    <w:p w14:paraId="1BF6FDE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报告中财务数据以2025年度为主，部分包括以前年度数据，数据主要来自于本社内部文件和相关统计资料，可能会有部分数据因统计口径因素与年报数据有差异，以年度数据为准。本报告中“绿色信贷”如无特别说明，均指“满足人民银行印发的《绿色贷款专项统计制度》的绿色信贷”。</w:t>
      </w:r>
    </w:p>
    <w:p w14:paraId="7915FDC9">
      <w:pPr>
        <w:spacing w:line="560" w:lineRule="exact"/>
        <w:ind w:firstLine="640" w:firstLineChars="200"/>
        <w:rPr>
          <w:rFonts w:ascii="楷体_GB2312" w:hAnsi="楷体" w:eastAsia="楷体_GB2312" w:cs="楷体"/>
          <w:sz w:val="32"/>
          <w:szCs w:val="32"/>
        </w:rPr>
      </w:pPr>
      <w:r>
        <w:rPr>
          <w:rFonts w:hint="eastAsia" w:ascii="楷体_GB2312" w:hAnsi="楷体" w:eastAsia="楷体_GB2312" w:cs="楷体"/>
          <w:sz w:val="32"/>
          <w:szCs w:val="32"/>
        </w:rPr>
        <w:t>（五）编制依据</w:t>
      </w:r>
    </w:p>
    <w:p w14:paraId="0FA19A43">
      <w:pPr>
        <w:spacing w:line="56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本报告内容遵循《银行业保险业绿色金融高质量发展实施方案》（金办发〔2025〕15号）、《绿色金融支持项目目录（2025年版）》、《福建省金融机构环境信息披露工作安排》及省联社《福建农信推进绿色金融高质量发展行动方案（2025-2027年）》等相关政策文件，结合我社实际编制。</w:t>
      </w:r>
    </w:p>
    <w:p w14:paraId="0A7344D0">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二、总体概况</w:t>
      </w:r>
    </w:p>
    <w:p w14:paraId="480EDE60">
      <w:pPr>
        <w:numPr>
          <w:ilvl w:val="0"/>
          <w:numId w:val="0"/>
        </w:numPr>
        <w:spacing w:line="560" w:lineRule="exact"/>
        <w:ind w:firstLine="640" w:firstLineChars="200"/>
        <w:rPr>
          <w:rFonts w:hint="eastAsia" w:ascii="楷体_GB2312" w:hAnsi="楷体" w:eastAsia="楷体_GB2312" w:cs="楷体"/>
          <w:sz w:val="32"/>
          <w:szCs w:val="32"/>
        </w:rPr>
      </w:pPr>
      <w:r>
        <w:rPr>
          <w:rFonts w:hint="eastAsia" w:ascii="楷体_GB2312" w:hAnsi="楷体" w:eastAsia="楷体_GB2312" w:cs="楷体"/>
          <w:sz w:val="32"/>
          <w:szCs w:val="32"/>
          <w:lang w:eastAsia="zh-CN"/>
        </w:rPr>
        <w:t>（一）</w:t>
      </w:r>
      <w:r>
        <w:rPr>
          <w:rFonts w:hint="eastAsia" w:ascii="楷体_GB2312" w:hAnsi="楷体" w:eastAsia="楷体_GB2312" w:cs="楷体"/>
          <w:sz w:val="32"/>
          <w:szCs w:val="32"/>
        </w:rPr>
        <w:t>年度总体概况、关键成果与绩效</w:t>
      </w:r>
    </w:p>
    <w:p w14:paraId="422C7036">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2025年是“十四五”规划的收官之年，也是我社推动绿色金融从框架建设转向业务见效的关键一年。我社将绿色金融作为服务国家战略的重要抓手，截至2025年末，绿色信贷户数17户，余额12325.68万元。虽然绿色信贷规模相对较小，但已构建起覆盖农业、林业、绿色制造等领域的绿色信贷基础框架。除此之外，我社深入贯彻党的二十届四中全会“加快经济社会发展全面绿色转型，建设美丽中国”精神，积极落实省联社《福建农信推进绿色金融高质量发展行动方案（2025-2027年）》，围绕支持农业绿色发展、制造业绿色转型、基础设施绿色升级等重点领域，稳步推进绿色信贷业务。</w:t>
      </w:r>
    </w:p>
    <w:p w14:paraId="5A591A5C">
      <w:pPr>
        <w:spacing w:line="560" w:lineRule="exact"/>
        <w:ind w:firstLine="640" w:firstLineChars="200"/>
        <w:rPr>
          <w:rFonts w:hint="eastAsia" w:ascii="楷体_GB2312" w:hAnsi="楷体" w:eastAsia="楷体_GB2312" w:cs="楷体"/>
          <w:sz w:val="32"/>
          <w:szCs w:val="32"/>
        </w:rPr>
      </w:pPr>
      <w:r>
        <w:rPr>
          <w:rFonts w:hint="eastAsia" w:ascii="楷体_GB2312" w:hAnsi="楷体" w:eastAsia="楷体_GB2312" w:cs="楷体"/>
          <w:sz w:val="32"/>
          <w:szCs w:val="32"/>
        </w:rPr>
        <w:t>（二）下一年度规划与目标</w:t>
      </w:r>
    </w:p>
    <w:p w14:paraId="6349AF90">
      <w:pPr>
        <w:pStyle w:val="8"/>
        <w:spacing w:line="560" w:lineRule="exact"/>
        <w:ind w:left="0" w:leftChars="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2026年，我社将把握碳达峰决胜阶段的战略窗口期，以省联社绿色金融高质量发展行动方案为指引，对标《银行业保险业绿色金融高质量发展实施方案》关于绿色金融业务在业务规模中比重明显提升的目标要求，以落实重点任务为核心，从总量占比、服务体系、业务品种等方面推进总体目标实现。</w:t>
      </w:r>
    </w:p>
    <w:p w14:paraId="18E23DAE">
      <w:pPr>
        <w:spacing w:line="56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1.扩大绿色信贷总量规模</w:t>
      </w:r>
    </w:p>
    <w:p w14:paraId="4680FFCF">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进一步优化融资总量和结构，力争实现绿色信贷“四个不低于”目标，即：绿色融资余额增速不低于各项贷款平均增速，绿色融资增量不低于上年同期水平，绿色融资客户总数（项目数）不低于上年同期水平，绿色融资余额占各项贷款比重每年提升幅度不低于1个百分点，并积极对接新开工重点绿色项目，提高融资对接率，增强绿色金融普惠性。</w:t>
      </w:r>
    </w:p>
    <w:p w14:paraId="5DD6EC7F">
      <w:pPr>
        <w:spacing w:line="56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2.健全绿色金融服务体系</w:t>
      </w:r>
    </w:p>
    <w:p w14:paraId="0006D66B">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健全绿色金融服务机制。我社将深入贯彻落实党中央关于全面绿色转型的战略部署，立足“十五五”规划开局之年新起点，将绿色金融深度融入公司治理、发展战略、信贷文化和经营管理全流程。2026年，我社将进一步完善由理事会统筹决策、高级管理层组织落实、普惠金融部日常推动、各网点执行落地的四级绿色金融组织架构。强化绿色金融人才梯队建设，选派骨干人员参加人民银行等组织的碳核算、环境信息披露等专业培训，持续提升对绿色项目和转型活动的精准识别能力。深化与县生态环境局、资规局、农业农村局等部门的协同联动，依托省级“福农e林”平台实现信息共享、项目共推，切实提升绿色金融服务的精准性和覆盖面。</w:t>
      </w:r>
    </w:p>
    <w:p w14:paraId="684447AB">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完善绿色金融经营绩效考核体系。我社将绿色金融全面纳入年度经营绩效考核，进一步优化考核指标体系，在绩效考核指标体系中继续保留绿色金融专项加分通道，加大绿色金融考核权重。绿色金融信贷额度优先安排，对接县资规局“福林票”业务，创新绿色专属产品，实现对绿色客户优先服务、优惠利率、优享产品的“三优”服务。同时，探索将绿色金融绩效与基层党组织建设、党员评优评先等挂钩，形成“党建+绿色金融”协同推进的良好格局。</w:t>
      </w:r>
    </w:p>
    <w:p w14:paraId="112AC28B">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健全绿色信贷全流程管理机制。我社将持续深化绿色信贷全流程管理，针对清洁能源、林业碳汇、生态农业、节能环保等重点绿色产业，进一步完善差异化信贷政策。在风险可控前提下，继续简化审批流程，积极推广线上办贷、无纸化审批等数字化金融服务手段。持续开发场景化绿色金融产品，加快绿色信贷审批效率，切实提高绿色产业客户的融资便捷性和获得感。</w:t>
      </w:r>
    </w:p>
    <w:p w14:paraId="68B5357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加强绿色投向前瞻管控。我社将环境风险管控嵌入信贷全流程，密切关注客户环保合规情况、碳排放数据等信息，对存在重大环境风险的客户实行名单制管理，要求其采取风险缓释措施。完善客户综合授信管理，进一步强化授信限额管理，严防“傍大款、垒大户”、多头授信、超比例授信。对于纳入生态环境部门环保负面清单的企业或存在严重环境违法违规行为的客户，实行“一票否决”，确保绿色信贷资产质量安全稳健。</w:t>
      </w:r>
    </w:p>
    <w:p w14:paraId="4256248F">
      <w:pPr>
        <w:spacing w:line="56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3.全面落实省联社绿色金融重点任务</w:t>
      </w:r>
    </w:p>
    <w:p w14:paraId="6796686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我社将全面落实省联社绿色金融重点任务，在支持领域上，聚焦农业良种推广、农田水利、绿色有机认证农产品及休闲农业，助力“福农优品”品牌建设；结合大规模设备更新政策，加大对钢铁、船舶、电机、锂电池等行业绿色技术改造的支持，推动制造业绿色转型；以城中村、危旧房改造为切入点，支持绿色建筑和装配式建筑建设运营，并配套“电动福建”行动，支持充换电设施和绿色交通体系建设。在产品创新方面，积极推广技改贷、排污贷、气候贷、转型绩效挂钩贷、碳排放权配额抵质押贷款等特色产品，围绕县域重点产业链探索“绿色订单”“绿色存货”“应收账款”等动产和权利质押融资模式。同时，用好省联社绿色金融业务管理辅助系统，加快对接省级信用信息平台和金服云平台，探索引入大语言模型技术工具和“碳积分”应用场景，量化客户减碳行为。强化专业团队建设，创建以农业固碳、森林“四库”等为主题的绿色金融特色网点。积极把握福建农信入选人民银行“碳减排支持工具金融机构”的契机，主动对接清洁能源、节能环保、碳减排技术等领域项目，在光伏发电、生物质能利用等方面力争实现碳减排贷款业务突破。深入开展绿色金融试点创新，探索气候投融资、“气候贷”产品，以及转型贷款、可持续发展挂钩贷款等模式，开发适应地域特点的生物多样性保护指标挂钩贷款产品，在部分行业先行试用转型金融试行标准。充分挖掘闽侯林业和地理标志产品资源，优化“福农e林”平台应用，创新林权、林票、碳票质押贷款，打造“地理标志+”特色融资模式，为农村绿色要素提供全方位金融支持。</w:t>
      </w:r>
    </w:p>
    <w:p w14:paraId="39E59283">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三、治理结构</w:t>
      </w:r>
    </w:p>
    <w:p w14:paraId="19D00092">
      <w:pPr>
        <w:numPr>
          <w:ilvl w:val="0"/>
          <w:numId w:val="2"/>
        </w:numPr>
        <w:spacing w:line="560" w:lineRule="exact"/>
        <w:ind w:firstLine="640" w:firstLineChars="200"/>
        <w:rPr>
          <w:rFonts w:hint="eastAsia" w:ascii="楷体_GB2312" w:hAnsi="楷体" w:eastAsia="楷体_GB2312" w:cs="楷体"/>
          <w:sz w:val="32"/>
          <w:szCs w:val="32"/>
        </w:rPr>
      </w:pPr>
      <w:r>
        <w:rPr>
          <w:rFonts w:hint="eastAsia" w:ascii="楷体_GB2312" w:hAnsi="楷体" w:eastAsia="楷体_GB2312" w:cs="楷体"/>
          <w:sz w:val="32"/>
          <w:szCs w:val="32"/>
        </w:rPr>
        <w:t>理事会层面</w:t>
      </w:r>
    </w:p>
    <w:p w14:paraId="130E4161">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理事会作为绿色金融管理的最高决策机构，负责确定“十四五”绿色金融战略规划，审批高级管理层制定的绿色金融目标和绿色金融工作措施，定期审议环境信息披露报告，统筹推进ESG治理体系建设。</w:t>
      </w:r>
    </w:p>
    <w:p w14:paraId="17C16C2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高级管理层负责制定绿色金融工作措施，建立绿色金融工作机制和流程。</w:t>
      </w:r>
    </w:p>
    <w:p w14:paraId="2F2353DB">
      <w:pPr>
        <w:spacing w:line="560" w:lineRule="exact"/>
        <w:ind w:firstLine="640" w:firstLineChars="200"/>
        <w:rPr>
          <w:rFonts w:hint="eastAsia" w:ascii="楷体_GB2312" w:hAnsi="楷体" w:eastAsia="楷体_GB2312" w:cs="楷体"/>
          <w:sz w:val="32"/>
          <w:szCs w:val="32"/>
        </w:rPr>
      </w:pPr>
      <w:r>
        <w:rPr>
          <w:rFonts w:hint="eastAsia" w:ascii="楷体_GB2312" w:hAnsi="楷体" w:eastAsia="楷体_GB2312" w:cs="楷体"/>
          <w:sz w:val="32"/>
          <w:szCs w:val="32"/>
        </w:rPr>
        <w:t>（二）联社部门层面</w:t>
      </w:r>
    </w:p>
    <w:p w14:paraId="2CA44DC2">
      <w:pPr>
        <w:widowControl/>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rPr>
        <w:t>绿色金融工作领导小组下设办公室，挂靠普惠金融部，负责我社绿色金融推进方案的拟定、业务推进、督导和考评工作，做好绿色金融产品研发和网点业务培训，并定期向领导小组汇报绿色金融推进进度。</w:t>
      </w:r>
    </w:p>
    <w:p w14:paraId="65DB422F">
      <w:pPr>
        <w:spacing w:line="560" w:lineRule="exact"/>
        <w:ind w:firstLine="640" w:firstLineChars="200"/>
        <w:rPr>
          <w:rFonts w:ascii="楷体_GB2312" w:hAnsi="楷体" w:eastAsia="楷体_GB2312" w:cs="楷体"/>
          <w:sz w:val="32"/>
          <w:szCs w:val="32"/>
        </w:rPr>
      </w:pPr>
      <w:r>
        <w:rPr>
          <w:rFonts w:hint="eastAsia" w:ascii="楷体_GB2312" w:hAnsi="楷体" w:eastAsia="楷体_GB2312" w:cs="楷体"/>
          <w:sz w:val="32"/>
          <w:szCs w:val="32"/>
        </w:rPr>
        <w:t>（三）基层网点层面</w:t>
      </w:r>
    </w:p>
    <w:p w14:paraId="7F80B451">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各基层网点根据联社安排，负责具体绿色金融工作的实施和活动组织等，围绕所在区域重点绿色领域，加大营销组织推进力度，并在经营中开展绿色运营、实践绿色行为、推动绿色采购、履行绿色价值。</w:t>
      </w:r>
    </w:p>
    <w:p w14:paraId="5E79B6EC">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四、政策制度</w:t>
      </w:r>
    </w:p>
    <w:p w14:paraId="0940B896">
      <w:pPr>
        <w:spacing w:line="560" w:lineRule="exact"/>
        <w:ind w:firstLine="640" w:firstLineChars="200"/>
        <w:rPr>
          <w:rFonts w:ascii="楷体_GB2312" w:hAnsi="楷体" w:eastAsia="楷体_GB2312" w:cs="楷体"/>
          <w:sz w:val="32"/>
          <w:szCs w:val="32"/>
        </w:rPr>
      </w:pPr>
      <w:r>
        <w:rPr>
          <w:rFonts w:hint="eastAsia" w:ascii="楷体_GB2312" w:hAnsi="楷体" w:eastAsia="楷体_GB2312" w:cs="楷体"/>
          <w:sz w:val="32"/>
          <w:szCs w:val="32"/>
        </w:rPr>
        <w:t>（一）外部政策制度</w:t>
      </w:r>
    </w:p>
    <w:p w14:paraId="159CDADB">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我社积极贯彻落实党的二十届四中全会“加快经济社会发展全面绿色转型，建设美丽中国”的决策部署，落实中央金融工作会议关于做好金融“五篇大文章”的重要部署，遵循《银行业保险业绿色金融高质量发展实施方案》（金办发〔2025〕15号）、《关于进一步强化金融支持绿色低碳发展的指导意见》（银发〔2024〕70号）、《银行业保险业绿色金融指引》（银保监发〔2022〕15号）等政策文件指引，践行“创新、协调、绿色、开放、共享”的发展理念，积极构建绿色金融体系，大力发展绿色信贷等业务，防范绿色环保相关金融风险，促进经济绿色转型发展</w:t>
      </w:r>
      <w:r>
        <w:fldChar w:fldCharType="begin"/>
      </w:r>
      <w:r>
        <w:instrText xml:space="preserve"> HYPERLINK "https://credit.shandong.gov.cn/267.news.detail.dhtml?news_id=164754&amp;CreditKey=Hej5qzBGmVcpPFVP7Q5ALmwRt9KmBp9xFR1Gc10pz9BZKntBvoe7X5EP00UVGq5wpt3Splh3RGc5yLoiEpE2rVCNNdX77sZtSPqUylBXLH55" \t "https://chat.deepseek.com/a/chat/s/_blank" </w:instrText>
      </w:r>
      <w:r>
        <w:fldChar w:fldCharType="separate"/>
      </w:r>
      <w:r>
        <w:fldChar w:fldCharType="end"/>
      </w:r>
      <w:r>
        <w:rPr>
          <w:rFonts w:hint="eastAsia" w:ascii="仿宋_GB2312" w:hAnsi="仿宋_GB2312" w:eastAsia="仿宋_GB2312" w:cs="仿宋_GB2312"/>
          <w:sz w:val="32"/>
          <w:szCs w:val="32"/>
        </w:rPr>
        <w:t>。对标《绿色金融支持项目目录（2025年版）》，该目录首次实现我国主要绿色金融标准的统筹衔接，对绿色债券认定标准与绿色贷款统计规则进行了协调统一，为我社精准识别和认定绿色项目提供了统一标准</w:t>
      </w:r>
      <w:r>
        <w:fldChar w:fldCharType="begin"/>
      </w:r>
      <w:r>
        <w:instrText xml:space="preserve"> HYPERLINK "http://field.10jqka.com.cn/20251020/c671850115.shtml" \t "https://chat.deepseek.com/a/chat/s/_blank" </w:instrText>
      </w:r>
      <w:r>
        <w:fldChar w:fldCharType="separate"/>
      </w:r>
      <w:r>
        <w:fldChar w:fldCharType="end"/>
      </w:r>
      <w:r>
        <w:rPr>
          <w:rFonts w:hint="eastAsia" w:ascii="仿宋_GB2312" w:hAnsi="仿宋_GB2312" w:eastAsia="仿宋_GB2312" w:cs="仿宋_GB2312"/>
          <w:sz w:val="32"/>
          <w:szCs w:val="32"/>
        </w:rPr>
        <w:t>。</w:t>
      </w:r>
    </w:p>
    <w:p w14:paraId="3E08EC52">
      <w:pPr>
        <w:spacing w:line="560" w:lineRule="exact"/>
        <w:ind w:firstLine="640" w:firstLineChars="200"/>
        <w:rPr>
          <w:rFonts w:ascii="楷体_GB2312" w:hAnsi="楷体" w:eastAsia="楷体_GB2312" w:cs="楷体"/>
          <w:sz w:val="32"/>
          <w:szCs w:val="32"/>
        </w:rPr>
      </w:pPr>
      <w:r>
        <w:rPr>
          <w:rFonts w:hint="eastAsia" w:ascii="楷体_GB2312" w:hAnsi="楷体" w:eastAsia="楷体_GB2312" w:cs="楷体"/>
          <w:sz w:val="32"/>
          <w:szCs w:val="32"/>
        </w:rPr>
        <w:t>（二）内部政策制度</w:t>
      </w:r>
    </w:p>
    <w:p w14:paraId="516CA490">
      <w:pPr>
        <w:pStyle w:val="8"/>
        <w:spacing w:line="560" w:lineRule="exact"/>
        <w:ind w:left="0" w:leftChars="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为扎实推动闽侯生态文明建设、绿色转型和高质量发展,助力实现碳达峰碳中和目标，我社制定了《闽侯县农村信用合作联社推进绿色金融发展实施方案》（侯电邮〔2022〕46号）及《闽侯联社推进绿色金融高质量发展行动方案（2025-2027年）》，将绿色发展融入公司治理，健全绿色信贷全流程管理机制。同时，立足不同领域的绿色发展、绿色转型需求，加大绿色金融产品和服务创新，探索开展绿色信贷、绿色消费金融、碳金融等金融产品和服务创新。</w:t>
      </w:r>
    </w:p>
    <w:p w14:paraId="1C601FF4">
      <w:pPr>
        <w:pStyle w:val="15"/>
        <w:tabs>
          <w:tab w:val="left" w:pos="949"/>
        </w:tabs>
        <w:spacing w:line="560" w:lineRule="exact"/>
        <w:jc w:val="center"/>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zh-TW"/>
        </w:rPr>
        <w:t>表</w:t>
      </w:r>
      <w:r>
        <w:rPr>
          <w:rFonts w:hint="eastAsia" w:ascii="仿宋_GB2312" w:hAnsi="仿宋_GB2312" w:eastAsia="仿宋_GB2312" w:cs="仿宋_GB2312"/>
          <w:color w:val="auto"/>
          <w:kern w:val="0"/>
          <w:sz w:val="32"/>
          <w:szCs w:val="32"/>
        </w:rPr>
        <w:t>1：</w:t>
      </w:r>
      <w:r>
        <w:rPr>
          <w:rFonts w:hint="eastAsia" w:ascii="仿宋_GB2312" w:hAnsi="仿宋_GB2312" w:eastAsia="仿宋_GB2312" w:cs="仿宋_GB2312"/>
          <w:color w:val="auto"/>
          <w:kern w:val="0"/>
          <w:sz w:val="32"/>
          <w:szCs w:val="32"/>
          <w:lang w:val="zh-TW"/>
        </w:rPr>
        <w:t>金融机构环境政策制度情况表</w:t>
      </w:r>
    </w:p>
    <w:tbl>
      <w:tblPr>
        <w:tblStyle w:val="13"/>
        <w:tblW w:w="9071" w:type="dxa"/>
        <w:jc w:val="center"/>
        <w:tblLayout w:type="fixed"/>
        <w:tblCellMar>
          <w:top w:w="0" w:type="dxa"/>
          <w:left w:w="108" w:type="dxa"/>
          <w:bottom w:w="0" w:type="dxa"/>
          <w:right w:w="108" w:type="dxa"/>
        </w:tblCellMar>
      </w:tblPr>
      <w:tblGrid>
        <w:gridCol w:w="3572"/>
        <w:gridCol w:w="1480"/>
        <w:gridCol w:w="1381"/>
        <w:gridCol w:w="2638"/>
      </w:tblGrid>
      <w:tr w14:paraId="7FB68446">
        <w:tblPrEx>
          <w:tblCellMar>
            <w:top w:w="0" w:type="dxa"/>
            <w:left w:w="108" w:type="dxa"/>
            <w:bottom w:w="0" w:type="dxa"/>
            <w:right w:w="108" w:type="dxa"/>
          </w:tblCellMar>
        </w:tblPrEx>
        <w:trPr>
          <w:trHeight w:val="90" w:hRule="atLeast"/>
          <w:jc w:val="center"/>
        </w:trPr>
        <w:tc>
          <w:tcPr>
            <w:tcW w:w="357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C33ED2">
            <w:pPr>
              <w:widowControl/>
              <w:spacing w:line="360" w:lineRule="exact"/>
              <w:jc w:val="center"/>
              <w:textAlignment w:val="center"/>
              <w:rPr>
                <w:rFonts w:ascii="仿宋_GB2312" w:hAnsi="宋体" w:eastAsia="仿宋_GB2312" w:cs="仿宋_GB2312"/>
                <w:b/>
                <w:bCs/>
                <w:color w:val="000000"/>
                <w:sz w:val="32"/>
                <w:szCs w:val="32"/>
              </w:rPr>
            </w:pPr>
            <w:r>
              <w:rPr>
                <w:rFonts w:hint="eastAsia" w:ascii="仿宋_GB2312" w:hAnsi="宋体" w:eastAsia="仿宋_GB2312" w:cs="仿宋_GB2312"/>
                <w:b/>
                <w:bCs/>
                <w:color w:val="000000"/>
                <w:kern w:val="0"/>
                <w:sz w:val="32"/>
                <w:szCs w:val="32"/>
              </w:rPr>
              <w:t>文件名称</w:t>
            </w:r>
          </w:p>
        </w:tc>
        <w:tc>
          <w:tcPr>
            <w:tcW w:w="14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F14D86">
            <w:pPr>
              <w:widowControl/>
              <w:spacing w:line="360" w:lineRule="exact"/>
              <w:jc w:val="center"/>
              <w:textAlignment w:val="center"/>
              <w:rPr>
                <w:rFonts w:ascii="仿宋_GB2312" w:hAnsi="宋体" w:eastAsia="仿宋_GB2312" w:cs="仿宋_GB2312"/>
                <w:b/>
                <w:bCs/>
                <w:color w:val="000000"/>
                <w:sz w:val="32"/>
                <w:szCs w:val="32"/>
              </w:rPr>
            </w:pPr>
            <w:r>
              <w:rPr>
                <w:rFonts w:hint="eastAsia" w:ascii="仿宋_GB2312" w:hAnsi="宋体" w:eastAsia="仿宋_GB2312" w:cs="仿宋_GB2312"/>
                <w:b/>
                <w:bCs/>
                <w:color w:val="000000"/>
                <w:kern w:val="0"/>
                <w:sz w:val="32"/>
                <w:szCs w:val="32"/>
              </w:rPr>
              <w:t>发文</w:t>
            </w:r>
            <w:r>
              <w:rPr>
                <w:rFonts w:hint="eastAsia" w:ascii="仿宋_GB2312" w:hAnsi="宋体" w:eastAsia="仿宋_GB2312" w:cs="仿宋_GB2312"/>
                <w:b/>
                <w:bCs/>
                <w:color w:val="000000"/>
                <w:kern w:val="0"/>
                <w:sz w:val="32"/>
                <w:szCs w:val="32"/>
              </w:rPr>
              <w:br w:type="textWrapping"/>
            </w:r>
            <w:r>
              <w:rPr>
                <w:rFonts w:hint="eastAsia" w:ascii="仿宋_GB2312" w:hAnsi="宋体" w:eastAsia="仿宋_GB2312" w:cs="仿宋_GB2312"/>
                <w:b/>
                <w:bCs/>
                <w:color w:val="000000"/>
                <w:kern w:val="0"/>
                <w:sz w:val="32"/>
                <w:szCs w:val="32"/>
              </w:rPr>
              <w:t>字号</w:t>
            </w:r>
          </w:p>
        </w:tc>
        <w:tc>
          <w:tcPr>
            <w:tcW w:w="1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68FE5F">
            <w:pPr>
              <w:widowControl/>
              <w:spacing w:line="360" w:lineRule="exact"/>
              <w:jc w:val="center"/>
              <w:textAlignment w:val="center"/>
              <w:rPr>
                <w:rFonts w:ascii="仿宋_GB2312" w:hAnsi="宋体" w:eastAsia="仿宋_GB2312" w:cs="仿宋_GB2312"/>
                <w:b/>
                <w:bCs/>
                <w:color w:val="000000"/>
                <w:sz w:val="32"/>
                <w:szCs w:val="32"/>
              </w:rPr>
            </w:pPr>
            <w:r>
              <w:rPr>
                <w:rFonts w:hint="eastAsia" w:ascii="仿宋_GB2312" w:hAnsi="宋体" w:eastAsia="仿宋_GB2312" w:cs="仿宋_GB2312"/>
                <w:b/>
                <w:bCs/>
                <w:color w:val="000000"/>
                <w:kern w:val="0"/>
                <w:sz w:val="32"/>
                <w:szCs w:val="32"/>
              </w:rPr>
              <w:t>文件</w:t>
            </w:r>
            <w:r>
              <w:rPr>
                <w:rFonts w:hint="eastAsia" w:ascii="仿宋_GB2312" w:hAnsi="宋体" w:eastAsia="仿宋_GB2312" w:cs="仿宋_GB2312"/>
                <w:b/>
                <w:bCs/>
                <w:color w:val="000000"/>
                <w:kern w:val="0"/>
                <w:sz w:val="32"/>
                <w:szCs w:val="32"/>
              </w:rPr>
              <w:br w:type="textWrapping"/>
            </w:r>
            <w:r>
              <w:rPr>
                <w:rFonts w:hint="eastAsia" w:ascii="仿宋_GB2312" w:hAnsi="宋体" w:eastAsia="仿宋_GB2312" w:cs="仿宋_GB2312"/>
                <w:b/>
                <w:bCs/>
                <w:color w:val="000000"/>
                <w:kern w:val="0"/>
                <w:sz w:val="32"/>
                <w:szCs w:val="32"/>
              </w:rPr>
              <w:t>类型</w:t>
            </w:r>
          </w:p>
        </w:tc>
        <w:tc>
          <w:tcPr>
            <w:tcW w:w="263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EFA74C">
            <w:pPr>
              <w:widowControl/>
              <w:spacing w:line="360" w:lineRule="exact"/>
              <w:jc w:val="center"/>
              <w:textAlignment w:val="center"/>
              <w:rPr>
                <w:rFonts w:ascii="仿宋_GB2312" w:hAnsi="宋体" w:eastAsia="仿宋_GB2312" w:cs="仿宋_GB2312"/>
                <w:b/>
                <w:bCs/>
                <w:color w:val="000000"/>
                <w:sz w:val="32"/>
                <w:szCs w:val="32"/>
              </w:rPr>
            </w:pPr>
            <w:r>
              <w:rPr>
                <w:rFonts w:hint="eastAsia" w:ascii="仿宋_GB2312" w:hAnsi="宋体" w:eastAsia="仿宋_GB2312" w:cs="仿宋_GB2312"/>
                <w:b/>
                <w:bCs/>
                <w:color w:val="000000"/>
                <w:kern w:val="0"/>
                <w:sz w:val="32"/>
                <w:szCs w:val="32"/>
              </w:rPr>
              <w:t>文件主要内容</w:t>
            </w:r>
          </w:p>
        </w:tc>
      </w:tr>
      <w:tr w14:paraId="0A54B0AC">
        <w:tblPrEx>
          <w:tblCellMar>
            <w:top w:w="0" w:type="dxa"/>
            <w:left w:w="108" w:type="dxa"/>
            <w:bottom w:w="0" w:type="dxa"/>
            <w:right w:w="108" w:type="dxa"/>
          </w:tblCellMar>
        </w:tblPrEx>
        <w:trPr>
          <w:trHeight w:val="2247" w:hRule="atLeast"/>
          <w:jc w:val="center"/>
        </w:trPr>
        <w:tc>
          <w:tcPr>
            <w:tcW w:w="357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A63BBA">
            <w:pPr>
              <w:widowControl/>
              <w:spacing w:line="360" w:lineRule="exact"/>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《中共中央国务院关于加快推进生态文明建设的意见》《生态文明体制改革总体方案》《中国人民银行财政部发展改革委环境保护部银监会证监会保监会关于构建绿色金融体系的指导意见》</w:t>
            </w:r>
          </w:p>
        </w:tc>
        <w:tc>
          <w:tcPr>
            <w:tcW w:w="14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35C25D">
            <w:pPr>
              <w:spacing w:line="360" w:lineRule="exact"/>
              <w:rPr>
                <w:rFonts w:ascii="仿宋_GB2312" w:hAnsi="宋体" w:eastAsia="仿宋_GB2312" w:cs="仿宋_GB2312"/>
                <w:color w:val="000000"/>
                <w:sz w:val="28"/>
                <w:szCs w:val="28"/>
              </w:rPr>
            </w:pPr>
          </w:p>
        </w:tc>
        <w:tc>
          <w:tcPr>
            <w:tcW w:w="1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2D24E2">
            <w:pPr>
              <w:widowControl/>
              <w:spacing w:line="360" w:lineRule="exact"/>
              <w:jc w:val="center"/>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外部政策</w:t>
            </w:r>
          </w:p>
        </w:tc>
        <w:tc>
          <w:tcPr>
            <w:tcW w:w="263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792A08">
            <w:pPr>
              <w:widowControl/>
              <w:spacing w:line="360" w:lineRule="exact"/>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有关生态文明建设的各项要求。</w:t>
            </w:r>
          </w:p>
        </w:tc>
      </w:tr>
      <w:tr w14:paraId="04ADFCB5">
        <w:tblPrEx>
          <w:tblCellMar>
            <w:top w:w="0" w:type="dxa"/>
            <w:left w:w="108" w:type="dxa"/>
            <w:bottom w:w="0" w:type="dxa"/>
            <w:right w:w="108" w:type="dxa"/>
          </w:tblCellMar>
        </w:tblPrEx>
        <w:trPr>
          <w:trHeight w:val="1507" w:hRule="atLeast"/>
          <w:jc w:val="center"/>
        </w:trPr>
        <w:tc>
          <w:tcPr>
            <w:tcW w:w="357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BD397F">
            <w:pPr>
              <w:widowControl/>
              <w:spacing w:line="360" w:lineRule="exact"/>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《中华人民共和国环境保护法》《中华人民共和国节约能源法》《中华人民共和国固体废物污染环境防治法》</w:t>
            </w:r>
          </w:p>
        </w:tc>
        <w:tc>
          <w:tcPr>
            <w:tcW w:w="14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77705A">
            <w:pPr>
              <w:spacing w:line="360" w:lineRule="exact"/>
              <w:rPr>
                <w:rFonts w:ascii="仿宋_GB2312" w:hAnsi="宋体" w:eastAsia="仿宋_GB2312" w:cs="仿宋_GB2312"/>
                <w:color w:val="000000"/>
                <w:sz w:val="28"/>
                <w:szCs w:val="28"/>
              </w:rPr>
            </w:pPr>
          </w:p>
        </w:tc>
        <w:tc>
          <w:tcPr>
            <w:tcW w:w="1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124D26">
            <w:pPr>
              <w:widowControl/>
              <w:spacing w:line="360" w:lineRule="exact"/>
              <w:jc w:val="center"/>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外部政策</w:t>
            </w:r>
          </w:p>
        </w:tc>
        <w:tc>
          <w:tcPr>
            <w:tcW w:w="263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C24C5A">
            <w:pPr>
              <w:widowControl/>
              <w:spacing w:line="360" w:lineRule="exact"/>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有关节能环保的各项要求。</w:t>
            </w:r>
          </w:p>
        </w:tc>
      </w:tr>
      <w:tr w14:paraId="6DDD6B5B">
        <w:tblPrEx>
          <w:tblCellMar>
            <w:top w:w="0" w:type="dxa"/>
            <w:left w:w="108" w:type="dxa"/>
            <w:bottom w:w="0" w:type="dxa"/>
            <w:right w:w="108" w:type="dxa"/>
          </w:tblCellMar>
        </w:tblPrEx>
        <w:trPr>
          <w:trHeight w:val="906" w:hRule="atLeast"/>
          <w:jc w:val="center"/>
        </w:trPr>
        <w:tc>
          <w:tcPr>
            <w:tcW w:w="357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98AC29">
            <w:pPr>
              <w:widowControl/>
              <w:spacing w:line="360" w:lineRule="exact"/>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《闽侯县农村信用合作联社推进绿色金融发展实施方案》</w:t>
            </w:r>
          </w:p>
        </w:tc>
        <w:tc>
          <w:tcPr>
            <w:tcW w:w="14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74B309">
            <w:pPr>
              <w:widowControl/>
              <w:spacing w:line="360" w:lineRule="exact"/>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侯电邮〔2022〕46号</w:t>
            </w:r>
          </w:p>
        </w:tc>
        <w:tc>
          <w:tcPr>
            <w:tcW w:w="1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3FA28F">
            <w:pPr>
              <w:widowControl/>
              <w:spacing w:line="360" w:lineRule="exact"/>
              <w:jc w:val="center"/>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内部政策</w:t>
            </w:r>
          </w:p>
        </w:tc>
        <w:tc>
          <w:tcPr>
            <w:tcW w:w="263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98EFF2">
            <w:pPr>
              <w:widowControl/>
              <w:spacing w:line="360" w:lineRule="exact"/>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有关建立绿色金融工作机制和流程的组织架构。</w:t>
            </w:r>
          </w:p>
        </w:tc>
      </w:tr>
      <w:tr w14:paraId="5EB76994">
        <w:tblPrEx>
          <w:tblCellMar>
            <w:top w:w="0" w:type="dxa"/>
            <w:left w:w="108" w:type="dxa"/>
            <w:bottom w:w="0" w:type="dxa"/>
            <w:right w:w="108" w:type="dxa"/>
          </w:tblCellMar>
        </w:tblPrEx>
        <w:trPr>
          <w:trHeight w:val="920" w:hRule="atLeast"/>
          <w:jc w:val="center"/>
        </w:trPr>
        <w:tc>
          <w:tcPr>
            <w:tcW w:w="357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39AD1C">
            <w:pPr>
              <w:widowControl/>
              <w:spacing w:line="360" w:lineRule="exact"/>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绿色金融支持项目目录（2025年版）</w:t>
            </w:r>
          </w:p>
        </w:tc>
        <w:tc>
          <w:tcPr>
            <w:tcW w:w="14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63E915">
            <w:pPr>
              <w:widowControl/>
              <w:spacing w:line="360" w:lineRule="exact"/>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闽银转〔2025〕167号</w:t>
            </w:r>
          </w:p>
        </w:tc>
        <w:tc>
          <w:tcPr>
            <w:tcW w:w="1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92001C">
            <w:pPr>
              <w:widowControl/>
              <w:spacing w:line="360" w:lineRule="exact"/>
              <w:jc w:val="center"/>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外部政策</w:t>
            </w:r>
          </w:p>
        </w:tc>
        <w:tc>
          <w:tcPr>
            <w:tcW w:w="263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FE871E">
            <w:pPr>
              <w:widowControl/>
              <w:spacing w:line="360" w:lineRule="exact"/>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详细介绍绿色金融支持项目。</w:t>
            </w:r>
          </w:p>
        </w:tc>
      </w:tr>
      <w:tr w14:paraId="5632C9BC">
        <w:tblPrEx>
          <w:tblCellMar>
            <w:top w:w="0" w:type="dxa"/>
            <w:left w:w="108" w:type="dxa"/>
            <w:bottom w:w="0" w:type="dxa"/>
            <w:right w:w="108" w:type="dxa"/>
          </w:tblCellMar>
        </w:tblPrEx>
        <w:trPr>
          <w:trHeight w:val="1640" w:hRule="atLeast"/>
          <w:jc w:val="center"/>
        </w:trPr>
        <w:tc>
          <w:tcPr>
            <w:tcW w:w="357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6EE2AD">
            <w:pPr>
              <w:widowControl/>
              <w:spacing w:line="360" w:lineRule="exact"/>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福建农信推进绿色金融高质量发展行动方案（2025-2027年）</w:t>
            </w:r>
          </w:p>
        </w:tc>
        <w:tc>
          <w:tcPr>
            <w:tcW w:w="14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6BFB4A">
            <w:pPr>
              <w:widowControl/>
              <w:spacing w:line="360" w:lineRule="exact"/>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闽农信〔2025〕244号</w:t>
            </w:r>
          </w:p>
        </w:tc>
        <w:tc>
          <w:tcPr>
            <w:tcW w:w="1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8762BF">
            <w:pPr>
              <w:widowControl/>
              <w:spacing w:line="360" w:lineRule="exact"/>
              <w:jc w:val="center"/>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外部政策</w:t>
            </w:r>
          </w:p>
        </w:tc>
        <w:tc>
          <w:tcPr>
            <w:tcW w:w="263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3F9A5F">
            <w:pPr>
              <w:widowControl/>
              <w:spacing w:line="360" w:lineRule="exact"/>
              <w:jc w:val="left"/>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拓宽绿色金融服务领域、构建绿色金融服务体系、完善绿色金融服务机制、打造绿色金融特色模式、强化绿色金融风险防控。</w:t>
            </w:r>
          </w:p>
        </w:tc>
      </w:tr>
      <w:tr w14:paraId="5DD13F61">
        <w:tblPrEx>
          <w:tblCellMar>
            <w:top w:w="0" w:type="dxa"/>
            <w:left w:w="108" w:type="dxa"/>
            <w:bottom w:w="0" w:type="dxa"/>
            <w:right w:w="108" w:type="dxa"/>
          </w:tblCellMar>
        </w:tblPrEx>
        <w:trPr>
          <w:trHeight w:val="1967" w:hRule="atLeast"/>
          <w:jc w:val="center"/>
        </w:trPr>
        <w:tc>
          <w:tcPr>
            <w:tcW w:w="357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437630">
            <w:pPr>
              <w:widowControl/>
              <w:spacing w:line="360" w:lineRule="exact"/>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闽侯联社推进绿色金融高质量发展行动方案（2025-2027年）</w:t>
            </w:r>
          </w:p>
        </w:tc>
        <w:tc>
          <w:tcPr>
            <w:tcW w:w="14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949B02">
            <w:pPr>
              <w:spacing w:line="360" w:lineRule="exact"/>
              <w:rPr>
                <w:rFonts w:ascii="仿宋_GB2312" w:hAnsi="宋体" w:eastAsia="仿宋_GB2312" w:cs="仿宋_GB2312"/>
                <w:color w:val="000000"/>
                <w:sz w:val="28"/>
                <w:szCs w:val="28"/>
              </w:rPr>
            </w:pPr>
          </w:p>
        </w:tc>
        <w:tc>
          <w:tcPr>
            <w:tcW w:w="1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538B32">
            <w:pPr>
              <w:widowControl/>
              <w:spacing w:line="360" w:lineRule="exact"/>
              <w:jc w:val="center"/>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内部政策</w:t>
            </w:r>
          </w:p>
        </w:tc>
        <w:tc>
          <w:tcPr>
            <w:tcW w:w="263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EED6FF">
            <w:pPr>
              <w:widowControl/>
              <w:spacing w:line="360" w:lineRule="exact"/>
              <w:jc w:val="left"/>
              <w:textAlignment w:val="center"/>
              <w:rPr>
                <w:rFonts w:ascii="仿宋_GB2312" w:hAnsi="宋体" w:eastAsia="仿宋_GB2312" w:cs="仿宋_GB2312"/>
                <w:color w:val="000000"/>
                <w:sz w:val="28"/>
                <w:szCs w:val="28"/>
              </w:rPr>
            </w:pPr>
            <w:r>
              <w:rPr>
                <w:rFonts w:hint="eastAsia" w:ascii="仿宋_GB2312" w:hAnsi="宋体" w:eastAsia="仿宋_GB2312" w:cs="仿宋_GB2312"/>
                <w:color w:val="000000"/>
                <w:kern w:val="0"/>
                <w:sz w:val="28"/>
                <w:szCs w:val="28"/>
              </w:rPr>
              <w:t>在省联社总体框架下，闽侯联社加大对绿色、低碳、循环经济的支持力度，提升自身的环境、社会和治理表现，制定3年行动方案。</w:t>
            </w:r>
          </w:p>
        </w:tc>
      </w:tr>
    </w:tbl>
    <w:p w14:paraId="351E4E9F">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五、产品创新与研究成果</w:t>
      </w:r>
    </w:p>
    <w:p w14:paraId="7A91C0E3">
      <w:pPr>
        <w:numPr>
          <w:ilvl w:val="255"/>
          <w:numId w:val="0"/>
        </w:numPr>
        <w:spacing w:line="560" w:lineRule="exact"/>
        <w:ind w:firstLine="640" w:firstLineChars="200"/>
        <w:rPr>
          <w:rFonts w:ascii="仿宋_GB2312" w:hAnsi="仿宋_GB2312" w:eastAsia="仿宋_GB2312" w:cs="仿宋_GB2312"/>
          <w:sz w:val="32"/>
          <w:szCs w:val="32"/>
        </w:rPr>
      </w:pPr>
      <w:r>
        <w:rPr>
          <w:rFonts w:hint="eastAsia" w:ascii="楷体_GB2312" w:hAnsi="楷体" w:eastAsia="楷体_GB2312" w:cs="楷体"/>
          <w:sz w:val="32"/>
          <w:szCs w:val="32"/>
        </w:rPr>
        <w:t>（一）探索绿色供应链融资。</w:t>
      </w:r>
      <w:r>
        <w:rPr>
          <w:rFonts w:hint="eastAsia" w:ascii="仿宋_GB2312" w:hAnsi="仿宋_GB2312" w:eastAsia="仿宋_GB2312" w:cs="仿宋_GB2312"/>
          <w:b/>
          <w:bCs/>
          <w:sz w:val="32"/>
          <w:szCs w:val="32"/>
        </w:rPr>
        <w:t>一是</w:t>
      </w:r>
      <w:r>
        <w:rPr>
          <w:rFonts w:hint="eastAsia" w:ascii="仿宋_GB2312" w:hAnsi="仿宋_GB2312" w:eastAsia="仿宋_GB2312" w:cs="仿宋_GB2312"/>
          <w:sz w:val="32"/>
          <w:szCs w:val="32"/>
        </w:rPr>
        <w:t>在现有普惠金融产品体系中深度融入绿色元素，创新推出“绿电贷”专项产品，为企业及自然人绿色转型提供灵活融资支持。</w:t>
      </w:r>
      <w:r>
        <w:rPr>
          <w:rFonts w:hint="eastAsia" w:ascii="仿宋_GB2312" w:hAnsi="仿宋_GB2312" w:eastAsia="仿宋_GB2312" w:cs="仿宋_GB2312"/>
          <w:b/>
          <w:bCs/>
          <w:sz w:val="32"/>
          <w:szCs w:val="32"/>
        </w:rPr>
        <w:t>二是</w:t>
      </w:r>
      <w:r>
        <w:rPr>
          <w:rFonts w:hint="eastAsia" w:ascii="仿宋_GB2312" w:hAnsi="仿宋_GB2312" w:eastAsia="仿宋_GB2312" w:cs="仿宋_GB2312"/>
          <w:sz w:val="32"/>
          <w:szCs w:val="32"/>
        </w:rPr>
        <w:t>以闽侯汽车产业集群与城乡产业协同发展为依托，构建“核心企业+上下游”的绿色供应链金融生态。发挥产业链核心企业桥梁作用，推动打造“链式金融+”服务模式，推出“福工·邑链贷”专属产品，通过核心企业信用传递，带动整个产业链的绿色化协同发展。</w:t>
      </w:r>
    </w:p>
    <w:p w14:paraId="1E21EA4A">
      <w:pPr>
        <w:widowControl/>
        <w:numPr>
          <w:ilvl w:val="0"/>
          <w:numId w:val="0"/>
        </w:numPr>
        <w:spacing w:line="560" w:lineRule="exact"/>
        <w:ind w:firstLine="640" w:firstLineChars="200"/>
        <w:rPr>
          <w:rFonts w:ascii="仿宋_GB2312" w:hAnsi="仿宋_GB2312" w:eastAsia="仿宋_GB2312" w:cs="仿宋_GB2312"/>
          <w:kern w:val="0"/>
          <w:sz w:val="32"/>
          <w:szCs w:val="32"/>
        </w:rPr>
      </w:pPr>
      <w:r>
        <w:rPr>
          <w:rFonts w:hint="eastAsia" w:ascii="楷体_GB2312" w:hAnsi="楷体" w:eastAsia="楷体_GB2312" w:cs="楷体"/>
          <w:sz w:val="32"/>
          <w:szCs w:val="32"/>
          <w:lang w:eastAsia="zh-CN"/>
        </w:rPr>
        <w:t>（二）</w:t>
      </w:r>
      <w:r>
        <w:rPr>
          <w:rFonts w:hint="eastAsia" w:ascii="楷体_GB2312" w:hAnsi="楷体" w:eastAsia="楷体_GB2312" w:cs="楷体"/>
          <w:sz w:val="32"/>
          <w:szCs w:val="32"/>
        </w:rPr>
        <w:t>生态旅游产品创新。</w:t>
      </w:r>
      <w:r>
        <w:rPr>
          <w:rFonts w:hint="eastAsia" w:ascii="仿宋_GB2312" w:hAnsi="仿宋_GB2312" w:eastAsia="仿宋_GB2312" w:cs="仿宋_GB2312"/>
          <w:sz w:val="32"/>
          <w:szCs w:val="32"/>
        </w:rPr>
        <w:t>紧密对接闽侯文旅发展格局，优先将信贷资源倾斜于雪峰山城、旗山湖、闽越水镇、昙石山特色历史文化街区、五虎山国家森林公园、十八重溪景区、闽都民俗园等核心景区。积极对接闽侯当地文旅集团，重点支持区域内特色民宿集群、旅游餐饮配套、文创产品开发、景区设施升级、智慧停车场建设等，下沉服务中心，创新并升级</w:t>
      </w:r>
      <w:r>
        <w:rPr>
          <w:rFonts w:hint="eastAsia" w:ascii="仿宋_GB2312" w:hAnsi="仿宋_GB2312" w:eastAsia="仿宋_GB2312" w:cs="仿宋_GB2312"/>
          <w:b/>
          <w:bCs/>
          <w:kern w:val="0"/>
          <w:sz w:val="32"/>
          <w:szCs w:val="32"/>
        </w:rPr>
        <w:t>“文旅专项贷”、“民宿贷”</w:t>
      </w:r>
      <w:r>
        <w:rPr>
          <w:rFonts w:hint="eastAsia" w:ascii="仿宋_GB2312" w:hAnsi="仿宋_GB2312" w:eastAsia="仿宋_GB2312" w:cs="仿宋_GB2312"/>
          <w:kern w:val="0"/>
          <w:sz w:val="32"/>
          <w:szCs w:val="32"/>
        </w:rPr>
        <w:t>等产品。</w:t>
      </w:r>
      <w:r>
        <w:rPr>
          <w:rFonts w:hint="eastAsia" w:ascii="仿宋_GB2312" w:hAnsi="仿宋_GB2312" w:eastAsia="仿宋_GB2312" w:cs="仿宋_GB2312"/>
          <w:sz w:val="32"/>
          <w:szCs w:val="32"/>
        </w:rPr>
        <w:t>结合文旅消费小额、高频、季节性强等特征，创新“邑薪贷”“以旧换新贷”“新市民贷”“普惠金融贷”等多款消费信贷产品，满足客户多样化的消费需求。大力推广“福溜卡”文旅主题卡，提升农信品牌在文旅消费场景中的渗透力和用户黏性。</w:t>
      </w:r>
      <w:r>
        <w:rPr>
          <w:rFonts w:hint="eastAsia" w:ascii="仿宋_GB2312" w:hAnsi="仿宋_GB2312" w:eastAsia="仿宋_GB2312" w:cs="仿宋_GB2312"/>
          <w:kern w:val="0"/>
          <w:sz w:val="32"/>
          <w:szCs w:val="32"/>
        </w:rPr>
        <w:t>满足生态旅游经营主体多样化融资需求。</w:t>
      </w:r>
    </w:p>
    <w:p w14:paraId="0C69A6C9">
      <w:pPr>
        <w:widowControl/>
        <w:spacing w:line="560" w:lineRule="exact"/>
        <w:ind w:firstLine="640" w:firstLineChars="200"/>
        <w:rPr>
          <w:rFonts w:ascii="仿宋_GB2312" w:hAnsi="仿宋_GB2312" w:eastAsia="仿宋_GB2312" w:cs="仿宋_GB2312"/>
          <w:sz w:val="32"/>
          <w:szCs w:val="32"/>
        </w:rPr>
      </w:pPr>
      <w:r>
        <w:rPr>
          <w:rFonts w:hint="eastAsia" w:ascii="楷体_GB2312" w:hAnsi="楷体" w:eastAsia="楷体_GB2312" w:cs="楷体"/>
          <w:sz w:val="32"/>
          <w:szCs w:val="32"/>
        </w:rPr>
        <w:t>（三）绿色信贷案例。</w:t>
      </w:r>
      <w:r>
        <w:rPr>
          <w:rFonts w:hint="eastAsia" w:ascii="仿宋_GB2312" w:hAnsi="仿宋_GB2312" w:eastAsia="仿宋_GB2312" w:cs="仿宋_GB2312"/>
          <w:color w:val="000000" w:themeColor="text1"/>
          <w:sz w:val="32"/>
          <w:szCs w:val="32"/>
          <w14:textFill>
            <w14:solidFill>
              <w14:schemeClr w14:val="tx1"/>
            </w14:solidFill>
          </w14:textFill>
        </w:rPr>
        <w:t>闽侯县某农业综合开发有限公司，主要经营农业综合开发，蔬菜、果树种植、淡水鱼养殖等。公司蔬菜种植基地坐落于闽侯县大湖乡东墘村，现已建成智能温控大棚等现代化种植设施。通过全流程标准化操作，基地实现了对农产品农药残留、重金属等关键指标的有效管控，精准契合绿色农业“安全、优质”的核心诉求。在生产过程中，基地以精准灌溉、科学环境调控大幅提升资源利用效率，减少水资源与能源消耗；同时通过严格控制化学投入品使用，有效降低了对土壤、周边水环境的污染，使用可降解农膜农用薄膜，减少农业废弃物对农田的影响全面践行绿色农业“可持续发展”的核心原则。</w:t>
      </w:r>
      <w:r>
        <w:rPr>
          <w:rFonts w:hint="eastAsia" w:ascii="仿宋_GB2312" w:hAnsi="仿宋_GB2312" w:eastAsia="仿宋_GB2312" w:cs="仿宋_GB2312"/>
          <w:kern w:val="0"/>
          <w:sz w:val="32"/>
          <w:szCs w:val="32"/>
        </w:rPr>
        <w:t>我社金融助理在了解到企业因生产经营扩大尚有资金缺口，立即主动上门对接，为企业发放219万元的流动资金贷款，为闽侯县绿色农业发展贡献农信力量。</w:t>
      </w:r>
    </w:p>
    <w:p w14:paraId="27412742">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六、经营活动对气候与环境的影响</w:t>
      </w:r>
    </w:p>
    <w:p w14:paraId="574158C2">
      <w:pPr>
        <w:numPr>
          <w:ilvl w:val="0"/>
          <w:numId w:val="0"/>
        </w:numPr>
        <w:spacing w:line="560" w:lineRule="exact"/>
        <w:ind w:firstLine="640" w:firstLineChars="200"/>
        <w:rPr>
          <w:rFonts w:hint="eastAsia" w:ascii="楷体_GB2312" w:hAnsi="楷体" w:eastAsia="楷体_GB2312" w:cs="楷体"/>
          <w:sz w:val="32"/>
          <w:szCs w:val="32"/>
        </w:rPr>
      </w:pPr>
      <w:r>
        <w:rPr>
          <w:rFonts w:hint="eastAsia" w:ascii="楷体_GB2312" w:hAnsi="楷体" w:eastAsia="楷体_GB2312" w:cs="楷体"/>
          <w:sz w:val="32"/>
          <w:szCs w:val="32"/>
          <w:lang w:eastAsia="zh-CN"/>
        </w:rPr>
        <w:t>（一）</w:t>
      </w:r>
      <w:r>
        <w:rPr>
          <w:rFonts w:hint="eastAsia" w:ascii="楷体_GB2312" w:hAnsi="楷体" w:eastAsia="楷体_GB2312" w:cs="楷体"/>
          <w:sz w:val="32"/>
          <w:szCs w:val="32"/>
        </w:rPr>
        <w:t>经营活动产生的资源消耗</w:t>
      </w:r>
    </w:p>
    <w:p w14:paraId="038D2373">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报告期内，我社本部及各营业网点经营活动产生的资源消耗主要集中在自有车辆消耗、营业办公用电、用水、纸张耗材等。</w:t>
      </w:r>
    </w:p>
    <w:p w14:paraId="0C84C8BD">
      <w:pPr>
        <w:pStyle w:val="15"/>
        <w:tabs>
          <w:tab w:val="left" w:pos="949"/>
        </w:tabs>
        <w:spacing w:line="560" w:lineRule="exact"/>
        <w:jc w:val="center"/>
        <w:rPr>
          <w:rFonts w:ascii="仿宋_GB2312" w:hAnsi="仿宋_GB2312" w:eastAsia="仿宋_GB2312" w:cs="仿宋_GB2312"/>
          <w:color w:val="auto"/>
          <w:kern w:val="0"/>
          <w:sz w:val="32"/>
          <w:szCs w:val="32"/>
          <w:lang w:val="zh-TW"/>
        </w:rPr>
      </w:pPr>
      <w:r>
        <w:rPr>
          <w:rFonts w:hint="eastAsia" w:ascii="仿宋_GB2312" w:hAnsi="仿宋_GB2312" w:eastAsia="仿宋_GB2312" w:cs="仿宋_GB2312"/>
          <w:color w:val="auto"/>
          <w:kern w:val="0"/>
          <w:sz w:val="32"/>
          <w:szCs w:val="32"/>
          <w:lang w:val="zh-TW"/>
        </w:rPr>
        <w:t>表2：经营活动产生的资源消耗</w:t>
      </w:r>
    </w:p>
    <w:tbl>
      <w:tblPr>
        <w:tblStyle w:val="1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7"/>
        <w:gridCol w:w="3351"/>
        <w:gridCol w:w="1617"/>
        <w:gridCol w:w="1617"/>
      </w:tblGrid>
      <w:tr w14:paraId="2572C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937" w:type="dxa"/>
          </w:tcPr>
          <w:p w14:paraId="550BA3C5">
            <w:pPr>
              <w:spacing w:line="560" w:lineRule="exact"/>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指标名称</w:t>
            </w:r>
          </w:p>
        </w:tc>
        <w:tc>
          <w:tcPr>
            <w:tcW w:w="3351" w:type="dxa"/>
          </w:tcPr>
          <w:p w14:paraId="1807BC9C">
            <w:pPr>
              <w:spacing w:line="560" w:lineRule="exact"/>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披露细项</w:t>
            </w:r>
          </w:p>
        </w:tc>
        <w:tc>
          <w:tcPr>
            <w:tcW w:w="1617" w:type="dxa"/>
          </w:tcPr>
          <w:p w14:paraId="0371149A">
            <w:pPr>
              <w:spacing w:line="560" w:lineRule="exact"/>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总量</w:t>
            </w:r>
          </w:p>
        </w:tc>
        <w:tc>
          <w:tcPr>
            <w:tcW w:w="1617" w:type="dxa"/>
          </w:tcPr>
          <w:p w14:paraId="704924EC">
            <w:pPr>
              <w:spacing w:line="560" w:lineRule="exact"/>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人均</w:t>
            </w:r>
          </w:p>
        </w:tc>
      </w:tr>
      <w:tr w14:paraId="6908B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exact"/>
        </w:trPr>
        <w:tc>
          <w:tcPr>
            <w:tcW w:w="1937" w:type="dxa"/>
            <w:vMerge w:val="restart"/>
            <w:vAlign w:val="center"/>
          </w:tcPr>
          <w:p w14:paraId="78CE5483">
            <w:pPr>
              <w:spacing w:line="56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报告年度内经营活动产生的资源消耗</w:t>
            </w:r>
          </w:p>
        </w:tc>
        <w:tc>
          <w:tcPr>
            <w:tcW w:w="3351" w:type="dxa"/>
            <w:vAlign w:val="center"/>
          </w:tcPr>
          <w:p w14:paraId="776C27CA">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自有交通运输工具消耗燃油（升）</w:t>
            </w:r>
          </w:p>
        </w:tc>
        <w:tc>
          <w:tcPr>
            <w:tcW w:w="1617" w:type="dxa"/>
          </w:tcPr>
          <w:p w14:paraId="69203679">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4536.87</w:t>
            </w:r>
          </w:p>
        </w:tc>
        <w:tc>
          <w:tcPr>
            <w:tcW w:w="1617" w:type="dxa"/>
          </w:tcPr>
          <w:p w14:paraId="5BC1F4D6">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14.45</w:t>
            </w:r>
          </w:p>
        </w:tc>
      </w:tr>
      <w:tr w14:paraId="4CCE7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exact"/>
        </w:trPr>
        <w:tc>
          <w:tcPr>
            <w:tcW w:w="1937" w:type="dxa"/>
            <w:vMerge w:val="continue"/>
          </w:tcPr>
          <w:p w14:paraId="78E385C7">
            <w:pPr>
              <w:spacing w:line="560" w:lineRule="exact"/>
              <w:rPr>
                <w:rFonts w:ascii="仿宋_GB2312" w:hAnsi="仿宋_GB2312" w:eastAsia="仿宋_GB2312" w:cs="仿宋_GB2312"/>
                <w:sz w:val="28"/>
                <w:szCs w:val="28"/>
              </w:rPr>
            </w:pPr>
          </w:p>
        </w:tc>
        <w:tc>
          <w:tcPr>
            <w:tcW w:w="3351" w:type="dxa"/>
            <w:vAlign w:val="center"/>
          </w:tcPr>
          <w:p w14:paraId="769F938A">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营业办公消耗电力（万千瓦时）</w:t>
            </w:r>
          </w:p>
        </w:tc>
        <w:tc>
          <w:tcPr>
            <w:tcW w:w="1617" w:type="dxa"/>
          </w:tcPr>
          <w:p w14:paraId="4079106C">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123.84</w:t>
            </w:r>
          </w:p>
        </w:tc>
        <w:tc>
          <w:tcPr>
            <w:tcW w:w="1617" w:type="dxa"/>
          </w:tcPr>
          <w:p w14:paraId="3D1AD06F">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0.39</w:t>
            </w:r>
          </w:p>
        </w:tc>
      </w:tr>
      <w:tr w14:paraId="72A59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exact"/>
        </w:trPr>
        <w:tc>
          <w:tcPr>
            <w:tcW w:w="1937" w:type="dxa"/>
            <w:vMerge w:val="continue"/>
          </w:tcPr>
          <w:p w14:paraId="1BE3950E">
            <w:pPr>
              <w:spacing w:line="560" w:lineRule="exact"/>
              <w:rPr>
                <w:rFonts w:ascii="仿宋_GB2312" w:hAnsi="仿宋_GB2312" w:eastAsia="仿宋_GB2312" w:cs="仿宋_GB2312"/>
                <w:sz w:val="28"/>
                <w:szCs w:val="28"/>
              </w:rPr>
            </w:pPr>
          </w:p>
        </w:tc>
        <w:tc>
          <w:tcPr>
            <w:tcW w:w="3351" w:type="dxa"/>
            <w:vAlign w:val="center"/>
          </w:tcPr>
          <w:p w14:paraId="64C69FBF">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营业办公消耗水（吨）</w:t>
            </w:r>
          </w:p>
        </w:tc>
        <w:tc>
          <w:tcPr>
            <w:tcW w:w="1617" w:type="dxa"/>
          </w:tcPr>
          <w:p w14:paraId="5F89591D">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18476.4</w:t>
            </w:r>
          </w:p>
        </w:tc>
        <w:tc>
          <w:tcPr>
            <w:tcW w:w="1617" w:type="dxa"/>
          </w:tcPr>
          <w:p w14:paraId="62337D5C">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58.84</w:t>
            </w:r>
          </w:p>
        </w:tc>
      </w:tr>
      <w:tr w14:paraId="4D584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exact"/>
        </w:trPr>
        <w:tc>
          <w:tcPr>
            <w:tcW w:w="1937" w:type="dxa"/>
            <w:vMerge w:val="continue"/>
          </w:tcPr>
          <w:p w14:paraId="2FB193AC">
            <w:pPr>
              <w:spacing w:line="560" w:lineRule="exact"/>
              <w:rPr>
                <w:rFonts w:ascii="仿宋_GB2312" w:hAnsi="仿宋_GB2312" w:eastAsia="仿宋_GB2312" w:cs="仿宋_GB2312"/>
                <w:sz w:val="28"/>
                <w:szCs w:val="28"/>
              </w:rPr>
            </w:pPr>
          </w:p>
        </w:tc>
        <w:tc>
          <w:tcPr>
            <w:tcW w:w="3351" w:type="dxa"/>
            <w:vAlign w:val="center"/>
          </w:tcPr>
          <w:p w14:paraId="035BE4AC">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营业办公消耗纸张（万张）</w:t>
            </w:r>
          </w:p>
        </w:tc>
        <w:tc>
          <w:tcPr>
            <w:tcW w:w="1617" w:type="dxa"/>
          </w:tcPr>
          <w:p w14:paraId="28FE387E">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308.2</w:t>
            </w:r>
          </w:p>
        </w:tc>
        <w:tc>
          <w:tcPr>
            <w:tcW w:w="1617" w:type="dxa"/>
          </w:tcPr>
          <w:p w14:paraId="6DC99B8D">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0.98</w:t>
            </w:r>
          </w:p>
        </w:tc>
      </w:tr>
    </w:tbl>
    <w:p w14:paraId="5F42F06D">
      <w:pPr>
        <w:spacing w:line="560" w:lineRule="exact"/>
        <w:ind w:firstLine="640" w:firstLineChars="200"/>
        <w:rPr>
          <w:rFonts w:hint="eastAsia" w:ascii="楷体_GB2312" w:hAnsi="楷体" w:eastAsia="楷体_GB2312" w:cs="楷体"/>
          <w:sz w:val="32"/>
          <w:szCs w:val="32"/>
        </w:rPr>
      </w:pPr>
      <w:r>
        <w:rPr>
          <w:rFonts w:hint="eastAsia" w:ascii="楷体_GB2312" w:hAnsi="楷体" w:eastAsia="楷体_GB2312" w:cs="楷体"/>
          <w:sz w:val="32"/>
          <w:szCs w:val="32"/>
        </w:rPr>
        <w:t>（二）环保措施及成果</w:t>
      </w:r>
    </w:p>
    <w:p w14:paraId="47989676">
      <w:pPr>
        <w:pStyle w:val="8"/>
        <w:spacing w:line="560" w:lineRule="exact"/>
        <w:ind w:left="0" w:leftChars="0" w:firstLine="640" w:firstLineChars="200"/>
        <w:rPr>
          <w:rFonts w:ascii="仿宋_GB2312" w:hAnsi="仿宋_GB2312" w:eastAsia="仿宋_GB2312" w:cs="仿宋_GB2312"/>
          <w:b/>
          <w:bCs/>
          <w:kern w:val="0"/>
          <w:sz w:val="32"/>
          <w:szCs w:val="32"/>
          <w:u w:color="000000"/>
          <w:lang w:val="zh-TW"/>
        </w:rPr>
      </w:pPr>
      <w:r>
        <w:rPr>
          <w:rFonts w:hint="eastAsia" w:ascii="仿宋_GB2312" w:hAnsi="仿宋_GB2312" w:eastAsia="仿宋_GB2312" w:cs="仿宋_GB2312"/>
          <w:sz w:val="32"/>
          <w:szCs w:val="32"/>
        </w:rPr>
        <w:t>积极打造绿色低碳办公氛围。加强节能降耗管理，提高能源利用效率，实现节能降耗、保护环境、降本增效的可持续发展目标，倡导全体员工在办公活动中节约资源，减少水、电、纸、油等能源的直接和间接损耗，提高能源效率和保护环境严格遵守环境保护相关法律法规。</w:t>
      </w:r>
    </w:p>
    <w:p w14:paraId="3871E19C">
      <w:pPr>
        <w:pStyle w:val="15"/>
        <w:tabs>
          <w:tab w:val="left" w:pos="949"/>
        </w:tabs>
        <w:spacing w:line="560" w:lineRule="exact"/>
        <w:jc w:val="center"/>
        <w:rPr>
          <w:rFonts w:ascii="仿宋_GB2312" w:hAnsi="仿宋_GB2312" w:eastAsia="仿宋_GB2312" w:cs="仿宋_GB2312"/>
          <w:color w:val="auto"/>
          <w:kern w:val="0"/>
          <w:sz w:val="32"/>
          <w:szCs w:val="32"/>
          <w:lang w:val="zh-TW"/>
        </w:rPr>
      </w:pPr>
      <w:r>
        <w:rPr>
          <w:rFonts w:hint="eastAsia" w:ascii="仿宋_GB2312" w:hAnsi="仿宋_GB2312" w:eastAsia="仿宋_GB2312" w:cs="仿宋_GB2312"/>
          <w:color w:val="auto"/>
          <w:kern w:val="0"/>
          <w:sz w:val="32"/>
          <w:szCs w:val="32"/>
          <w:lang w:val="zh-TW"/>
        </w:rPr>
        <w:t>表3：环保措施及成果</w:t>
      </w:r>
    </w:p>
    <w:tbl>
      <w:tblPr>
        <w:tblStyle w:val="13"/>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78"/>
        <w:gridCol w:w="4668"/>
        <w:gridCol w:w="2225"/>
      </w:tblGrid>
      <w:tr w14:paraId="7CE1F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178" w:type="dxa"/>
          </w:tcPr>
          <w:p w14:paraId="29333054">
            <w:pPr>
              <w:spacing w:line="560" w:lineRule="exact"/>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管理内容</w:t>
            </w:r>
          </w:p>
        </w:tc>
        <w:tc>
          <w:tcPr>
            <w:tcW w:w="4668" w:type="dxa"/>
          </w:tcPr>
          <w:p w14:paraId="63211C49">
            <w:pPr>
              <w:spacing w:line="560" w:lineRule="exact"/>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管理措施</w:t>
            </w:r>
          </w:p>
        </w:tc>
        <w:tc>
          <w:tcPr>
            <w:tcW w:w="2225" w:type="dxa"/>
          </w:tcPr>
          <w:p w14:paraId="75595510">
            <w:pPr>
              <w:spacing w:line="560" w:lineRule="exact"/>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执行效果</w:t>
            </w:r>
          </w:p>
        </w:tc>
      </w:tr>
      <w:tr w14:paraId="2FFA4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0" w:hRule="exact"/>
          <w:jc w:val="center"/>
        </w:trPr>
        <w:tc>
          <w:tcPr>
            <w:tcW w:w="2178" w:type="dxa"/>
          </w:tcPr>
          <w:p w14:paraId="695F10FA">
            <w:pPr>
              <w:spacing w:line="56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节电管理</w:t>
            </w:r>
          </w:p>
        </w:tc>
        <w:tc>
          <w:tcPr>
            <w:tcW w:w="4668" w:type="dxa"/>
          </w:tcPr>
          <w:p w14:paraId="3ED67F73">
            <w:pPr>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加强对照明设备、空调、办公室设备等电器设备的管理，要求本行全体员工根据实际内、外部情况按需使用，及时对各个设施更新换代，积极使用节电设备。</w:t>
            </w:r>
          </w:p>
        </w:tc>
        <w:tc>
          <w:tcPr>
            <w:tcW w:w="2225" w:type="dxa"/>
          </w:tcPr>
          <w:p w14:paraId="18127E8B">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提高能源效率。</w:t>
            </w:r>
          </w:p>
          <w:p w14:paraId="62A5CE9E">
            <w:pPr>
              <w:spacing w:line="560" w:lineRule="exact"/>
              <w:rPr>
                <w:rFonts w:ascii="仿宋_GB2312" w:hAnsi="仿宋_GB2312" w:eastAsia="仿宋_GB2312" w:cs="仿宋_GB2312"/>
                <w:sz w:val="28"/>
                <w:szCs w:val="28"/>
              </w:rPr>
            </w:pPr>
          </w:p>
        </w:tc>
      </w:tr>
      <w:tr w14:paraId="0FEA4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1" w:hRule="exact"/>
          <w:jc w:val="center"/>
        </w:trPr>
        <w:tc>
          <w:tcPr>
            <w:tcW w:w="2178" w:type="dxa"/>
          </w:tcPr>
          <w:p w14:paraId="28A6B6BD">
            <w:pPr>
              <w:spacing w:line="56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节水管理</w:t>
            </w:r>
          </w:p>
        </w:tc>
        <w:tc>
          <w:tcPr>
            <w:tcW w:w="4668" w:type="dxa"/>
          </w:tcPr>
          <w:p w14:paraId="1468C3C8">
            <w:pPr>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规范水龙头、饮用水、用水设备等设施的使用，加强水资源管理，对行内员工提出合理用水的要求</w:t>
            </w:r>
          </w:p>
        </w:tc>
        <w:tc>
          <w:tcPr>
            <w:tcW w:w="2225" w:type="dxa"/>
          </w:tcPr>
          <w:p w14:paraId="58CD289D">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减少水资源的不必要消耗。</w:t>
            </w:r>
          </w:p>
        </w:tc>
      </w:tr>
      <w:tr w14:paraId="676ED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8" w:hRule="exact"/>
          <w:jc w:val="center"/>
        </w:trPr>
        <w:tc>
          <w:tcPr>
            <w:tcW w:w="2178" w:type="dxa"/>
          </w:tcPr>
          <w:p w14:paraId="59042970">
            <w:pPr>
              <w:spacing w:line="56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节材管理</w:t>
            </w:r>
          </w:p>
        </w:tc>
        <w:tc>
          <w:tcPr>
            <w:tcW w:w="4668" w:type="dxa"/>
          </w:tcPr>
          <w:p w14:paraId="119DE824">
            <w:pPr>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积极响应垃圾分类、可回收资源再利用等政策号召，推广无纸化办公，倡导员工合理规划，节约用纸,减少纸张使用频率，提高纸张使用效率。</w:t>
            </w:r>
          </w:p>
        </w:tc>
        <w:tc>
          <w:tcPr>
            <w:tcW w:w="2225" w:type="dxa"/>
          </w:tcPr>
          <w:p w14:paraId="17E5D4CA">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提高低值易耗品使用率。</w:t>
            </w:r>
          </w:p>
        </w:tc>
      </w:tr>
      <w:tr w14:paraId="7D501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exact"/>
          <w:jc w:val="center"/>
        </w:trPr>
        <w:tc>
          <w:tcPr>
            <w:tcW w:w="2178" w:type="dxa"/>
          </w:tcPr>
          <w:p w14:paraId="3C862234">
            <w:pPr>
              <w:spacing w:line="56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节油管理</w:t>
            </w:r>
          </w:p>
        </w:tc>
        <w:tc>
          <w:tcPr>
            <w:tcW w:w="4668" w:type="dxa"/>
          </w:tcPr>
          <w:p w14:paraId="31FDB522">
            <w:pPr>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严格执行国家相关规定，加强全行范围内的车辆管理及燃油管理，同时加强员工宣传教育，倡导绿色出行。</w:t>
            </w:r>
          </w:p>
        </w:tc>
        <w:tc>
          <w:tcPr>
            <w:tcW w:w="2225" w:type="dxa"/>
          </w:tcPr>
          <w:p w14:paraId="1127FDC5">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提高节能减排成效。</w:t>
            </w:r>
          </w:p>
        </w:tc>
      </w:tr>
      <w:tr w14:paraId="0024F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4" w:hRule="exact"/>
          <w:jc w:val="center"/>
        </w:trPr>
        <w:tc>
          <w:tcPr>
            <w:tcW w:w="2178" w:type="dxa"/>
          </w:tcPr>
          <w:p w14:paraId="02251D8F">
            <w:pPr>
              <w:spacing w:line="56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节粮管理</w:t>
            </w:r>
          </w:p>
        </w:tc>
        <w:tc>
          <w:tcPr>
            <w:tcW w:w="4668" w:type="dxa"/>
          </w:tcPr>
          <w:p w14:paraId="3A123999">
            <w:pPr>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鼓励员工文明餐饮,树牢节约意识,开展光盘行动，自觉践行绿色健康生活方式，在办公及日常生活中节约能源、保护环境,弘扬崇俭抑奢的正能量。</w:t>
            </w:r>
          </w:p>
        </w:tc>
        <w:tc>
          <w:tcPr>
            <w:tcW w:w="2225" w:type="dxa"/>
          </w:tcPr>
          <w:p w14:paraId="4A5D3173">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提高节约意识。</w:t>
            </w:r>
          </w:p>
        </w:tc>
      </w:tr>
    </w:tbl>
    <w:p w14:paraId="2B344C63">
      <w:pPr>
        <w:pStyle w:val="15"/>
        <w:tabs>
          <w:tab w:val="left" w:pos="949"/>
        </w:tabs>
        <w:spacing w:line="560" w:lineRule="exact"/>
        <w:jc w:val="center"/>
        <w:rPr>
          <w:rFonts w:ascii="仿宋_GB2312" w:hAnsi="仿宋_GB2312" w:eastAsia="仿宋_GB2312" w:cs="仿宋_GB2312"/>
          <w:color w:val="auto"/>
          <w:kern w:val="0"/>
          <w:sz w:val="32"/>
          <w:szCs w:val="32"/>
          <w:lang w:val="zh-TW"/>
        </w:rPr>
      </w:pPr>
      <w:r>
        <w:rPr>
          <w:rFonts w:hint="eastAsia" w:ascii="仿宋_GB2312" w:hAnsi="仿宋_GB2312" w:eastAsia="仿宋_GB2312" w:cs="仿宋_GB2312"/>
          <w:color w:val="auto"/>
          <w:kern w:val="0"/>
          <w:sz w:val="32"/>
          <w:szCs w:val="32"/>
          <w:lang w:val="zh-TW"/>
        </w:rPr>
        <w:t>表4：环保活动开展情况</w:t>
      </w:r>
    </w:p>
    <w:tbl>
      <w:tblPr>
        <w:tblStyle w:val="13"/>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6"/>
        <w:gridCol w:w="1717"/>
        <w:gridCol w:w="1717"/>
        <w:gridCol w:w="1718"/>
        <w:gridCol w:w="2203"/>
      </w:tblGrid>
      <w:tr w14:paraId="3FBC1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exact"/>
          <w:jc w:val="center"/>
        </w:trPr>
        <w:tc>
          <w:tcPr>
            <w:tcW w:w="1704" w:type="dxa"/>
          </w:tcPr>
          <w:p w14:paraId="3D1C59EB">
            <w:pPr>
              <w:spacing w:line="560" w:lineRule="exact"/>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活动主题</w:t>
            </w:r>
          </w:p>
        </w:tc>
        <w:tc>
          <w:tcPr>
            <w:tcW w:w="1704" w:type="dxa"/>
          </w:tcPr>
          <w:p w14:paraId="7E6F08EC">
            <w:pPr>
              <w:spacing w:line="560" w:lineRule="exact"/>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活动形式</w:t>
            </w:r>
          </w:p>
        </w:tc>
        <w:tc>
          <w:tcPr>
            <w:tcW w:w="1704" w:type="dxa"/>
          </w:tcPr>
          <w:p w14:paraId="753C7304">
            <w:pPr>
              <w:spacing w:line="560" w:lineRule="exact"/>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参与人数</w:t>
            </w:r>
          </w:p>
        </w:tc>
        <w:tc>
          <w:tcPr>
            <w:tcW w:w="1705" w:type="dxa"/>
          </w:tcPr>
          <w:p w14:paraId="2A2EEAF8">
            <w:pPr>
              <w:spacing w:line="560" w:lineRule="exact"/>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举办次数</w:t>
            </w:r>
          </w:p>
        </w:tc>
        <w:tc>
          <w:tcPr>
            <w:tcW w:w="2186" w:type="dxa"/>
          </w:tcPr>
          <w:p w14:paraId="0694D50B">
            <w:pPr>
              <w:spacing w:line="560" w:lineRule="exact"/>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社会影响</w:t>
            </w:r>
          </w:p>
        </w:tc>
      </w:tr>
      <w:tr w14:paraId="34771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exact"/>
          <w:jc w:val="center"/>
        </w:trPr>
        <w:tc>
          <w:tcPr>
            <w:tcW w:w="1704" w:type="dxa"/>
            <w:vAlign w:val="center"/>
          </w:tcPr>
          <w:p w14:paraId="7A7F0509">
            <w:pPr>
              <w:spacing w:line="36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环保行动</w:t>
            </w:r>
            <w:r>
              <w:rPr>
                <w:rFonts w:hint="eastAsia" w:ascii="仿宋_GB2312" w:hAnsi="仿宋_GB2312" w:eastAsia="仿宋_GB2312" w:cs="仿宋_GB2312"/>
                <w:sz w:val="28"/>
                <w:szCs w:val="28"/>
              </w:rPr>
              <w:br w:type="textWrapping"/>
            </w:r>
            <w:r>
              <w:rPr>
                <w:rFonts w:hint="eastAsia" w:ascii="仿宋_GB2312" w:hAnsi="仿宋_GB2312" w:eastAsia="仿宋_GB2312" w:cs="仿宋_GB2312"/>
                <w:sz w:val="28"/>
                <w:szCs w:val="28"/>
              </w:rPr>
              <w:t>守护家园</w:t>
            </w:r>
          </w:p>
        </w:tc>
        <w:tc>
          <w:tcPr>
            <w:tcW w:w="1704" w:type="dxa"/>
            <w:vAlign w:val="center"/>
          </w:tcPr>
          <w:p w14:paraId="6B209D54">
            <w:pPr>
              <w:spacing w:line="36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现场</w:t>
            </w:r>
          </w:p>
        </w:tc>
        <w:tc>
          <w:tcPr>
            <w:tcW w:w="1704" w:type="dxa"/>
            <w:vAlign w:val="center"/>
          </w:tcPr>
          <w:p w14:paraId="2A93B381">
            <w:pPr>
              <w:spacing w:line="36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480</w:t>
            </w:r>
          </w:p>
        </w:tc>
        <w:tc>
          <w:tcPr>
            <w:tcW w:w="1705" w:type="dxa"/>
            <w:vAlign w:val="center"/>
          </w:tcPr>
          <w:p w14:paraId="33FE9AF7">
            <w:pPr>
              <w:spacing w:line="36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2</w:t>
            </w:r>
          </w:p>
        </w:tc>
        <w:tc>
          <w:tcPr>
            <w:tcW w:w="2186" w:type="dxa"/>
            <w:vAlign w:val="center"/>
          </w:tcPr>
          <w:p w14:paraId="22B9885F">
            <w:pPr>
              <w:spacing w:line="360" w:lineRule="exact"/>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提高环保意识，养成环保生活习惯</w:t>
            </w:r>
          </w:p>
        </w:tc>
      </w:tr>
    </w:tbl>
    <w:p w14:paraId="4D2060AF">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七、投融资活动对气候与环境的影响</w:t>
      </w:r>
    </w:p>
    <w:p w14:paraId="53E277DC">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自2025年以来，我社从顶层设计、产品体系、管理配套、运营优化等方面着手加快布局，逐步完善各项体制机制建设，做大业务规模和客户数量，提升绿色金融贷款占比。截至2025年末，我社绿色信贷户数17户余额12325.68万元。</w:t>
      </w:r>
    </w:p>
    <w:p w14:paraId="0928821D">
      <w:pPr>
        <w:spacing w:line="560" w:lineRule="exact"/>
        <w:ind w:firstLine="640" w:firstLineChars="200"/>
        <w:jc w:val="center"/>
        <w:rPr>
          <w:rFonts w:ascii="仿宋_GB2312" w:hAnsi="仿宋_GB2312" w:eastAsia="仿宋_GB2312" w:cs="仿宋_GB2312"/>
          <w:kern w:val="0"/>
          <w:sz w:val="32"/>
          <w:szCs w:val="32"/>
          <w:u w:color="000000"/>
          <w:lang w:val="zh-TW"/>
        </w:rPr>
      </w:pPr>
      <w:r>
        <w:rPr>
          <w:rFonts w:hint="eastAsia" w:ascii="仿宋_GB2312" w:hAnsi="仿宋_GB2312" w:eastAsia="仿宋_GB2312" w:cs="仿宋_GB2312"/>
          <w:kern w:val="0"/>
          <w:sz w:val="32"/>
          <w:szCs w:val="32"/>
          <w:u w:color="000000"/>
          <w:lang w:val="zh-TW"/>
        </w:rPr>
        <w:t>表5：投融资活动对气候与环境的影响</w:t>
      </w:r>
    </w:p>
    <w:tbl>
      <w:tblPr>
        <w:tblStyle w:val="13"/>
        <w:tblpPr w:leftFromText="180" w:rightFromText="180" w:vertAnchor="text" w:horzAnchor="page" w:tblpXSpec="center" w:tblpY="198"/>
        <w:tblOverlap w:val="never"/>
        <w:tblW w:w="9071"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0" w:type="dxa"/>
          <w:bottom w:w="0" w:type="dxa"/>
          <w:right w:w="0" w:type="dxa"/>
        </w:tblCellMar>
      </w:tblPr>
      <w:tblGrid>
        <w:gridCol w:w="2933"/>
        <w:gridCol w:w="3122"/>
        <w:gridCol w:w="2061"/>
        <w:gridCol w:w="955"/>
      </w:tblGrid>
      <w:tr w14:paraId="2F5BFB3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722" w:hRule="exact"/>
          <w:jc w:val="center"/>
        </w:trPr>
        <w:tc>
          <w:tcPr>
            <w:tcW w:w="2916" w:type="dxa"/>
            <w:tcBorders>
              <w:bottom w:val="single" w:color="auto" w:sz="4" w:space="0"/>
              <w:right w:val="single" w:color="auto" w:sz="4" w:space="0"/>
            </w:tcBorders>
            <w:vAlign w:val="center"/>
          </w:tcPr>
          <w:p w14:paraId="64939AA2">
            <w:pPr>
              <w:spacing w:line="360" w:lineRule="exact"/>
              <w:jc w:val="center"/>
              <w:rPr>
                <w:rFonts w:ascii="仿宋_GB2312" w:hAnsi="仿宋_GB2312" w:eastAsia="仿宋_GB2312" w:cs="仿宋_GB2312"/>
                <w:b/>
                <w:bCs/>
                <w:sz w:val="32"/>
                <w:szCs w:val="32"/>
              </w:rPr>
            </w:pPr>
            <w:bookmarkStart w:id="0" w:name="RANGE!A1"/>
            <w:r>
              <w:rPr>
                <w:rFonts w:hint="eastAsia" w:ascii="仿宋_GB2312" w:hAnsi="仿宋_GB2312" w:eastAsia="仿宋_GB2312" w:cs="仿宋_GB2312"/>
                <w:b/>
                <w:bCs/>
                <w:sz w:val="32"/>
                <w:szCs w:val="32"/>
                <w:lang w:eastAsia="zh-TW"/>
              </w:rPr>
              <w:t>指标名称</w:t>
            </w:r>
            <w:bookmarkEnd w:id="0"/>
          </w:p>
        </w:tc>
        <w:tc>
          <w:tcPr>
            <w:tcW w:w="3105" w:type="dxa"/>
            <w:tcBorders>
              <w:left w:val="nil"/>
              <w:bottom w:val="single" w:color="auto" w:sz="4" w:space="0"/>
              <w:right w:val="single" w:color="auto" w:sz="4" w:space="0"/>
            </w:tcBorders>
            <w:vAlign w:val="center"/>
          </w:tcPr>
          <w:p w14:paraId="16010EE6">
            <w:pPr>
              <w:spacing w:line="360" w:lineRule="exact"/>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TW"/>
              </w:rPr>
              <w:t>披露细项</w:t>
            </w:r>
          </w:p>
        </w:tc>
        <w:tc>
          <w:tcPr>
            <w:tcW w:w="2050" w:type="dxa"/>
            <w:tcBorders>
              <w:left w:val="nil"/>
              <w:bottom w:val="single" w:color="auto" w:sz="4" w:space="0"/>
              <w:right w:val="single" w:color="auto" w:sz="4" w:space="0"/>
            </w:tcBorders>
          </w:tcPr>
          <w:p w14:paraId="1F9DCF18">
            <w:pPr>
              <w:jc w:val="center"/>
              <w:rPr>
                <w:rFonts w:ascii="仿宋_GB2312" w:hAnsi="仿宋_GB2312" w:eastAsia="仿宋_GB2312" w:cs="仿宋_GB2312"/>
                <w:b/>
                <w:bCs/>
                <w:sz w:val="32"/>
                <w:szCs w:val="32"/>
                <w:lang w:eastAsia="zh-TW"/>
              </w:rPr>
            </w:pPr>
            <w:r>
              <w:rPr>
                <w:rFonts w:hint="eastAsia" w:ascii="仿宋_GB2312" w:hAnsi="仿宋_GB2312" w:eastAsia="仿宋_GB2312" w:cs="仿宋_GB2312"/>
                <w:b/>
                <w:bCs/>
                <w:sz w:val="32"/>
                <w:szCs w:val="32"/>
                <w:lang w:eastAsia="zh-TW"/>
              </w:rPr>
              <w:t>披露数据</w:t>
            </w:r>
          </w:p>
        </w:tc>
        <w:tc>
          <w:tcPr>
            <w:tcW w:w="950" w:type="dxa"/>
            <w:tcBorders>
              <w:left w:val="nil"/>
              <w:bottom w:val="single" w:color="auto" w:sz="4" w:space="0"/>
            </w:tcBorders>
          </w:tcPr>
          <w:p w14:paraId="4F5BAF7A">
            <w:pPr>
              <w:jc w:val="center"/>
              <w:rPr>
                <w:rFonts w:ascii="仿宋_GB2312" w:hAnsi="仿宋_GB2312" w:eastAsia="仿宋_GB2312" w:cs="仿宋_GB2312"/>
                <w:b/>
                <w:bCs/>
                <w:sz w:val="32"/>
                <w:szCs w:val="32"/>
                <w:lang w:eastAsia="zh-TW"/>
              </w:rPr>
            </w:pPr>
            <w:r>
              <w:rPr>
                <w:rFonts w:hint="eastAsia" w:ascii="仿宋_GB2312" w:hAnsi="仿宋_GB2312" w:eastAsia="仿宋_GB2312" w:cs="仿宋_GB2312"/>
                <w:b/>
                <w:bCs/>
                <w:sz w:val="32"/>
                <w:szCs w:val="32"/>
                <w:lang w:eastAsia="zh-TW"/>
              </w:rPr>
              <w:t>备注</w:t>
            </w:r>
          </w:p>
        </w:tc>
      </w:tr>
      <w:tr w14:paraId="03F807F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560" w:hRule="atLeast"/>
          <w:jc w:val="center"/>
        </w:trPr>
        <w:tc>
          <w:tcPr>
            <w:tcW w:w="2916" w:type="dxa"/>
            <w:vMerge w:val="restart"/>
            <w:tcBorders>
              <w:top w:val="nil"/>
              <w:bottom w:val="single" w:color="auto" w:sz="4" w:space="0"/>
              <w:right w:val="single" w:color="auto" w:sz="4" w:space="0"/>
            </w:tcBorders>
            <w:vAlign w:val="center"/>
          </w:tcPr>
          <w:p w14:paraId="33C9FA75">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eastAsia="zh-TW"/>
              </w:rPr>
              <w:t>绿色</w:t>
            </w:r>
            <w:r>
              <w:rPr>
                <w:rFonts w:hint="eastAsia" w:ascii="仿宋_GB2312" w:hAnsi="仿宋_GB2312" w:eastAsia="仿宋_GB2312" w:cs="仿宋_GB2312"/>
                <w:sz w:val="28"/>
                <w:szCs w:val="28"/>
              </w:rPr>
              <w:t>贷款</w:t>
            </w:r>
            <w:r>
              <w:rPr>
                <w:rFonts w:hint="eastAsia" w:ascii="仿宋_GB2312" w:hAnsi="仿宋_GB2312" w:eastAsia="仿宋_GB2312" w:cs="仿宋_GB2312"/>
                <w:sz w:val="28"/>
                <w:szCs w:val="28"/>
                <w:lang w:eastAsia="zh-TW"/>
              </w:rPr>
              <w:t>余额及占比</w:t>
            </w:r>
          </w:p>
        </w:tc>
        <w:tc>
          <w:tcPr>
            <w:tcW w:w="3105" w:type="dxa"/>
            <w:tcBorders>
              <w:top w:val="nil"/>
              <w:left w:val="nil"/>
              <w:bottom w:val="single" w:color="auto" w:sz="4" w:space="0"/>
              <w:right w:val="single" w:color="auto" w:sz="4" w:space="0"/>
            </w:tcBorders>
            <w:vAlign w:val="center"/>
          </w:tcPr>
          <w:p w14:paraId="084F69D0">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eastAsia="zh-TW"/>
              </w:rPr>
              <w:t>绿色</w:t>
            </w:r>
            <w:r>
              <w:rPr>
                <w:rFonts w:hint="eastAsia" w:ascii="仿宋_GB2312" w:hAnsi="仿宋_GB2312" w:eastAsia="仿宋_GB2312" w:cs="仿宋_GB2312"/>
                <w:sz w:val="28"/>
                <w:szCs w:val="28"/>
              </w:rPr>
              <w:t>贷款</w:t>
            </w:r>
            <w:r>
              <w:rPr>
                <w:rFonts w:hint="eastAsia" w:ascii="仿宋_GB2312" w:hAnsi="仿宋_GB2312" w:eastAsia="仿宋_GB2312" w:cs="仿宋_GB2312"/>
                <w:sz w:val="28"/>
                <w:szCs w:val="28"/>
                <w:lang w:eastAsia="zh-TW"/>
              </w:rPr>
              <w:t>余额（万元）</w:t>
            </w:r>
          </w:p>
        </w:tc>
        <w:tc>
          <w:tcPr>
            <w:tcW w:w="2050" w:type="dxa"/>
            <w:tcBorders>
              <w:top w:val="single" w:color="auto" w:sz="4" w:space="0"/>
              <w:left w:val="nil"/>
              <w:bottom w:val="single" w:color="auto" w:sz="4" w:space="0"/>
              <w:right w:val="single" w:color="auto" w:sz="4" w:space="0"/>
            </w:tcBorders>
            <w:vAlign w:val="center"/>
          </w:tcPr>
          <w:p w14:paraId="5E27F5D0">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12325.68</w:t>
            </w:r>
          </w:p>
        </w:tc>
        <w:tc>
          <w:tcPr>
            <w:tcW w:w="950" w:type="dxa"/>
            <w:tcBorders>
              <w:top w:val="nil"/>
              <w:left w:val="nil"/>
              <w:bottom w:val="single" w:color="auto" w:sz="4" w:space="0"/>
            </w:tcBorders>
          </w:tcPr>
          <w:p w14:paraId="47281132">
            <w:pPr>
              <w:spacing w:line="560" w:lineRule="exact"/>
              <w:jc w:val="center"/>
              <w:rPr>
                <w:rFonts w:ascii="仿宋_GB2312" w:hAnsi="仿宋_GB2312" w:eastAsia="仿宋_GB2312" w:cs="仿宋_GB2312"/>
                <w:b/>
                <w:bCs/>
                <w:sz w:val="28"/>
                <w:szCs w:val="28"/>
              </w:rPr>
            </w:pPr>
          </w:p>
        </w:tc>
      </w:tr>
      <w:tr w14:paraId="509A047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560" w:hRule="atLeast"/>
          <w:jc w:val="center"/>
        </w:trPr>
        <w:tc>
          <w:tcPr>
            <w:tcW w:w="2916" w:type="dxa"/>
            <w:vMerge w:val="continue"/>
            <w:tcBorders>
              <w:top w:val="nil"/>
              <w:bottom w:val="single" w:color="auto" w:sz="4" w:space="0"/>
              <w:right w:val="single" w:color="auto" w:sz="4" w:space="0"/>
            </w:tcBorders>
            <w:vAlign w:val="center"/>
          </w:tcPr>
          <w:p w14:paraId="7DD5655C">
            <w:pPr>
              <w:spacing w:line="560" w:lineRule="exact"/>
              <w:rPr>
                <w:rFonts w:ascii="仿宋_GB2312" w:hAnsi="仿宋_GB2312" w:eastAsia="仿宋_GB2312" w:cs="仿宋_GB2312"/>
                <w:sz w:val="28"/>
                <w:szCs w:val="28"/>
              </w:rPr>
            </w:pPr>
          </w:p>
        </w:tc>
        <w:tc>
          <w:tcPr>
            <w:tcW w:w="3105" w:type="dxa"/>
            <w:tcBorders>
              <w:top w:val="nil"/>
              <w:left w:val="nil"/>
              <w:bottom w:val="single" w:color="auto" w:sz="4" w:space="0"/>
              <w:right w:val="single" w:color="auto" w:sz="4" w:space="0"/>
            </w:tcBorders>
            <w:vAlign w:val="center"/>
          </w:tcPr>
          <w:p w14:paraId="5DD5E441">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各项贷款余额（万元）</w:t>
            </w:r>
          </w:p>
        </w:tc>
        <w:tc>
          <w:tcPr>
            <w:tcW w:w="2050" w:type="dxa"/>
            <w:tcBorders>
              <w:top w:val="single" w:color="auto" w:sz="4" w:space="0"/>
              <w:left w:val="nil"/>
              <w:bottom w:val="single" w:color="auto" w:sz="4" w:space="0"/>
              <w:right w:val="single" w:color="auto" w:sz="4" w:space="0"/>
            </w:tcBorders>
            <w:vAlign w:val="center"/>
          </w:tcPr>
          <w:p w14:paraId="68BB4935">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1163982.738214</w:t>
            </w:r>
          </w:p>
        </w:tc>
        <w:tc>
          <w:tcPr>
            <w:tcW w:w="950" w:type="dxa"/>
            <w:tcBorders>
              <w:top w:val="nil"/>
              <w:left w:val="nil"/>
              <w:bottom w:val="single" w:color="auto" w:sz="4" w:space="0"/>
            </w:tcBorders>
          </w:tcPr>
          <w:p w14:paraId="19143133">
            <w:pPr>
              <w:spacing w:line="560" w:lineRule="exact"/>
              <w:jc w:val="center"/>
              <w:rPr>
                <w:rFonts w:ascii="仿宋_GB2312" w:hAnsi="仿宋_GB2312" w:eastAsia="仿宋_GB2312" w:cs="仿宋_GB2312"/>
                <w:b/>
                <w:bCs/>
                <w:sz w:val="28"/>
                <w:szCs w:val="28"/>
              </w:rPr>
            </w:pPr>
          </w:p>
        </w:tc>
      </w:tr>
      <w:tr w14:paraId="53F549E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560" w:hRule="atLeast"/>
          <w:jc w:val="center"/>
        </w:trPr>
        <w:tc>
          <w:tcPr>
            <w:tcW w:w="2916" w:type="dxa"/>
            <w:vMerge w:val="continue"/>
            <w:tcBorders>
              <w:top w:val="nil"/>
              <w:bottom w:val="single" w:color="auto" w:sz="4" w:space="0"/>
              <w:right w:val="single" w:color="auto" w:sz="4" w:space="0"/>
            </w:tcBorders>
            <w:vAlign w:val="center"/>
          </w:tcPr>
          <w:p w14:paraId="7D5D6757">
            <w:pPr>
              <w:spacing w:line="560" w:lineRule="exact"/>
              <w:rPr>
                <w:rFonts w:ascii="仿宋_GB2312" w:hAnsi="仿宋_GB2312" w:eastAsia="仿宋_GB2312" w:cs="仿宋_GB2312"/>
                <w:sz w:val="28"/>
                <w:szCs w:val="28"/>
              </w:rPr>
            </w:pPr>
          </w:p>
        </w:tc>
        <w:tc>
          <w:tcPr>
            <w:tcW w:w="3105" w:type="dxa"/>
            <w:tcBorders>
              <w:top w:val="nil"/>
              <w:left w:val="nil"/>
              <w:bottom w:val="single" w:color="auto" w:sz="4" w:space="0"/>
              <w:right w:val="single" w:color="auto" w:sz="4" w:space="0"/>
            </w:tcBorders>
            <w:vAlign w:val="center"/>
          </w:tcPr>
          <w:p w14:paraId="6B72A1AD">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eastAsia="zh-TW"/>
              </w:rPr>
              <w:t>绿色</w:t>
            </w:r>
            <w:r>
              <w:rPr>
                <w:rFonts w:hint="eastAsia" w:ascii="仿宋_GB2312" w:hAnsi="仿宋_GB2312" w:eastAsia="仿宋_GB2312" w:cs="仿宋_GB2312"/>
                <w:sz w:val="28"/>
                <w:szCs w:val="28"/>
              </w:rPr>
              <w:t>贷款</w:t>
            </w:r>
            <w:r>
              <w:rPr>
                <w:rFonts w:hint="eastAsia" w:ascii="仿宋_GB2312" w:hAnsi="仿宋_GB2312" w:eastAsia="仿宋_GB2312" w:cs="仿宋_GB2312"/>
                <w:sz w:val="28"/>
                <w:szCs w:val="28"/>
                <w:lang w:eastAsia="zh-TW"/>
              </w:rPr>
              <w:t>占比（</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TW"/>
              </w:rPr>
              <w:t>）</w:t>
            </w:r>
          </w:p>
        </w:tc>
        <w:tc>
          <w:tcPr>
            <w:tcW w:w="2050" w:type="dxa"/>
            <w:tcBorders>
              <w:top w:val="single" w:color="auto" w:sz="4" w:space="0"/>
              <w:left w:val="nil"/>
              <w:bottom w:val="single" w:color="auto" w:sz="4" w:space="0"/>
              <w:right w:val="single" w:color="auto" w:sz="4" w:space="0"/>
            </w:tcBorders>
            <w:vAlign w:val="center"/>
          </w:tcPr>
          <w:p w14:paraId="61013CFA">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1.06</w:t>
            </w:r>
          </w:p>
        </w:tc>
        <w:tc>
          <w:tcPr>
            <w:tcW w:w="950" w:type="dxa"/>
            <w:tcBorders>
              <w:top w:val="nil"/>
              <w:left w:val="nil"/>
              <w:bottom w:val="single" w:color="auto" w:sz="4" w:space="0"/>
            </w:tcBorders>
          </w:tcPr>
          <w:p w14:paraId="5F35165F">
            <w:pPr>
              <w:spacing w:line="560" w:lineRule="exact"/>
              <w:jc w:val="center"/>
              <w:rPr>
                <w:rFonts w:ascii="仿宋_GB2312" w:hAnsi="仿宋_GB2312" w:eastAsia="仿宋_GB2312" w:cs="仿宋_GB2312"/>
                <w:b/>
                <w:bCs/>
                <w:sz w:val="28"/>
                <w:szCs w:val="28"/>
              </w:rPr>
            </w:pPr>
          </w:p>
        </w:tc>
      </w:tr>
      <w:tr w14:paraId="3398D59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056" w:hRule="exact"/>
          <w:jc w:val="center"/>
        </w:trPr>
        <w:tc>
          <w:tcPr>
            <w:tcW w:w="2916" w:type="dxa"/>
            <w:tcBorders>
              <w:top w:val="single" w:color="auto" w:sz="4" w:space="0"/>
              <w:right w:val="single" w:color="auto" w:sz="4" w:space="0"/>
            </w:tcBorders>
            <w:vAlign w:val="center"/>
          </w:tcPr>
          <w:p w14:paraId="5DAAF93F">
            <w:pPr>
              <w:spacing w:line="360" w:lineRule="exact"/>
              <w:jc w:val="left"/>
              <w:rPr>
                <w:rFonts w:ascii="仿宋_GB2312" w:hAnsi="仿宋_GB2312" w:eastAsia="仿宋_GB2312" w:cs="仿宋_GB2312"/>
                <w:sz w:val="28"/>
                <w:szCs w:val="28"/>
                <w:lang w:eastAsia="zh-TW"/>
              </w:rPr>
            </w:pPr>
            <w:r>
              <w:rPr>
                <w:rFonts w:hint="eastAsia" w:ascii="仿宋_GB2312" w:hAnsi="仿宋_GB2312" w:eastAsia="仿宋_GB2312" w:cs="仿宋_GB2312"/>
                <w:sz w:val="28"/>
                <w:szCs w:val="28"/>
              </w:rPr>
              <w:t>持有绿色债券余额及</w:t>
            </w:r>
            <w:r>
              <w:rPr>
                <w:rFonts w:hint="eastAsia" w:ascii="仿宋_GB2312" w:hAnsi="仿宋_GB2312" w:eastAsia="仿宋_GB2312" w:cs="仿宋_GB2312"/>
                <w:sz w:val="28"/>
                <w:szCs w:val="28"/>
                <w:lang w:eastAsia="zh-TW"/>
              </w:rPr>
              <w:t>折合减排情况</w:t>
            </w:r>
          </w:p>
        </w:tc>
        <w:tc>
          <w:tcPr>
            <w:tcW w:w="3105" w:type="dxa"/>
            <w:tcBorders>
              <w:top w:val="single" w:color="auto" w:sz="4" w:space="0"/>
              <w:left w:val="nil"/>
              <w:bottom w:val="single" w:color="auto" w:sz="4" w:space="0"/>
              <w:right w:val="single" w:color="auto" w:sz="4" w:space="0"/>
            </w:tcBorders>
            <w:vAlign w:val="center"/>
          </w:tcPr>
          <w:p w14:paraId="6F1CCE2A">
            <w:pPr>
              <w:spacing w:line="360" w:lineRule="exact"/>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持有</w:t>
            </w:r>
            <w:r>
              <w:rPr>
                <w:rFonts w:hint="eastAsia" w:ascii="仿宋_GB2312" w:hAnsi="仿宋_GB2312" w:eastAsia="仿宋_GB2312" w:cs="仿宋_GB2312"/>
                <w:sz w:val="28"/>
                <w:szCs w:val="28"/>
                <w:lang w:eastAsia="zh-TW"/>
              </w:rPr>
              <w:t>绿色</w:t>
            </w:r>
            <w:r>
              <w:rPr>
                <w:rFonts w:hint="eastAsia" w:ascii="仿宋_GB2312" w:hAnsi="仿宋_GB2312" w:eastAsia="仿宋_GB2312" w:cs="仿宋_GB2312"/>
                <w:sz w:val="28"/>
                <w:szCs w:val="28"/>
              </w:rPr>
              <w:t>债券</w:t>
            </w:r>
            <w:r>
              <w:rPr>
                <w:rFonts w:hint="eastAsia" w:ascii="仿宋_GB2312" w:hAnsi="仿宋_GB2312" w:eastAsia="仿宋_GB2312" w:cs="仿宋_GB2312"/>
                <w:sz w:val="28"/>
                <w:szCs w:val="28"/>
                <w:lang w:eastAsia="zh-TW"/>
              </w:rPr>
              <w:t>余额</w:t>
            </w:r>
            <w:r>
              <w:rPr>
                <w:rFonts w:hint="eastAsia" w:ascii="仿宋_GB2312" w:hAnsi="仿宋_GB2312" w:eastAsia="仿宋_GB2312" w:cs="仿宋_GB2312"/>
                <w:sz w:val="28"/>
                <w:szCs w:val="28"/>
                <w:lang w:eastAsia="zh-TW"/>
              </w:rPr>
              <w:br w:type="textWrapping"/>
            </w:r>
            <w:r>
              <w:rPr>
                <w:rFonts w:hint="eastAsia" w:ascii="仿宋_GB2312" w:hAnsi="仿宋_GB2312" w:eastAsia="仿宋_GB2312" w:cs="仿宋_GB2312"/>
                <w:sz w:val="28"/>
                <w:szCs w:val="28"/>
                <w:lang w:eastAsia="zh-TW"/>
              </w:rPr>
              <w:t>（万元）</w:t>
            </w:r>
          </w:p>
        </w:tc>
        <w:tc>
          <w:tcPr>
            <w:tcW w:w="2050" w:type="dxa"/>
            <w:tcBorders>
              <w:top w:val="single" w:color="auto" w:sz="4" w:space="0"/>
              <w:left w:val="nil"/>
              <w:bottom w:val="single" w:color="auto" w:sz="4" w:space="0"/>
              <w:right w:val="single" w:color="auto" w:sz="4" w:space="0"/>
            </w:tcBorders>
            <w:vAlign w:val="center"/>
          </w:tcPr>
          <w:p w14:paraId="7E9559D6">
            <w:pPr>
              <w:spacing w:line="3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0</w:t>
            </w:r>
          </w:p>
        </w:tc>
        <w:tc>
          <w:tcPr>
            <w:tcW w:w="950" w:type="dxa"/>
            <w:tcBorders>
              <w:top w:val="single" w:color="auto" w:sz="4" w:space="0"/>
              <w:left w:val="nil"/>
              <w:bottom w:val="single" w:color="auto" w:sz="4" w:space="0"/>
            </w:tcBorders>
          </w:tcPr>
          <w:p w14:paraId="08BCDEC2">
            <w:pPr>
              <w:spacing w:line="360" w:lineRule="exact"/>
              <w:jc w:val="center"/>
              <w:rPr>
                <w:rFonts w:ascii="仿宋_GB2312" w:hAnsi="仿宋_GB2312" w:eastAsia="仿宋_GB2312" w:cs="仿宋_GB2312"/>
                <w:sz w:val="28"/>
                <w:szCs w:val="28"/>
              </w:rPr>
            </w:pPr>
          </w:p>
        </w:tc>
      </w:tr>
    </w:tbl>
    <w:p w14:paraId="484E111D">
      <w:pPr>
        <w:numPr>
          <w:ilvl w:val="255"/>
          <w:numId w:val="0"/>
        </w:num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八、</w:t>
      </w:r>
      <w:r>
        <w:rPr>
          <w:rFonts w:hint="eastAsia" w:ascii="黑体" w:hAnsi="黑体" w:eastAsia="黑体" w:cs="黑体"/>
          <w:sz w:val="32"/>
          <w:szCs w:val="32"/>
          <w:lang w:val="zh-TW"/>
        </w:rPr>
        <w:t>未来展望</w:t>
      </w:r>
    </w:p>
    <w:p w14:paraId="5D00A15A">
      <w:pPr>
        <w:pStyle w:val="8"/>
        <w:spacing w:line="560" w:lineRule="exact"/>
        <w:ind w:left="0" w:leftChars="0" w:firstLine="640" w:firstLineChars="200"/>
        <w:rPr>
          <w:rFonts w:hint="eastAsia" w:ascii="仿宋_GB2312" w:hAnsi="仿宋_GB2312" w:eastAsia="仿宋_GB2312" w:cs="仿宋_GB2312"/>
          <w:sz w:val="32"/>
          <w:szCs w:val="32"/>
          <w:lang w:val="zh-TW"/>
        </w:rPr>
      </w:pPr>
      <w:r>
        <w:rPr>
          <w:rFonts w:hint="eastAsia" w:ascii="仿宋_GB2312" w:hAnsi="仿宋_GB2312" w:eastAsia="仿宋_GB2312" w:cs="仿宋_GB2312"/>
          <w:sz w:val="32"/>
          <w:szCs w:val="32"/>
          <w:lang w:val="zh-TW"/>
        </w:rPr>
        <w:t>随着国家“双碳”战略目标的提出，加快发展绿色金融，践行绿色运营，已成为商业银行可持续发展的必然趋势。</w:t>
      </w:r>
    </w:p>
    <w:p w14:paraId="197BCC4F">
      <w:pPr>
        <w:pStyle w:val="8"/>
        <w:spacing w:line="560" w:lineRule="exact"/>
        <w:ind w:left="0" w:leftChars="0" w:firstLine="640" w:firstLineChars="200"/>
        <w:rPr>
          <w:rFonts w:ascii="仿宋_GB2312" w:hAnsi="仿宋_GB2312" w:eastAsia="仿宋_GB2312" w:cs="仿宋_GB2312"/>
          <w:sz w:val="32"/>
          <w:szCs w:val="32"/>
        </w:rPr>
      </w:pPr>
      <w:r>
        <w:rPr>
          <w:rFonts w:hint="eastAsia" w:ascii="楷体_GB2312" w:hAnsi="楷体" w:eastAsia="楷体_GB2312" w:cs="楷体"/>
          <w:sz w:val="32"/>
          <w:szCs w:val="32"/>
          <w:lang w:eastAsia="zh-CN"/>
        </w:rPr>
        <w:t>（一）</w:t>
      </w:r>
      <w:r>
        <w:rPr>
          <w:rFonts w:hint="eastAsia" w:ascii="楷体_GB2312" w:hAnsi="楷体" w:eastAsia="楷体_GB2312" w:cs="楷体"/>
          <w:sz w:val="32"/>
          <w:szCs w:val="32"/>
        </w:rPr>
        <w:t>积极推进各项绿色金融重点工作。</w:t>
      </w:r>
      <w:r>
        <w:rPr>
          <w:rFonts w:hint="eastAsia" w:ascii="仿宋_GB2312" w:hAnsi="仿宋_GB2312" w:eastAsia="仿宋_GB2312" w:cs="仿宋_GB2312"/>
          <w:sz w:val="32"/>
          <w:szCs w:val="32"/>
        </w:rPr>
        <w:t>持续完善可持续发展治理体系，对照省联社《福建农信推进绿色金融高质量发展行动方案（2025-2027年）》中的18项重点任务，明确责任部门和完成时限，确保到2027年底全面完成各项目标。重点在支持农业绿色发展、林业绿色发展、制造业绿色转型、基础设施绿色升级等领域加大信贷投放。我社将按照要求，按季度向省联社普惠金融部报送工作进展情况确保重点任务按期推进。</w:t>
      </w:r>
    </w:p>
    <w:p w14:paraId="7BCD9DBE">
      <w:pPr>
        <w:pStyle w:val="8"/>
        <w:spacing w:line="560" w:lineRule="exact"/>
        <w:ind w:left="0" w:leftChars="0" w:firstLine="640" w:firstLineChars="200"/>
        <w:rPr>
          <w:rFonts w:ascii="仿宋_GB2312" w:hAnsi="仿宋_GB2312" w:eastAsia="仿宋_GB2312" w:cs="仿宋_GB2312"/>
          <w:sz w:val="32"/>
          <w:szCs w:val="32"/>
          <w:lang w:val="zh-TW"/>
        </w:rPr>
      </w:pPr>
      <w:r>
        <w:rPr>
          <w:rFonts w:hint="eastAsia" w:ascii="楷体_GB2312" w:hAnsi="楷体" w:eastAsia="楷体_GB2312" w:cs="楷体"/>
          <w:sz w:val="32"/>
          <w:szCs w:val="32"/>
        </w:rPr>
        <w:t>（二）加快绿色金融数字化建设。</w:t>
      </w:r>
      <w:r>
        <w:rPr>
          <w:rFonts w:ascii="仿宋_GB2312" w:hAnsi="仿宋_GB2312" w:eastAsia="仿宋_GB2312" w:cs="仿宋_GB2312"/>
          <w:bCs/>
          <w:sz w:val="32"/>
          <w:szCs w:val="32"/>
          <w:lang w:val="zh-TW"/>
        </w:rPr>
        <w:t>对标省联社“绿色金融数字化建设”任务要求，持续推广绿色金融业务管理辅助系统，用好绿色智能识别认定、碳核算、环境效益管理等系统功能，探索融入自然语言大模型技术工具，提升环境信息披露报告生成能力。加快对接省级信用信息平台、金服云等平台，应用企业环境信用、绿色认证等数据，为绿色信贷获客和“三查”提供数据支撑。探索基于碳普惠方法学的“碳积分”应用场景，将客户生产经营活动的“碳足迹”记录在“碳账户”上，为贷款提额和利率优惠提供依据。</w:t>
      </w:r>
    </w:p>
    <w:p w14:paraId="2AF860A8">
      <w:pPr>
        <w:pStyle w:val="8"/>
        <w:spacing w:line="560" w:lineRule="exact"/>
        <w:ind w:left="0" w:leftChars="0" w:firstLine="640" w:firstLineChars="200"/>
        <w:rPr>
          <w:rFonts w:ascii="仿宋_GB2312" w:hAnsi="仿宋_GB2312" w:eastAsia="仿宋_GB2312" w:cs="仿宋_GB2312"/>
          <w:sz w:val="32"/>
          <w:szCs w:val="32"/>
        </w:rPr>
      </w:pPr>
      <w:r>
        <w:rPr>
          <w:rFonts w:hint="eastAsia" w:ascii="楷体_GB2312" w:hAnsi="楷体" w:eastAsia="楷体_GB2312" w:cs="楷体"/>
          <w:sz w:val="32"/>
          <w:szCs w:val="32"/>
        </w:rPr>
        <w:t>（三）加强绿色运营管理。</w:t>
      </w:r>
      <w:r>
        <w:rPr>
          <w:rFonts w:hint="eastAsia" w:ascii="仿宋_GB2312" w:hAnsi="仿宋_GB2312" w:eastAsia="仿宋_GB2312" w:cs="仿宋_GB2312"/>
          <w:sz w:val="32"/>
          <w:szCs w:val="32"/>
        </w:rPr>
        <w:t>积极践行低碳环保举措，推动自身运营碳核算，逐步探索通过碳核算方式识别重点碳排放环节，采取建筑节能改造、资源循环利用、绿色采购、绿色差旅等节能降碳措施，确保自身运营碳排放稳步下降。建立健全环境信息披露机制，主动披露绿色金融治理架构、政策制度、产品创新与研究成果、经营活动与投融资活动对气候与环境的影响等相关信息，树立负责任、有担当的农信品牌形象，力争在“十五五”期间加快推进自身运营碳中和进程。</w:t>
      </w:r>
    </w:p>
    <w:p w14:paraId="6A39587F">
      <w:pPr>
        <w:pStyle w:val="8"/>
        <w:spacing w:line="560" w:lineRule="exact"/>
        <w:ind w:left="0" w:leftChars="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下一步，我社将继续履行“为客户谋价值、为员工谋幸福、为股东谋效益、为社会尽责任”的使命，全力支持经济社会全面绿色低碳转型，与利益相关方共同践行绿色理念，领航绿色协调发展。</w:t>
      </w:r>
    </w:p>
    <w:sectPr>
      <w:footerReference r:id="rId3" w:type="default"/>
      <w:pgSz w:w="11906" w:h="16838"/>
      <w:pgMar w:top="2098" w:right="1474" w:bottom="1984" w:left="1587" w:header="851" w:footer="141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321065A-1500-49D4-9259-5EF9DFB4FAC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embedRegular r:id="rId2" w:fontKey="{6904997D-5AEC-4A1A-92BE-C7568BAB66C1}"/>
  </w:font>
  <w:font w:name="Arial Unicode MS">
    <w:altName w:val="宋体"/>
    <w:panose1 w:val="020B0604020202020204"/>
    <w:charset w:val="86"/>
    <w:family w:val="swiss"/>
    <w:pitch w:val="default"/>
    <w:sig w:usb0="00000000" w:usb1="00000000" w:usb2="0000003F" w:usb3="00000000" w:csb0="603F01FF" w:csb1="FFFF0000"/>
  </w:font>
  <w:font w:name="仿宋_GB2312">
    <w:panose1 w:val="02010609030101010101"/>
    <w:charset w:val="86"/>
    <w:family w:val="modern"/>
    <w:pitch w:val="default"/>
    <w:sig w:usb0="00000001" w:usb1="080E0000" w:usb2="00000000" w:usb3="00000000" w:csb0="00040000" w:csb1="00000000"/>
    <w:embedRegular r:id="rId3" w:fontKey="{41B211B5-3882-44B6-8AE7-FB02457462D3}"/>
  </w:font>
  <w:font w:name="ArialMT">
    <w:altName w:val="Times New Roman"/>
    <w:panose1 w:val="00000000000000000000"/>
    <w:charset w:val="00"/>
    <w:family w:val="auto"/>
    <w:pitch w:val="default"/>
    <w:sig w:usb0="00000000" w:usb1="00000000" w:usb2="00000000" w:usb3="00000000" w:csb0="00000000" w:csb1="00000000"/>
  </w:font>
  <w:font w:name="方正小标宋简体">
    <w:altName w:val="仿宋_GB2312"/>
    <w:panose1 w:val="02010601030101010101"/>
    <w:charset w:val="86"/>
    <w:family w:val="auto"/>
    <w:pitch w:val="default"/>
    <w:sig w:usb0="00000000" w:usb1="00000000" w:usb2="00000000" w:usb3="00000000" w:csb0="00040000" w:csb1="00000000"/>
    <w:embedRegular r:id="rId4" w:fontKey="{AB6B8EEF-159E-41DE-AF34-669F507F77F2}"/>
  </w:font>
  <w:font w:name="方正小标宋_GBK">
    <w:altName w:val="微软雅黑"/>
    <w:panose1 w:val="00000000000000000000"/>
    <w:charset w:val="86"/>
    <w:family w:val="auto"/>
    <w:pitch w:val="default"/>
    <w:sig w:usb0="00000000" w:usb1="00000000" w:usb2="00082016" w:usb3="00000000" w:csb0="00040001" w:csb1="00000000"/>
    <w:embedRegular r:id="rId5" w:fontKey="{093C0E42-5C6B-4B3B-A8BB-D3F76E798DCC}"/>
  </w:font>
  <w:font w:name="楷体_GB2312">
    <w:panose1 w:val="02010609030101010101"/>
    <w:charset w:val="86"/>
    <w:family w:val="modern"/>
    <w:pitch w:val="default"/>
    <w:sig w:usb0="00000001" w:usb1="080E0000" w:usb2="00000000" w:usb3="00000000" w:csb0="00040000" w:csb1="00000000"/>
    <w:embedRegular r:id="rId6" w:fontKey="{1ABFAEB5-D066-40E7-9D5B-6D13A7DB83B2}"/>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5D36C">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suff w:val="nothing"/>
      <w:lvlText w:val="%1.%2　"/>
      <w:lvlJc w:val="left"/>
      <w:pPr>
        <w:ind w:left="2340" w:firstLine="0"/>
      </w:pPr>
      <w:rPr>
        <w:rFonts w:hint="eastAsia" w:ascii="黑体" w:hAnsi="Times New Roman" w:eastAsia="黑体" w:cs="Times New Roman"/>
        <w:b w:val="0"/>
        <w:bCs w:val="0"/>
        <w:i w:val="0"/>
        <w:iCs w:val="0"/>
        <w:caps w:val="0"/>
        <w:strike w:val="0"/>
        <w:dstrike w:val="0"/>
        <w:spacing w:val="0"/>
        <w:kern w:val="0"/>
        <w:position w:val="0"/>
        <w:sz w:val="21"/>
        <w:szCs w:val="21"/>
        <w:u w:val="none"/>
      </w:rPr>
    </w:lvl>
    <w:lvl w:ilvl="2" w:tentative="0">
      <w:start w:val="1"/>
      <w:numFmt w:val="decimal"/>
      <w:pStyle w:val="16"/>
      <w:suff w:val="nothing"/>
      <w:lvlText w:val="%1.%2.%3　"/>
      <w:lvlJc w:val="left"/>
      <w:pPr>
        <w:ind w:left="3828" w:firstLine="0"/>
      </w:pPr>
      <w:rPr>
        <w:rFonts w:hint="eastAsia" w:ascii="黑体" w:hAnsi="Times New Roman" w:eastAsia="黑体"/>
        <w:b w:val="0"/>
        <w:i w:val="0"/>
        <w:sz w:val="21"/>
        <w:lang w:eastAsia="zh-TW"/>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3A4167CE"/>
    <w:multiLevelType w:val="singleLevel"/>
    <w:tmpl w:val="3A4167CE"/>
    <w:lvl w:ilvl="0" w:tentative="0">
      <w:start w:val="1"/>
      <w:numFmt w:val="chineseCounting"/>
      <w:suff w:val="nothing"/>
      <w:lvlText w:val="（%1）"/>
      <w:lvlJc w:val="left"/>
      <w:rPr>
        <w:rFonts w:hint="eastAsia" w:ascii="楷体" w:hAnsi="楷体" w:eastAsia="楷体"/>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2853D4"/>
    <w:rsid w:val="00031693"/>
    <w:rsid w:val="000D2292"/>
    <w:rsid w:val="001427D3"/>
    <w:rsid w:val="00321EB9"/>
    <w:rsid w:val="00327546"/>
    <w:rsid w:val="00487447"/>
    <w:rsid w:val="004A6DDC"/>
    <w:rsid w:val="005468C9"/>
    <w:rsid w:val="00567C1A"/>
    <w:rsid w:val="005752CC"/>
    <w:rsid w:val="005E2A67"/>
    <w:rsid w:val="006333DF"/>
    <w:rsid w:val="006F3232"/>
    <w:rsid w:val="00702E11"/>
    <w:rsid w:val="0074210A"/>
    <w:rsid w:val="00791CD8"/>
    <w:rsid w:val="007D1801"/>
    <w:rsid w:val="00827DF2"/>
    <w:rsid w:val="00843DD8"/>
    <w:rsid w:val="00914E17"/>
    <w:rsid w:val="009668E6"/>
    <w:rsid w:val="00972EBD"/>
    <w:rsid w:val="009A7046"/>
    <w:rsid w:val="009F55A8"/>
    <w:rsid w:val="009F68C0"/>
    <w:rsid w:val="00B344E3"/>
    <w:rsid w:val="00B438F2"/>
    <w:rsid w:val="00B650FF"/>
    <w:rsid w:val="00C613E8"/>
    <w:rsid w:val="00C76688"/>
    <w:rsid w:val="00CC4D18"/>
    <w:rsid w:val="00D21A7C"/>
    <w:rsid w:val="00D6697E"/>
    <w:rsid w:val="00D711A4"/>
    <w:rsid w:val="00DB7D42"/>
    <w:rsid w:val="00DE7AAB"/>
    <w:rsid w:val="00DF5DE1"/>
    <w:rsid w:val="00E07146"/>
    <w:rsid w:val="00E3128A"/>
    <w:rsid w:val="00E93390"/>
    <w:rsid w:val="00E93E9F"/>
    <w:rsid w:val="00F61053"/>
    <w:rsid w:val="00FC7BF6"/>
    <w:rsid w:val="01021D06"/>
    <w:rsid w:val="01086D20"/>
    <w:rsid w:val="011422F9"/>
    <w:rsid w:val="0119030D"/>
    <w:rsid w:val="011A6C83"/>
    <w:rsid w:val="012814A8"/>
    <w:rsid w:val="01296966"/>
    <w:rsid w:val="01351548"/>
    <w:rsid w:val="0142411F"/>
    <w:rsid w:val="01441EAE"/>
    <w:rsid w:val="014E68E8"/>
    <w:rsid w:val="01692DDD"/>
    <w:rsid w:val="016D4D84"/>
    <w:rsid w:val="016E14D6"/>
    <w:rsid w:val="0178302B"/>
    <w:rsid w:val="018339FD"/>
    <w:rsid w:val="01895FDF"/>
    <w:rsid w:val="018C70AE"/>
    <w:rsid w:val="018D4585"/>
    <w:rsid w:val="01955EAC"/>
    <w:rsid w:val="01984F82"/>
    <w:rsid w:val="019957B2"/>
    <w:rsid w:val="01A23B63"/>
    <w:rsid w:val="01A80E89"/>
    <w:rsid w:val="01B2422A"/>
    <w:rsid w:val="01B24FE4"/>
    <w:rsid w:val="01C2142D"/>
    <w:rsid w:val="01C27D43"/>
    <w:rsid w:val="01CB12E2"/>
    <w:rsid w:val="01D16395"/>
    <w:rsid w:val="01D2516D"/>
    <w:rsid w:val="01D3373C"/>
    <w:rsid w:val="01D81E46"/>
    <w:rsid w:val="01DD736D"/>
    <w:rsid w:val="01ED2CE8"/>
    <w:rsid w:val="01F53E1C"/>
    <w:rsid w:val="01F739E0"/>
    <w:rsid w:val="01F90BC7"/>
    <w:rsid w:val="01FB783F"/>
    <w:rsid w:val="01FC56CC"/>
    <w:rsid w:val="01FF2E15"/>
    <w:rsid w:val="0200639C"/>
    <w:rsid w:val="020B2A12"/>
    <w:rsid w:val="02140A42"/>
    <w:rsid w:val="023056C4"/>
    <w:rsid w:val="02362058"/>
    <w:rsid w:val="0243540D"/>
    <w:rsid w:val="024666EC"/>
    <w:rsid w:val="024B376F"/>
    <w:rsid w:val="024F128F"/>
    <w:rsid w:val="025648CA"/>
    <w:rsid w:val="02692881"/>
    <w:rsid w:val="026B5ACC"/>
    <w:rsid w:val="026E2F63"/>
    <w:rsid w:val="027A48FC"/>
    <w:rsid w:val="028256CB"/>
    <w:rsid w:val="028D4365"/>
    <w:rsid w:val="02903BE2"/>
    <w:rsid w:val="02912DEA"/>
    <w:rsid w:val="02981CA3"/>
    <w:rsid w:val="029C0515"/>
    <w:rsid w:val="029F7438"/>
    <w:rsid w:val="02A60228"/>
    <w:rsid w:val="02AF4F30"/>
    <w:rsid w:val="02B16C0F"/>
    <w:rsid w:val="02B41443"/>
    <w:rsid w:val="02B5681D"/>
    <w:rsid w:val="02B641DB"/>
    <w:rsid w:val="02C37EFA"/>
    <w:rsid w:val="02D41704"/>
    <w:rsid w:val="02D5509A"/>
    <w:rsid w:val="02E53A44"/>
    <w:rsid w:val="02E84EAF"/>
    <w:rsid w:val="02EB548D"/>
    <w:rsid w:val="02ED00A0"/>
    <w:rsid w:val="02F358EC"/>
    <w:rsid w:val="02F95F27"/>
    <w:rsid w:val="02FF6283"/>
    <w:rsid w:val="03042C66"/>
    <w:rsid w:val="03080E8E"/>
    <w:rsid w:val="0309158A"/>
    <w:rsid w:val="031B79DD"/>
    <w:rsid w:val="031C6EAF"/>
    <w:rsid w:val="031E2D5A"/>
    <w:rsid w:val="03231ABD"/>
    <w:rsid w:val="032717C4"/>
    <w:rsid w:val="03273E83"/>
    <w:rsid w:val="032F12D6"/>
    <w:rsid w:val="03314F7A"/>
    <w:rsid w:val="0332003B"/>
    <w:rsid w:val="033A5CCF"/>
    <w:rsid w:val="033D43B2"/>
    <w:rsid w:val="034B19B0"/>
    <w:rsid w:val="0357561F"/>
    <w:rsid w:val="0359742A"/>
    <w:rsid w:val="035D36D8"/>
    <w:rsid w:val="03644521"/>
    <w:rsid w:val="037028CE"/>
    <w:rsid w:val="037D4334"/>
    <w:rsid w:val="038952D0"/>
    <w:rsid w:val="039077EB"/>
    <w:rsid w:val="039670E9"/>
    <w:rsid w:val="03987DB4"/>
    <w:rsid w:val="039951AC"/>
    <w:rsid w:val="03A71DCF"/>
    <w:rsid w:val="03B80945"/>
    <w:rsid w:val="03BB37F9"/>
    <w:rsid w:val="03BB737A"/>
    <w:rsid w:val="03C24BD0"/>
    <w:rsid w:val="03CB00EC"/>
    <w:rsid w:val="03CD30B7"/>
    <w:rsid w:val="03DE2D7C"/>
    <w:rsid w:val="03EA3BAF"/>
    <w:rsid w:val="03EE06D6"/>
    <w:rsid w:val="03F92BA8"/>
    <w:rsid w:val="0405041B"/>
    <w:rsid w:val="04172972"/>
    <w:rsid w:val="04176DE6"/>
    <w:rsid w:val="04177243"/>
    <w:rsid w:val="041907AE"/>
    <w:rsid w:val="041B0DF8"/>
    <w:rsid w:val="042703CA"/>
    <w:rsid w:val="042924A8"/>
    <w:rsid w:val="043101EE"/>
    <w:rsid w:val="043316D7"/>
    <w:rsid w:val="0437412F"/>
    <w:rsid w:val="044F09C9"/>
    <w:rsid w:val="046104AB"/>
    <w:rsid w:val="046B67CC"/>
    <w:rsid w:val="046C2A39"/>
    <w:rsid w:val="046C3A24"/>
    <w:rsid w:val="046E754E"/>
    <w:rsid w:val="04701AEE"/>
    <w:rsid w:val="04767685"/>
    <w:rsid w:val="04790B95"/>
    <w:rsid w:val="047D1D3F"/>
    <w:rsid w:val="04881C84"/>
    <w:rsid w:val="048E036A"/>
    <w:rsid w:val="04965452"/>
    <w:rsid w:val="049E6CCF"/>
    <w:rsid w:val="04A43B22"/>
    <w:rsid w:val="04A86BA5"/>
    <w:rsid w:val="04B67D2C"/>
    <w:rsid w:val="04BB00A7"/>
    <w:rsid w:val="04BC54A4"/>
    <w:rsid w:val="04C77A9B"/>
    <w:rsid w:val="04D32602"/>
    <w:rsid w:val="04D61D23"/>
    <w:rsid w:val="04E53B47"/>
    <w:rsid w:val="04EC27EC"/>
    <w:rsid w:val="04F33DB9"/>
    <w:rsid w:val="04F34B2A"/>
    <w:rsid w:val="04FA3995"/>
    <w:rsid w:val="05014130"/>
    <w:rsid w:val="05101A47"/>
    <w:rsid w:val="051A45B9"/>
    <w:rsid w:val="051D0758"/>
    <w:rsid w:val="052617E9"/>
    <w:rsid w:val="052664CE"/>
    <w:rsid w:val="05407914"/>
    <w:rsid w:val="05456800"/>
    <w:rsid w:val="05660B59"/>
    <w:rsid w:val="056700C8"/>
    <w:rsid w:val="05672CE5"/>
    <w:rsid w:val="0568424A"/>
    <w:rsid w:val="056B6483"/>
    <w:rsid w:val="05793B6E"/>
    <w:rsid w:val="057C02F7"/>
    <w:rsid w:val="057C7E0F"/>
    <w:rsid w:val="058C4861"/>
    <w:rsid w:val="058F11BB"/>
    <w:rsid w:val="05925E6B"/>
    <w:rsid w:val="05935A24"/>
    <w:rsid w:val="059545EE"/>
    <w:rsid w:val="0596602B"/>
    <w:rsid w:val="059C0641"/>
    <w:rsid w:val="05B471AE"/>
    <w:rsid w:val="05BE24A2"/>
    <w:rsid w:val="05D547AC"/>
    <w:rsid w:val="05E013C1"/>
    <w:rsid w:val="05F06B15"/>
    <w:rsid w:val="05F23477"/>
    <w:rsid w:val="05F7533A"/>
    <w:rsid w:val="05FA7CF1"/>
    <w:rsid w:val="06027152"/>
    <w:rsid w:val="06033977"/>
    <w:rsid w:val="06103112"/>
    <w:rsid w:val="06121D7E"/>
    <w:rsid w:val="0612254E"/>
    <w:rsid w:val="062444EF"/>
    <w:rsid w:val="0626496F"/>
    <w:rsid w:val="0628348B"/>
    <w:rsid w:val="062A5CED"/>
    <w:rsid w:val="062A752F"/>
    <w:rsid w:val="063E1EA8"/>
    <w:rsid w:val="06481029"/>
    <w:rsid w:val="064A6928"/>
    <w:rsid w:val="06713733"/>
    <w:rsid w:val="067708CE"/>
    <w:rsid w:val="06773311"/>
    <w:rsid w:val="0679441D"/>
    <w:rsid w:val="067B3546"/>
    <w:rsid w:val="06843A90"/>
    <w:rsid w:val="069F6F99"/>
    <w:rsid w:val="06A97AEB"/>
    <w:rsid w:val="06AB629B"/>
    <w:rsid w:val="06C13BF1"/>
    <w:rsid w:val="06C30FA3"/>
    <w:rsid w:val="06C66820"/>
    <w:rsid w:val="06CD588F"/>
    <w:rsid w:val="06D0129F"/>
    <w:rsid w:val="06D02E7A"/>
    <w:rsid w:val="06E54DCD"/>
    <w:rsid w:val="06E87877"/>
    <w:rsid w:val="06F05990"/>
    <w:rsid w:val="07043E4D"/>
    <w:rsid w:val="071A6DE9"/>
    <w:rsid w:val="0734188F"/>
    <w:rsid w:val="074455B2"/>
    <w:rsid w:val="074866E9"/>
    <w:rsid w:val="07513ED6"/>
    <w:rsid w:val="076624B1"/>
    <w:rsid w:val="076A2451"/>
    <w:rsid w:val="0771320E"/>
    <w:rsid w:val="07742EB5"/>
    <w:rsid w:val="078F7168"/>
    <w:rsid w:val="079622FC"/>
    <w:rsid w:val="07997BF6"/>
    <w:rsid w:val="079C332B"/>
    <w:rsid w:val="07A66CA2"/>
    <w:rsid w:val="07A74B0D"/>
    <w:rsid w:val="07A9791E"/>
    <w:rsid w:val="07AE62D4"/>
    <w:rsid w:val="07B82ADC"/>
    <w:rsid w:val="07BB3CB4"/>
    <w:rsid w:val="07BB6C8A"/>
    <w:rsid w:val="07C47C3A"/>
    <w:rsid w:val="07C62C7D"/>
    <w:rsid w:val="07C84A43"/>
    <w:rsid w:val="07C9767B"/>
    <w:rsid w:val="07DE1DEB"/>
    <w:rsid w:val="07E01C95"/>
    <w:rsid w:val="07EC2569"/>
    <w:rsid w:val="07EF5691"/>
    <w:rsid w:val="07F03F33"/>
    <w:rsid w:val="08031B14"/>
    <w:rsid w:val="0803640A"/>
    <w:rsid w:val="080E01D8"/>
    <w:rsid w:val="081875EE"/>
    <w:rsid w:val="08242E0C"/>
    <w:rsid w:val="08284732"/>
    <w:rsid w:val="082A3B12"/>
    <w:rsid w:val="082A4D85"/>
    <w:rsid w:val="082B4FF0"/>
    <w:rsid w:val="082E1BC8"/>
    <w:rsid w:val="08366AD7"/>
    <w:rsid w:val="0844129C"/>
    <w:rsid w:val="086D5B30"/>
    <w:rsid w:val="08785646"/>
    <w:rsid w:val="0898081A"/>
    <w:rsid w:val="089B2153"/>
    <w:rsid w:val="089F13DF"/>
    <w:rsid w:val="08B90B74"/>
    <w:rsid w:val="08BC590F"/>
    <w:rsid w:val="08CA7C54"/>
    <w:rsid w:val="08D56FAD"/>
    <w:rsid w:val="08D65B90"/>
    <w:rsid w:val="08DC14D6"/>
    <w:rsid w:val="08DC521B"/>
    <w:rsid w:val="08E03460"/>
    <w:rsid w:val="08E83B94"/>
    <w:rsid w:val="08EE6B61"/>
    <w:rsid w:val="08F8483F"/>
    <w:rsid w:val="08F864BD"/>
    <w:rsid w:val="09072433"/>
    <w:rsid w:val="090B6041"/>
    <w:rsid w:val="090E2BB0"/>
    <w:rsid w:val="09137B62"/>
    <w:rsid w:val="09185E6C"/>
    <w:rsid w:val="0920570C"/>
    <w:rsid w:val="09216394"/>
    <w:rsid w:val="0923440D"/>
    <w:rsid w:val="0927292D"/>
    <w:rsid w:val="092E58D9"/>
    <w:rsid w:val="09314C9C"/>
    <w:rsid w:val="093B1F89"/>
    <w:rsid w:val="093C7716"/>
    <w:rsid w:val="093D776C"/>
    <w:rsid w:val="094713D3"/>
    <w:rsid w:val="094719A3"/>
    <w:rsid w:val="094732C7"/>
    <w:rsid w:val="0947536C"/>
    <w:rsid w:val="094C5810"/>
    <w:rsid w:val="094C775C"/>
    <w:rsid w:val="094F2D9F"/>
    <w:rsid w:val="09550E10"/>
    <w:rsid w:val="095817E6"/>
    <w:rsid w:val="095E05D1"/>
    <w:rsid w:val="095E1A9F"/>
    <w:rsid w:val="09652830"/>
    <w:rsid w:val="09910E6C"/>
    <w:rsid w:val="0995560D"/>
    <w:rsid w:val="0999286F"/>
    <w:rsid w:val="09AA57A5"/>
    <w:rsid w:val="09B44F6E"/>
    <w:rsid w:val="09B53B2E"/>
    <w:rsid w:val="09B86149"/>
    <w:rsid w:val="09BB0544"/>
    <w:rsid w:val="09C1758D"/>
    <w:rsid w:val="09CE246B"/>
    <w:rsid w:val="09D36C9F"/>
    <w:rsid w:val="09D9581F"/>
    <w:rsid w:val="09DD40D7"/>
    <w:rsid w:val="09DE1980"/>
    <w:rsid w:val="09E7284A"/>
    <w:rsid w:val="09E93434"/>
    <w:rsid w:val="09F9483B"/>
    <w:rsid w:val="0A002AF6"/>
    <w:rsid w:val="0A014907"/>
    <w:rsid w:val="0A0D3DBA"/>
    <w:rsid w:val="0A122221"/>
    <w:rsid w:val="0A18707E"/>
    <w:rsid w:val="0A1917F5"/>
    <w:rsid w:val="0A1E2E03"/>
    <w:rsid w:val="0A2F6AFA"/>
    <w:rsid w:val="0A346BC0"/>
    <w:rsid w:val="0A4C5BA6"/>
    <w:rsid w:val="0A524B20"/>
    <w:rsid w:val="0A5B28DD"/>
    <w:rsid w:val="0A671104"/>
    <w:rsid w:val="0A694967"/>
    <w:rsid w:val="0A794718"/>
    <w:rsid w:val="0A7B7FB8"/>
    <w:rsid w:val="0A7F3AD6"/>
    <w:rsid w:val="0A817AAB"/>
    <w:rsid w:val="0A85195B"/>
    <w:rsid w:val="0AA50579"/>
    <w:rsid w:val="0AAC0B29"/>
    <w:rsid w:val="0AB728F6"/>
    <w:rsid w:val="0ABD65C5"/>
    <w:rsid w:val="0AC546C5"/>
    <w:rsid w:val="0AC7084C"/>
    <w:rsid w:val="0AC73892"/>
    <w:rsid w:val="0ACB4423"/>
    <w:rsid w:val="0AD002AF"/>
    <w:rsid w:val="0AE55D46"/>
    <w:rsid w:val="0AE747EE"/>
    <w:rsid w:val="0AED1407"/>
    <w:rsid w:val="0AF703F2"/>
    <w:rsid w:val="0B007F40"/>
    <w:rsid w:val="0B017DA0"/>
    <w:rsid w:val="0B0D6906"/>
    <w:rsid w:val="0B13726A"/>
    <w:rsid w:val="0B144C5D"/>
    <w:rsid w:val="0B160167"/>
    <w:rsid w:val="0B1F01B3"/>
    <w:rsid w:val="0B222E56"/>
    <w:rsid w:val="0B227254"/>
    <w:rsid w:val="0B233CD5"/>
    <w:rsid w:val="0B2F415F"/>
    <w:rsid w:val="0B2F44D8"/>
    <w:rsid w:val="0B3D7C4F"/>
    <w:rsid w:val="0B435D74"/>
    <w:rsid w:val="0B511655"/>
    <w:rsid w:val="0B56785F"/>
    <w:rsid w:val="0B583345"/>
    <w:rsid w:val="0B6A3910"/>
    <w:rsid w:val="0B786850"/>
    <w:rsid w:val="0B797D47"/>
    <w:rsid w:val="0B873A5C"/>
    <w:rsid w:val="0B8C08CB"/>
    <w:rsid w:val="0BA95A4A"/>
    <w:rsid w:val="0BB656E0"/>
    <w:rsid w:val="0BC843DC"/>
    <w:rsid w:val="0BD40C5D"/>
    <w:rsid w:val="0BD4325B"/>
    <w:rsid w:val="0BD508AB"/>
    <w:rsid w:val="0BE23248"/>
    <w:rsid w:val="0BE70E01"/>
    <w:rsid w:val="0BE76E58"/>
    <w:rsid w:val="0BEB1CF4"/>
    <w:rsid w:val="0BEB308E"/>
    <w:rsid w:val="0C1B2475"/>
    <w:rsid w:val="0C39024B"/>
    <w:rsid w:val="0C396CB8"/>
    <w:rsid w:val="0C3B3FFD"/>
    <w:rsid w:val="0C3D4ECC"/>
    <w:rsid w:val="0C3F0555"/>
    <w:rsid w:val="0C4355BA"/>
    <w:rsid w:val="0C4B7AA7"/>
    <w:rsid w:val="0C5211FF"/>
    <w:rsid w:val="0C541CC6"/>
    <w:rsid w:val="0C5E7F3D"/>
    <w:rsid w:val="0C6012FC"/>
    <w:rsid w:val="0C6845FF"/>
    <w:rsid w:val="0C695E12"/>
    <w:rsid w:val="0C6D4A61"/>
    <w:rsid w:val="0C790501"/>
    <w:rsid w:val="0C827321"/>
    <w:rsid w:val="0C8578ED"/>
    <w:rsid w:val="0CA66FFC"/>
    <w:rsid w:val="0CB955E0"/>
    <w:rsid w:val="0CB9728C"/>
    <w:rsid w:val="0CBE4CEF"/>
    <w:rsid w:val="0CCC3083"/>
    <w:rsid w:val="0CD25B85"/>
    <w:rsid w:val="0CD276DE"/>
    <w:rsid w:val="0CD44AAB"/>
    <w:rsid w:val="0CD53FFF"/>
    <w:rsid w:val="0CEB0BF9"/>
    <w:rsid w:val="0CF53736"/>
    <w:rsid w:val="0D090451"/>
    <w:rsid w:val="0D0B1735"/>
    <w:rsid w:val="0D0B2143"/>
    <w:rsid w:val="0D124903"/>
    <w:rsid w:val="0D1A0A2F"/>
    <w:rsid w:val="0D1B7BD9"/>
    <w:rsid w:val="0D207587"/>
    <w:rsid w:val="0D242FD3"/>
    <w:rsid w:val="0D332D15"/>
    <w:rsid w:val="0D347C28"/>
    <w:rsid w:val="0D380E37"/>
    <w:rsid w:val="0D46255F"/>
    <w:rsid w:val="0D4626C7"/>
    <w:rsid w:val="0D5F6EF8"/>
    <w:rsid w:val="0D7C0CB3"/>
    <w:rsid w:val="0D7F16C8"/>
    <w:rsid w:val="0D7F5DEF"/>
    <w:rsid w:val="0D8E1662"/>
    <w:rsid w:val="0D9568C8"/>
    <w:rsid w:val="0D964D38"/>
    <w:rsid w:val="0D966465"/>
    <w:rsid w:val="0D9C5F96"/>
    <w:rsid w:val="0DA86F8F"/>
    <w:rsid w:val="0DA933B3"/>
    <w:rsid w:val="0DAA7DD1"/>
    <w:rsid w:val="0DB11A89"/>
    <w:rsid w:val="0DB16FC0"/>
    <w:rsid w:val="0DBA630F"/>
    <w:rsid w:val="0DBC51C0"/>
    <w:rsid w:val="0DD608C7"/>
    <w:rsid w:val="0DDE333D"/>
    <w:rsid w:val="0DEC1F5A"/>
    <w:rsid w:val="0DEE7D9A"/>
    <w:rsid w:val="0DF420FC"/>
    <w:rsid w:val="0DF96EA3"/>
    <w:rsid w:val="0DFB6C71"/>
    <w:rsid w:val="0E017034"/>
    <w:rsid w:val="0E02280B"/>
    <w:rsid w:val="0E0358A9"/>
    <w:rsid w:val="0E071FA5"/>
    <w:rsid w:val="0E0F3600"/>
    <w:rsid w:val="0E131323"/>
    <w:rsid w:val="0E152708"/>
    <w:rsid w:val="0E197486"/>
    <w:rsid w:val="0E213064"/>
    <w:rsid w:val="0E24238E"/>
    <w:rsid w:val="0E2A334A"/>
    <w:rsid w:val="0E3457C2"/>
    <w:rsid w:val="0E4321CD"/>
    <w:rsid w:val="0E457863"/>
    <w:rsid w:val="0E473274"/>
    <w:rsid w:val="0E4D2145"/>
    <w:rsid w:val="0E4F3731"/>
    <w:rsid w:val="0E504976"/>
    <w:rsid w:val="0E567F92"/>
    <w:rsid w:val="0E5B1591"/>
    <w:rsid w:val="0E5D7D80"/>
    <w:rsid w:val="0E784520"/>
    <w:rsid w:val="0E7875DE"/>
    <w:rsid w:val="0E7B05C7"/>
    <w:rsid w:val="0E8B3391"/>
    <w:rsid w:val="0E8C72E1"/>
    <w:rsid w:val="0E8E1DC4"/>
    <w:rsid w:val="0E91328D"/>
    <w:rsid w:val="0E985EB5"/>
    <w:rsid w:val="0E9E343D"/>
    <w:rsid w:val="0EA20D5E"/>
    <w:rsid w:val="0EA47379"/>
    <w:rsid w:val="0EA8591E"/>
    <w:rsid w:val="0EB801F3"/>
    <w:rsid w:val="0EB804A7"/>
    <w:rsid w:val="0EBD220A"/>
    <w:rsid w:val="0EBD3299"/>
    <w:rsid w:val="0ECE3C8E"/>
    <w:rsid w:val="0ED87FBD"/>
    <w:rsid w:val="0EDB4B99"/>
    <w:rsid w:val="0EE430D2"/>
    <w:rsid w:val="0EE72B0F"/>
    <w:rsid w:val="0EE72CE9"/>
    <w:rsid w:val="0EEA0A05"/>
    <w:rsid w:val="0EF82DDE"/>
    <w:rsid w:val="0EF908FB"/>
    <w:rsid w:val="0F03411D"/>
    <w:rsid w:val="0F250A19"/>
    <w:rsid w:val="0F2C16AD"/>
    <w:rsid w:val="0F3309FA"/>
    <w:rsid w:val="0F3B584E"/>
    <w:rsid w:val="0F3B7421"/>
    <w:rsid w:val="0F3C7497"/>
    <w:rsid w:val="0F3F6871"/>
    <w:rsid w:val="0F5038AB"/>
    <w:rsid w:val="0F5154E7"/>
    <w:rsid w:val="0F54141E"/>
    <w:rsid w:val="0F551172"/>
    <w:rsid w:val="0F5A49C1"/>
    <w:rsid w:val="0F5A6871"/>
    <w:rsid w:val="0F5D6367"/>
    <w:rsid w:val="0F5E0924"/>
    <w:rsid w:val="0F5E7EA7"/>
    <w:rsid w:val="0F615176"/>
    <w:rsid w:val="0F650C91"/>
    <w:rsid w:val="0F7043F1"/>
    <w:rsid w:val="0F8052B3"/>
    <w:rsid w:val="0F852651"/>
    <w:rsid w:val="0F853914"/>
    <w:rsid w:val="0F8F0F74"/>
    <w:rsid w:val="0F9F139B"/>
    <w:rsid w:val="0FA20EB3"/>
    <w:rsid w:val="0FA3141A"/>
    <w:rsid w:val="0FAA7905"/>
    <w:rsid w:val="0FB47EAE"/>
    <w:rsid w:val="0FBF037B"/>
    <w:rsid w:val="0FCA3432"/>
    <w:rsid w:val="0FD20042"/>
    <w:rsid w:val="0FD7524F"/>
    <w:rsid w:val="0FE13211"/>
    <w:rsid w:val="0FE2319C"/>
    <w:rsid w:val="0FF1293D"/>
    <w:rsid w:val="0FF900FA"/>
    <w:rsid w:val="0FFC02D2"/>
    <w:rsid w:val="100571AB"/>
    <w:rsid w:val="1007595A"/>
    <w:rsid w:val="100D224D"/>
    <w:rsid w:val="1014377D"/>
    <w:rsid w:val="102D449A"/>
    <w:rsid w:val="103B1701"/>
    <w:rsid w:val="103D1F63"/>
    <w:rsid w:val="1046397A"/>
    <w:rsid w:val="104728F9"/>
    <w:rsid w:val="104C06D5"/>
    <w:rsid w:val="104F51DF"/>
    <w:rsid w:val="10620B22"/>
    <w:rsid w:val="106570B5"/>
    <w:rsid w:val="106A7BFD"/>
    <w:rsid w:val="10700A76"/>
    <w:rsid w:val="107E7AFA"/>
    <w:rsid w:val="107F1EE7"/>
    <w:rsid w:val="10812C68"/>
    <w:rsid w:val="10887B0F"/>
    <w:rsid w:val="109114A9"/>
    <w:rsid w:val="10935CD4"/>
    <w:rsid w:val="1099446F"/>
    <w:rsid w:val="109A6A05"/>
    <w:rsid w:val="109E533A"/>
    <w:rsid w:val="10B977BE"/>
    <w:rsid w:val="10C36F76"/>
    <w:rsid w:val="10D744C8"/>
    <w:rsid w:val="10D971FD"/>
    <w:rsid w:val="10DF1E4B"/>
    <w:rsid w:val="10E45916"/>
    <w:rsid w:val="10E67C09"/>
    <w:rsid w:val="10EA6FEB"/>
    <w:rsid w:val="11054BE6"/>
    <w:rsid w:val="110946DC"/>
    <w:rsid w:val="11111364"/>
    <w:rsid w:val="111472D6"/>
    <w:rsid w:val="11181F44"/>
    <w:rsid w:val="111C339B"/>
    <w:rsid w:val="112A0938"/>
    <w:rsid w:val="112E363A"/>
    <w:rsid w:val="113B21A8"/>
    <w:rsid w:val="114831EE"/>
    <w:rsid w:val="114C5AC7"/>
    <w:rsid w:val="11547B2B"/>
    <w:rsid w:val="11551C30"/>
    <w:rsid w:val="116C7D86"/>
    <w:rsid w:val="116E794E"/>
    <w:rsid w:val="117E3302"/>
    <w:rsid w:val="118335FB"/>
    <w:rsid w:val="11842D9E"/>
    <w:rsid w:val="11936690"/>
    <w:rsid w:val="11942348"/>
    <w:rsid w:val="119C5226"/>
    <w:rsid w:val="119E0159"/>
    <w:rsid w:val="11A414F5"/>
    <w:rsid w:val="11A55FDC"/>
    <w:rsid w:val="11BD3166"/>
    <w:rsid w:val="11C25C3D"/>
    <w:rsid w:val="11C92DCE"/>
    <w:rsid w:val="11CB1B3C"/>
    <w:rsid w:val="11D910E1"/>
    <w:rsid w:val="12126CA5"/>
    <w:rsid w:val="12225A5B"/>
    <w:rsid w:val="122C07C0"/>
    <w:rsid w:val="122E0612"/>
    <w:rsid w:val="122F5A18"/>
    <w:rsid w:val="123A1A54"/>
    <w:rsid w:val="123A338A"/>
    <w:rsid w:val="123D1885"/>
    <w:rsid w:val="123D35B5"/>
    <w:rsid w:val="12505840"/>
    <w:rsid w:val="12511FE8"/>
    <w:rsid w:val="125430A1"/>
    <w:rsid w:val="12590A08"/>
    <w:rsid w:val="125D2010"/>
    <w:rsid w:val="12677551"/>
    <w:rsid w:val="126A7770"/>
    <w:rsid w:val="126E6130"/>
    <w:rsid w:val="127304AA"/>
    <w:rsid w:val="12751402"/>
    <w:rsid w:val="127650A6"/>
    <w:rsid w:val="12861623"/>
    <w:rsid w:val="128D67D5"/>
    <w:rsid w:val="129C24C9"/>
    <w:rsid w:val="12AC5FE9"/>
    <w:rsid w:val="12AD7A04"/>
    <w:rsid w:val="12B83A70"/>
    <w:rsid w:val="12C83042"/>
    <w:rsid w:val="12D33CF0"/>
    <w:rsid w:val="12D37797"/>
    <w:rsid w:val="12D6439D"/>
    <w:rsid w:val="12D77FB8"/>
    <w:rsid w:val="12DD46B3"/>
    <w:rsid w:val="12E83D06"/>
    <w:rsid w:val="12EB6997"/>
    <w:rsid w:val="12F05375"/>
    <w:rsid w:val="12F73B6E"/>
    <w:rsid w:val="12FA565A"/>
    <w:rsid w:val="1304205B"/>
    <w:rsid w:val="130C5D5D"/>
    <w:rsid w:val="131C10EA"/>
    <w:rsid w:val="13230FB6"/>
    <w:rsid w:val="13247026"/>
    <w:rsid w:val="13367494"/>
    <w:rsid w:val="133920AD"/>
    <w:rsid w:val="13485C3E"/>
    <w:rsid w:val="135A3F98"/>
    <w:rsid w:val="135F6AE6"/>
    <w:rsid w:val="13630B99"/>
    <w:rsid w:val="137445D2"/>
    <w:rsid w:val="137841D1"/>
    <w:rsid w:val="1380378E"/>
    <w:rsid w:val="1383111E"/>
    <w:rsid w:val="13856B95"/>
    <w:rsid w:val="13887011"/>
    <w:rsid w:val="13995FDA"/>
    <w:rsid w:val="139B79A5"/>
    <w:rsid w:val="13A50D4D"/>
    <w:rsid w:val="13A56D9C"/>
    <w:rsid w:val="13A6085E"/>
    <w:rsid w:val="13A857B1"/>
    <w:rsid w:val="13B02756"/>
    <w:rsid w:val="13BD1811"/>
    <w:rsid w:val="13C0487C"/>
    <w:rsid w:val="13C42198"/>
    <w:rsid w:val="13C73794"/>
    <w:rsid w:val="13C737BB"/>
    <w:rsid w:val="13E30D55"/>
    <w:rsid w:val="13E73FFC"/>
    <w:rsid w:val="13EB19B3"/>
    <w:rsid w:val="13FA0738"/>
    <w:rsid w:val="14097A15"/>
    <w:rsid w:val="14164D2F"/>
    <w:rsid w:val="141B55D8"/>
    <w:rsid w:val="141C1536"/>
    <w:rsid w:val="141E6027"/>
    <w:rsid w:val="142F014E"/>
    <w:rsid w:val="14362AAB"/>
    <w:rsid w:val="14385901"/>
    <w:rsid w:val="14414D01"/>
    <w:rsid w:val="14444EA4"/>
    <w:rsid w:val="14463FC8"/>
    <w:rsid w:val="1451371A"/>
    <w:rsid w:val="145A079D"/>
    <w:rsid w:val="145B5812"/>
    <w:rsid w:val="146533D1"/>
    <w:rsid w:val="14700A71"/>
    <w:rsid w:val="147357BD"/>
    <w:rsid w:val="14760124"/>
    <w:rsid w:val="14841092"/>
    <w:rsid w:val="14932E4F"/>
    <w:rsid w:val="14A00235"/>
    <w:rsid w:val="14AA07AA"/>
    <w:rsid w:val="14AF6113"/>
    <w:rsid w:val="14B40406"/>
    <w:rsid w:val="14BD3AE9"/>
    <w:rsid w:val="14BF195E"/>
    <w:rsid w:val="14C46A2D"/>
    <w:rsid w:val="14C7186B"/>
    <w:rsid w:val="14D000AA"/>
    <w:rsid w:val="14F1022B"/>
    <w:rsid w:val="14F6413D"/>
    <w:rsid w:val="14FF6C25"/>
    <w:rsid w:val="15035076"/>
    <w:rsid w:val="1509523B"/>
    <w:rsid w:val="150B221E"/>
    <w:rsid w:val="151019F5"/>
    <w:rsid w:val="1523286F"/>
    <w:rsid w:val="152D16C3"/>
    <w:rsid w:val="153C1C07"/>
    <w:rsid w:val="153F7145"/>
    <w:rsid w:val="1545207A"/>
    <w:rsid w:val="154A405B"/>
    <w:rsid w:val="154B51FC"/>
    <w:rsid w:val="1558202E"/>
    <w:rsid w:val="15591F94"/>
    <w:rsid w:val="15634737"/>
    <w:rsid w:val="15651273"/>
    <w:rsid w:val="15673516"/>
    <w:rsid w:val="15732F3B"/>
    <w:rsid w:val="15733C6A"/>
    <w:rsid w:val="157B00D5"/>
    <w:rsid w:val="158E5CEF"/>
    <w:rsid w:val="15955D0A"/>
    <w:rsid w:val="159E5C72"/>
    <w:rsid w:val="15A8028F"/>
    <w:rsid w:val="15AB2E2C"/>
    <w:rsid w:val="15B20ED9"/>
    <w:rsid w:val="15B52AED"/>
    <w:rsid w:val="15B66989"/>
    <w:rsid w:val="15B70E0D"/>
    <w:rsid w:val="15C20724"/>
    <w:rsid w:val="15C50F42"/>
    <w:rsid w:val="15C74641"/>
    <w:rsid w:val="15D170AB"/>
    <w:rsid w:val="15D563E1"/>
    <w:rsid w:val="15EC36CB"/>
    <w:rsid w:val="15F5711C"/>
    <w:rsid w:val="15F67EF7"/>
    <w:rsid w:val="15FC581E"/>
    <w:rsid w:val="16054402"/>
    <w:rsid w:val="160A68DD"/>
    <w:rsid w:val="160C62D3"/>
    <w:rsid w:val="160D3B31"/>
    <w:rsid w:val="16175CA5"/>
    <w:rsid w:val="1619008F"/>
    <w:rsid w:val="162C63B2"/>
    <w:rsid w:val="1632213B"/>
    <w:rsid w:val="16330699"/>
    <w:rsid w:val="163829D4"/>
    <w:rsid w:val="164025FF"/>
    <w:rsid w:val="16604ACD"/>
    <w:rsid w:val="16647616"/>
    <w:rsid w:val="166D664C"/>
    <w:rsid w:val="167152A9"/>
    <w:rsid w:val="16734345"/>
    <w:rsid w:val="1674794A"/>
    <w:rsid w:val="16770291"/>
    <w:rsid w:val="167D0D59"/>
    <w:rsid w:val="168D1F81"/>
    <w:rsid w:val="16952A1E"/>
    <w:rsid w:val="169664F1"/>
    <w:rsid w:val="16982E12"/>
    <w:rsid w:val="16A53F6A"/>
    <w:rsid w:val="16AC4D3D"/>
    <w:rsid w:val="16BA66D8"/>
    <w:rsid w:val="16C812AC"/>
    <w:rsid w:val="16D10FD9"/>
    <w:rsid w:val="16D35BF2"/>
    <w:rsid w:val="16D82AA4"/>
    <w:rsid w:val="16DD7497"/>
    <w:rsid w:val="16E2242D"/>
    <w:rsid w:val="16EE2546"/>
    <w:rsid w:val="172257C1"/>
    <w:rsid w:val="17301235"/>
    <w:rsid w:val="17314A54"/>
    <w:rsid w:val="173F4C83"/>
    <w:rsid w:val="174C49B4"/>
    <w:rsid w:val="174E2A60"/>
    <w:rsid w:val="175C0624"/>
    <w:rsid w:val="175C2F60"/>
    <w:rsid w:val="176428C8"/>
    <w:rsid w:val="17692D77"/>
    <w:rsid w:val="17706113"/>
    <w:rsid w:val="17727375"/>
    <w:rsid w:val="17802406"/>
    <w:rsid w:val="17851235"/>
    <w:rsid w:val="178C1E78"/>
    <w:rsid w:val="179038F3"/>
    <w:rsid w:val="179355E9"/>
    <w:rsid w:val="17A25FF3"/>
    <w:rsid w:val="17B06679"/>
    <w:rsid w:val="17B91FF7"/>
    <w:rsid w:val="17C25D17"/>
    <w:rsid w:val="17C44946"/>
    <w:rsid w:val="17C94E9C"/>
    <w:rsid w:val="17CB6473"/>
    <w:rsid w:val="17D626D3"/>
    <w:rsid w:val="17DD55D1"/>
    <w:rsid w:val="17E3743F"/>
    <w:rsid w:val="17E93C56"/>
    <w:rsid w:val="17EF4017"/>
    <w:rsid w:val="18080218"/>
    <w:rsid w:val="180D08A2"/>
    <w:rsid w:val="18135D5E"/>
    <w:rsid w:val="18193893"/>
    <w:rsid w:val="181A21ED"/>
    <w:rsid w:val="182C1382"/>
    <w:rsid w:val="183C5194"/>
    <w:rsid w:val="184D56A6"/>
    <w:rsid w:val="1855625A"/>
    <w:rsid w:val="18610DF4"/>
    <w:rsid w:val="18666521"/>
    <w:rsid w:val="18673D22"/>
    <w:rsid w:val="187435B0"/>
    <w:rsid w:val="1874757D"/>
    <w:rsid w:val="187C5BB7"/>
    <w:rsid w:val="187E30AA"/>
    <w:rsid w:val="187E5E18"/>
    <w:rsid w:val="187F2061"/>
    <w:rsid w:val="187F2B40"/>
    <w:rsid w:val="18887BCD"/>
    <w:rsid w:val="18947D00"/>
    <w:rsid w:val="18974CF6"/>
    <w:rsid w:val="189C476C"/>
    <w:rsid w:val="18A0151D"/>
    <w:rsid w:val="18A12B49"/>
    <w:rsid w:val="18AB74B4"/>
    <w:rsid w:val="18BD4D14"/>
    <w:rsid w:val="18CE0CAC"/>
    <w:rsid w:val="18CE1CE7"/>
    <w:rsid w:val="18D53EC0"/>
    <w:rsid w:val="18DB726F"/>
    <w:rsid w:val="18DB7639"/>
    <w:rsid w:val="18DF457F"/>
    <w:rsid w:val="18DF7E4C"/>
    <w:rsid w:val="18E42E88"/>
    <w:rsid w:val="18E53856"/>
    <w:rsid w:val="18EA3697"/>
    <w:rsid w:val="18EF3F55"/>
    <w:rsid w:val="18FE066F"/>
    <w:rsid w:val="19036F8B"/>
    <w:rsid w:val="190B10AC"/>
    <w:rsid w:val="190C5ECA"/>
    <w:rsid w:val="190D2D4E"/>
    <w:rsid w:val="190E45D6"/>
    <w:rsid w:val="1911015E"/>
    <w:rsid w:val="192D05DF"/>
    <w:rsid w:val="1937312E"/>
    <w:rsid w:val="19382F12"/>
    <w:rsid w:val="193B7D38"/>
    <w:rsid w:val="1946665A"/>
    <w:rsid w:val="194F193A"/>
    <w:rsid w:val="195F55C5"/>
    <w:rsid w:val="19610584"/>
    <w:rsid w:val="196C24BF"/>
    <w:rsid w:val="196E392B"/>
    <w:rsid w:val="196E60DF"/>
    <w:rsid w:val="19794BDC"/>
    <w:rsid w:val="197C2E7C"/>
    <w:rsid w:val="19807C78"/>
    <w:rsid w:val="19815D94"/>
    <w:rsid w:val="199258AD"/>
    <w:rsid w:val="19953446"/>
    <w:rsid w:val="199D5C4F"/>
    <w:rsid w:val="199E4BDD"/>
    <w:rsid w:val="19A03F19"/>
    <w:rsid w:val="19A223D3"/>
    <w:rsid w:val="19A65273"/>
    <w:rsid w:val="19B26BE3"/>
    <w:rsid w:val="19B41B46"/>
    <w:rsid w:val="19B802BF"/>
    <w:rsid w:val="19BB32EA"/>
    <w:rsid w:val="19BE54B4"/>
    <w:rsid w:val="19C02E0E"/>
    <w:rsid w:val="19D1208C"/>
    <w:rsid w:val="19D47CAC"/>
    <w:rsid w:val="19E21649"/>
    <w:rsid w:val="19FB2542"/>
    <w:rsid w:val="19FE5E40"/>
    <w:rsid w:val="1A054852"/>
    <w:rsid w:val="1A0F1F50"/>
    <w:rsid w:val="1A14242F"/>
    <w:rsid w:val="1A17128D"/>
    <w:rsid w:val="1A2421CF"/>
    <w:rsid w:val="1A2B226E"/>
    <w:rsid w:val="1A2E083F"/>
    <w:rsid w:val="1A3073D8"/>
    <w:rsid w:val="1A42090B"/>
    <w:rsid w:val="1A493B63"/>
    <w:rsid w:val="1A511C76"/>
    <w:rsid w:val="1A526FEE"/>
    <w:rsid w:val="1A5369B9"/>
    <w:rsid w:val="1A5F00DC"/>
    <w:rsid w:val="1A6220C2"/>
    <w:rsid w:val="1A6A061D"/>
    <w:rsid w:val="1A6A27F0"/>
    <w:rsid w:val="1A6E7398"/>
    <w:rsid w:val="1A705363"/>
    <w:rsid w:val="1A746FD5"/>
    <w:rsid w:val="1A760DB0"/>
    <w:rsid w:val="1A8B0EC6"/>
    <w:rsid w:val="1A8C5735"/>
    <w:rsid w:val="1A8F2554"/>
    <w:rsid w:val="1A93377F"/>
    <w:rsid w:val="1A9749A3"/>
    <w:rsid w:val="1AB2007B"/>
    <w:rsid w:val="1ABE1698"/>
    <w:rsid w:val="1AD127E8"/>
    <w:rsid w:val="1AE33138"/>
    <w:rsid w:val="1AF00B87"/>
    <w:rsid w:val="1AF44527"/>
    <w:rsid w:val="1AF5187C"/>
    <w:rsid w:val="1AF572D5"/>
    <w:rsid w:val="1AFA63EC"/>
    <w:rsid w:val="1B161C26"/>
    <w:rsid w:val="1B191AD3"/>
    <w:rsid w:val="1B2565AA"/>
    <w:rsid w:val="1B270A88"/>
    <w:rsid w:val="1B28605F"/>
    <w:rsid w:val="1B2959B0"/>
    <w:rsid w:val="1B3A4F50"/>
    <w:rsid w:val="1B3A63B4"/>
    <w:rsid w:val="1B447110"/>
    <w:rsid w:val="1B4E14F4"/>
    <w:rsid w:val="1B581F69"/>
    <w:rsid w:val="1B6D7555"/>
    <w:rsid w:val="1B7506E7"/>
    <w:rsid w:val="1B753A8E"/>
    <w:rsid w:val="1B7D6C72"/>
    <w:rsid w:val="1B8C3288"/>
    <w:rsid w:val="1B8F1459"/>
    <w:rsid w:val="1B8F46D6"/>
    <w:rsid w:val="1B9C07BB"/>
    <w:rsid w:val="1BA8648E"/>
    <w:rsid w:val="1BA942B7"/>
    <w:rsid w:val="1BAE01E7"/>
    <w:rsid w:val="1BB160CA"/>
    <w:rsid w:val="1BBE0589"/>
    <w:rsid w:val="1BC0324F"/>
    <w:rsid w:val="1BC32536"/>
    <w:rsid w:val="1BC60CA0"/>
    <w:rsid w:val="1BCA1A27"/>
    <w:rsid w:val="1BD56EFD"/>
    <w:rsid w:val="1BD65ED1"/>
    <w:rsid w:val="1BD719A1"/>
    <w:rsid w:val="1BE128AC"/>
    <w:rsid w:val="1BE13D3C"/>
    <w:rsid w:val="1BED4F45"/>
    <w:rsid w:val="1BED6FEE"/>
    <w:rsid w:val="1BF4266B"/>
    <w:rsid w:val="1BFC00B6"/>
    <w:rsid w:val="1C093166"/>
    <w:rsid w:val="1C1A2E46"/>
    <w:rsid w:val="1C270EED"/>
    <w:rsid w:val="1C290A7D"/>
    <w:rsid w:val="1C2C65DF"/>
    <w:rsid w:val="1C323E09"/>
    <w:rsid w:val="1C352CA6"/>
    <w:rsid w:val="1C4844B6"/>
    <w:rsid w:val="1C513AF7"/>
    <w:rsid w:val="1C554CE5"/>
    <w:rsid w:val="1C5E05A5"/>
    <w:rsid w:val="1C6343D2"/>
    <w:rsid w:val="1C6E3761"/>
    <w:rsid w:val="1C7B0312"/>
    <w:rsid w:val="1C7F2A84"/>
    <w:rsid w:val="1C8317A8"/>
    <w:rsid w:val="1C8569CE"/>
    <w:rsid w:val="1C8A1438"/>
    <w:rsid w:val="1C8E5F02"/>
    <w:rsid w:val="1C965725"/>
    <w:rsid w:val="1C9B23BD"/>
    <w:rsid w:val="1CA26F61"/>
    <w:rsid w:val="1CA300E4"/>
    <w:rsid w:val="1CA94545"/>
    <w:rsid w:val="1CBA09DE"/>
    <w:rsid w:val="1CBE66E7"/>
    <w:rsid w:val="1CC36999"/>
    <w:rsid w:val="1CCA0E53"/>
    <w:rsid w:val="1CCF23E1"/>
    <w:rsid w:val="1CD93548"/>
    <w:rsid w:val="1CDE1F10"/>
    <w:rsid w:val="1CF50F8B"/>
    <w:rsid w:val="1D160B16"/>
    <w:rsid w:val="1D1706EC"/>
    <w:rsid w:val="1D237967"/>
    <w:rsid w:val="1D2537ED"/>
    <w:rsid w:val="1D2E754C"/>
    <w:rsid w:val="1D3800A0"/>
    <w:rsid w:val="1D4D0D32"/>
    <w:rsid w:val="1D4F5237"/>
    <w:rsid w:val="1D522C48"/>
    <w:rsid w:val="1D6632A6"/>
    <w:rsid w:val="1D665200"/>
    <w:rsid w:val="1D6906A5"/>
    <w:rsid w:val="1D6E1328"/>
    <w:rsid w:val="1D6F0BCD"/>
    <w:rsid w:val="1D725800"/>
    <w:rsid w:val="1D725B0A"/>
    <w:rsid w:val="1D7338FD"/>
    <w:rsid w:val="1D8B2DC4"/>
    <w:rsid w:val="1D917EF3"/>
    <w:rsid w:val="1D977535"/>
    <w:rsid w:val="1D983B6F"/>
    <w:rsid w:val="1DA37F6D"/>
    <w:rsid w:val="1DB43290"/>
    <w:rsid w:val="1DB9406C"/>
    <w:rsid w:val="1DC466DA"/>
    <w:rsid w:val="1DCB03BF"/>
    <w:rsid w:val="1DD02C07"/>
    <w:rsid w:val="1DD92AB7"/>
    <w:rsid w:val="1DD95413"/>
    <w:rsid w:val="1DE22E73"/>
    <w:rsid w:val="1DE52953"/>
    <w:rsid w:val="1DE80704"/>
    <w:rsid w:val="1DEC01C2"/>
    <w:rsid w:val="1E1E5E28"/>
    <w:rsid w:val="1E250E17"/>
    <w:rsid w:val="1E3B5B66"/>
    <w:rsid w:val="1E467139"/>
    <w:rsid w:val="1E5E59CA"/>
    <w:rsid w:val="1E6C597C"/>
    <w:rsid w:val="1E6E5558"/>
    <w:rsid w:val="1E800217"/>
    <w:rsid w:val="1E9205FD"/>
    <w:rsid w:val="1E9509EF"/>
    <w:rsid w:val="1EA030AC"/>
    <w:rsid w:val="1EA82BE0"/>
    <w:rsid w:val="1EAC18BF"/>
    <w:rsid w:val="1EB52A08"/>
    <w:rsid w:val="1EB8134A"/>
    <w:rsid w:val="1ECD2C20"/>
    <w:rsid w:val="1EDA1998"/>
    <w:rsid w:val="1EDF30D1"/>
    <w:rsid w:val="1EE20F96"/>
    <w:rsid w:val="1EE2437D"/>
    <w:rsid w:val="1EE35ED3"/>
    <w:rsid w:val="1EE932F7"/>
    <w:rsid w:val="1EEB64C1"/>
    <w:rsid w:val="1EEE222B"/>
    <w:rsid w:val="1EEF052A"/>
    <w:rsid w:val="1EF041C8"/>
    <w:rsid w:val="1EF22A5A"/>
    <w:rsid w:val="1EF96AC5"/>
    <w:rsid w:val="1F041DAF"/>
    <w:rsid w:val="1F044D15"/>
    <w:rsid w:val="1F105404"/>
    <w:rsid w:val="1F19015F"/>
    <w:rsid w:val="1F1E0932"/>
    <w:rsid w:val="1F22232D"/>
    <w:rsid w:val="1F237E75"/>
    <w:rsid w:val="1F2578BE"/>
    <w:rsid w:val="1F2A2D9E"/>
    <w:rsid w:val="1F3007F7"/>
    <w:rsid w:val="1F332AFB"/>
    <w:rsid w:val="1F371104"/>
    <w:rsid w:val="1F3764EA"/>
    <w:rsid w:val="1F392ECC"/>
    <w:rsid w:val="1F3A3A28"/>
    <w:rsid w:val="1F42051F"/>
    <w:rsid w:val="1F4241A5"/>
    <w:rsid w:val="1F452E17"/>
    <w:rsid w:val="1F477FE0"/>
    <w:rsid w:val="1F4813EE"/>
    <w:rsid w:val="1F4C080B"/>
    <w:rsid w:val="1F524294"/>
    <w:rsid w:val="1F5A0E99"/>
    <w:rsid w:val="1F6369B8"/>
    <w:rsid w:val="1F6E7A36"/>
    <w:rsid w:val="1F6F0D48"/>
    <w:rsid w:val="1F717794"/>
    <w:rsid w:val="1F891416"/>
    <w:rsid w:val="1F8A20F2"/>
    <w:rsid w:val="1F90011E"/>
    <w:rsid w:val="1F9C3441"/>
    <w:rsid w:val="1FA43381"/>
    <w:rsid w:val="1FA9203F"/>
    <w:rsid w:val="1FB4119F"/>
    <w:rsid w:val="1FBC011F"/>
    <w:rsid w:val="1FBD2988"/>
    <w:rsid w:val="1FBF1D51"/>
    <w:rsid w:val="1FC7353C"/>
    <w:rsid w:val="1FCA48EE"/>
    <w:rsid w:val="1FD83D24"/>
    <w:rsid w:val="1FD86B14"/>
    <w:rsid w:val="1FEA196D"/>
    <w:rsid w:val="1FEC7A5A"/>
    <w:rsid w:val="1FF9519D"/>
    <w:rsid w:val="200C6A4F"/>
    <w:rsid w:val="20173DC9"/>
    <w:rsid w:val="201E1E49"/>
    <w:rsid w:val="201E6A09"/>
    <w:rsid w:val="202163AF"/>
    <w:rsid w:val="20391A89"/>
    <w:rsid w:val="204201DA"/>
    <w:rsid w:val="20460DF3"/>
    <w:rsid w:val="205408EC"/>
    <w:rsid w:val="206908C6"/>
    <w:rsid w:val="20845E00"/>
    <w:rsid w:val="208F38E6"/>
    <w:rsid w:val="209302D8"/>
    <w:rsid w:val="20A86DB6"/>
    <w:rsid w:val="20AD2DAB"/>
    <w:rsid w:val="20B1207F"/>
    <w:rsid w:val="20B27D12"/>
    <w:rsid w:val="20B77E33"/>
    <w:rsid w:val="20BB6562"/>
    <w:rsid w:val="20D25569"/>
    <w:rsid w:val="20E001F9"/>
    <w:rsid w:val="20F5319F"/>
    <w:rsid w:val="20FE5C66"/>
    <w:rsid w:val="210C3C6C"/>
    <w:rsid w:val="21204C5C"/>
    <w:rsid w:val="21223A14"/>
    <w:rsid w:val="21230BFC"/>
    <w:rsid w:val="21245966"/>
    <w:rsid w:val="212A324A"/>
    <w:rsid w:val="212B1E38"/>
    <w:rsid w:val="2138170D"/>
    <w:rsid w:val="213838A2"/>
    <w:rsid w:val="213C33EF"/>
    <w:rsid w:val="214421EF"/>
    <w:rsid w:val="21513D2B"/>
    <w:rsid w:val="2153148D"/>
    <w:rsid w:val="215D7529"/>
    <w:rsid w:val="216116DA"/>
    <w:rsid w:val="217C34E8"/>
    <w:rsid w:val="2181459B"/>
    <w:rsid w:val="2188178B"/>
    <w:rsid w:val="218967CD"/>
    <w:rsid w:val="21A621C0"/>
    <w:rsid w:val="21B76AE0"/>
    <w:rsid w:val="21B90C55"/>
    <w:rsid w:val="21CB0548"/>
    <w:rsid w:val="21D90F64"/>
    <w:rsid w:val="21D97C7C"/>
    <w:rsid w:val="21ED4A2D"/>
    <w:rsid w:val="21FF6F65"/>
    <w:rsid w:val="220043BE"/>
    <w:rsid w:val="22024EB1"/>
    <w:rsid w:val="22374BD4"/>
    <w:rsid w:val="223A2F85"/>
    <w:rsid w:val="223A3D3D"/>
    <w:rsid w:val="223A5258"/>
    <w:rsid w:val="223D38F5"/>
    <w:rsid w:val="223E72C7"/>
    <w:rsid w:val="224171FF"/>
    <w:rsid w:val="2242222A"/>
    <w:rsid w:val="22433380"/>
    <w:rsid w:val="224B36B9"/>
    <w:rsid w:val="22514A7E"/>
    <w:rsid w:val="225423E9"/>
    <w:rsid w:val="225B62BD"/>
    <w:rsid w:val="225D6004"/>
    <w:rsid w:val="225F6AAA"/>
    <w:rsid w:val="226169CA"/>
    <w:rsid w:val="226563E4"/>
    <w:rsid w:val="226D7605"/>
    <w:rsid w:val="22984B03"/>
    <w:rsid w:val="2299525E"/>
    <w:rsid w:val="22A40BC2"/>
    <w:rsid w:val="22A82C48"/>
    <w:rsid w:val="22AA6762"/>
    <w:rsid w:val="22BE030D"/>
    <w:rsid w:val="22D30259"/>
    <w:rsid w:val="22D505BD"/>
    <w:rsid w:val="22DA683A"/>
    <w:rsid w:val="22DC64AE"/>
    <w:rsid w:val="22DF4CF9"/>
    <w:rsid w:val="22E177E3"/>
    <w:rsid w:val="22E23EC8"/>
    <w:rsid w:val="22E706D1"/>
    <w:rsid w:val="22EC54FB"/>
    <w:rsid w:val="22F85346"/>
    <w:rsid w:val="22FE301A"/>
    <w:rsid w:val="230410D4"/>
    <w:rsid w:val="230E0307"/>
    <w:rsid w:val="230F7481"/>
    <w:rsid w:val="231D1A1F"/>
    <w:rsid w:val="231D4AA1"/>
    <w:rsid w:val="231E2CAC"/>
    <w:rsid w:val="23277FD2"/>
    <w:rsid w:val="2336607D"/>
    <w:rsid w:val="233F636F"/>
    <w:rsid w:val="233F7861"/>
    <w:rsid w:val="2345078D"/>
    <w:rsid w:val="234B417B"/>
    <w:rsid w:val="235A42EF"/>
    <w:rsid w:val="23615B04"/>
    <w:rsid w:val="236E034E"/>
    <w:rsid w:val="23883BDB"/>
    <w:rsid w:val="23912BC5"/>
    <w:rsid w:val="23961929"/>
    <w:rsid w:val="239E0787"/>
    <w:rsid w:val="23AA1BD9"/>
    <w:rsid w:val="23AE121B"/>
    <w:rsid w:val="23AE4F2D"/>
    <w:rsid w:val="23B8562B"/>
    <w:rsid w:val="23C11592"/>
    <w:rsid w:val="23CA57A0"/>
    <w:rsid w:val="23E02F44"/>
    <w:rsid w:val="23EA656A"/>
    <w:rsid w:val="23F257C9"/>
    <w:rsid w:val="24060D24"/>
    <w:rsid w:val="240A5896"/>
    <w:rsid w:val="24227D9C"/>
    <w:rsid w:val="243065AD"/>
    <w:rsid w:val="24346254"/>
    <w:rsid w:val="243E6304"/>
    <w:rsid w:val="244427EA"/>
    <w:rsid w:val="244B552E"/>
    <w:rsid w:val="245520C4"/>
    <w:rsid w:val="245A71E9"/>
    <w:rsid w:val="24733916"/>
    <w:rsid w:val="247F3E05"/>
    <w:rsid w:val="24882C0C"/>
    <w:rsid w:val="2489147F"/>
    <w:rsid w:val="248A5478"/>
    <w:rsid w:val="248B13AE"/>
    <w:rsid w:val="249377C5"/>
    <w:rsid w:val="249443AB"/>
    <w:rsid w:val="249551CD"/>
    <w:rsid w:val="24971A5B"/>
    <w:rsid w:val="249A7ECA"/>
    <w:rsid w:val="249E6DB8"/>
    <w:rsid w:val="24A057CB"/>
    <w:rsid w:val="24A75B4B"/>
    <w:rsid w:val="24A93252"/>
    <w:rsid w:val="24AE4F26"/>
    <w:rsid w:val="24B000FE"/>
    <w:rsid w:val="24B35B2A"/>
    <w:rsid w:val="24B8360E"/>
    <w:rsid w:val="24B90094"/>
    <w:rsid w:val="24C663E3"/>
    <w:rsid w:val="24CA00D1"/>
    <w:rsid w:val="24D161D2"/>
    <w:rsid w:val="24D236CB"/>
    <w:rsid w:val="24D558E6"/>
    <w:rsid w:val="24DB77A2"/>
    <w:rsid w:val="24DC6B38"/>
    <w:rsid w:val="24E71920"/>
    <w:rsid w:val="24F009DE"/>
    <w:rsid w:val="24F52DD2"/>
    <w:rsid w:val="25114FE4"/>
    <w:rsid w:val="251879FA"/>
    <w:rsid w:val="251E1506"/>
    <w:rsid w:val="25215125"/>
    <w:rsid w:val="25226398"/>
    <w:rsid w:val="25247B4F"/>
    <w:rsid w:val="252E1433"/>
    <w:rsid w:val="2531698B"/>
    <w:rsid w:val="253649C2"/>
    <w:rsid w:val="25404ED8"/>
    <w:rsid w:val="254B663C"/>
    <w:rsid w:val="254E2098"/>
    <w:rsid w:val="25566D9D"/>
    <w:rsid w:val="255A664B"/>
    <w:rsid w:val="255C2427"/>
    <w:rsid w:val="255D34A1"/>
    <w:rsid w:val="255F73CB"/>
    <w:rsid w:val="25635A63"/>
    <w:rsid w:val="256F7005"/>
    <w:rsid w:val="25790D30"/>
    <w:rsid w:val="258A1ADB"/>
    <w:rsid w:val="258C2E18"/>
    <w:rsid w:val="259813EA"/>
    <w:rsid w:val="259C2A30"/>
    <w:rsid w:val="259E3F38"/>
    <w:rsid w:val="25B00223"/>
    <w:rsid w:val="25B032C7"/>
    <w:rsid w:val="25B65D2B"/>
    <w:rsid w:val="25C75BA8"/>
    <w:rsid w:val="25CA6920"/>
    <w:rsid w:val="25CC5F8C"/>
    <w:rsid w:val="25DF1E18"/>
    <w:rsid w:val="25E440F4"/>
    <w:rsid w:val="25E6181F"/>
    <w:rsid w:val="25F0131A"/>
    <w:rsid w:val="25F45B34"/>
    <w:rsid w:val="25FE757D"/>
    <w:rsid w:val="25FF74F0"/>
    <w:rsid w:val="26037368"/>
    <w:rsid w:val="26052383"/>
    <w:rsid w:val="260C198B"/>
    <w:rsid w:val="261132F4"/>
    <w:rsid w:val="261613A0"/>
    <w:rsid w:val="262C4D95"/>
    <w:rsid w:val="26334042"/>
    <w:rsid w:val="26501580"/>
    <w:rsid w:val="265E5095"/>
    <w:rsid w:val="26624025"/>
    <w:rsid w:val="26624164"/>
    <w:rsid w:val="266A57F3"/>
    <w:rsid w:val="26777ADA"/>
    <w:rsid w:val="267800C1"/>
    <w:rsid w:val="267D2DA7"/>
    <w:rsid w:val="267F09A3"/>
    <w:rsid w:val="26854829"/>
    <w:rsid w:val="269836D8"/>
    <w:rsid w:val="2699370D"/>
    <w:rsid w:val="26A34F56"/>
    <w:rsid w:val="26B477B4"/>
    <w:rsid w:val="26BF6A11"/>
    <w:rsid w:val="26CB2C22"/>
    <w:rsid w:val="26CF3AD6"/>
    <w:rsid w:val="26D168A9"/>
    <w:rsid w:val="26D2288E"/>
    <w:rsid w:val="26D267BB"/>
    <w:rsid w:val="26E353A0"/>
    <w:rsid w:val="26F650E7"/>
    <w:rsid w:val="26F93492"/>
    <w:rsid w:val="270C2F92"/>
    <w:rsid w:val="270F627E"/>
    <w:rsid w:val="27110F29"/>
    <w:rsid w:val="27235E1C"/>
    <w:rsid w:val="2725142A"/>
    <w:rsid w:val="27301E89"/>
    <w:rsid w:val="27316637"/>
    <w:rsid w:val="273657AF"/>
    <w:rsid w:val="27386F47"/>
    <w:rsid w:val="274F000B"/>
    <w:rsid w:val="275834FB"/>
    <w:rsid w:val="275F64A6"/>
    <w:rsid w:val="27683B46"/>
    <w:rsid w:val="27694977"/>
    <w:rsid w:val="276D466C"/>
    <w:rsid w:val="277E494C"/>
    <w:rsid w:val="27862524"/>
    <w:rsid w:val="279346C5"/>
    <w:rsid w:val="2799756A"/>
    <w:rsid w:val="27A1449D"/>
    <w:rsid w:val="27A46A07"/>
    <w:rsid w:val="27A64E91"/>
    <w:rsid w:val="27BB5643"/>
    <w:rsid w:val="27C2508C"/>
    <w:rsid w:val="27C25BE2"/>
    <w:rsid w:val="27D0390D"/>
    <w:rsid w:val="27D66FEB"/>
    <w:rsid w:val="27FB2377"/>
    <w:rsid w:val="280B7938"/>
    <w:rsid w:val="280C73D4"/>
    <w:rsid w:val="280E7144"/>
    <w:rsid w:val="28154FBC"/>
    <w:rsid w:val="281C3100"/>
    <w:rsid w:val="281D0E0D"/>
    <w:rsid w:val="28254D84"/>
    <w:rsid w:val="282C631F"/>
    <w:rsid w:val="283226AF"/>
    <w:rsid w:val="283279AD"/>
    <w:rsid w:val="28460352"/>
    <w:rsid w:val="28510B99"/>
    <w:rsid w:val="285C2695"/>
    <w:rsid w:val="286806A3"/>
    <w:rsid w:val="28797B15"/>
    <w:rsid w:val="28815F71"/>
    <w:rsid w:val="28923BE3"/>
    <w:rsid w:val="289B7C78"/>
    <w:rsid w:val="28A64B80"/>
    <w:rsid w:val="28BC7A55"/>
    <w:rsid w:val="28BE2953"/>
    <w:rsid w:val="28BE7E20"/>
    <w:rsid w:val="28BF2B66"/>
    <w:rsid w:val="28C64036"/>
    <w:rsid w:val="28C80B9C"/>
    <w:rsid w:val="28D166A3"/>
    <w:rsid w:val="28E65BE4"/>
    <w:rsid w:val="28EA39B9"/>
    <w:rsid w:val="28EE2CB5"/>
    <w:rsid w:val="28FE64E5"/>
    <w:rsid w:val="291004C1"/>
    <w:rsid w:val="291006FE"/>
    <w:rsid w:val="29114B38"/>
    <w:rsid w:val="29153742"/>
    <w:rsid w:val="29154BDE"/>
    <w:rsid w:val="291D5CA3"/>
    <w:rsid w:val="292A16CE"/>
    <w:rsid w:val="292A4807"/>
    <w:rsid w:val="29336722"/>
    <w:rsid w:val="29372C4D"/>
    <w:rsid w:val="293B19D0"/>
    <w:rsid w:val="29524BC4"/>
    <w:rsid w:val="296440B9"/>
    <w:rsid w:val="29647A96"/>
    <w:rsid w:val="298038C2"/>
    <w:rsid w:val="29811692"/>
    <w:rsid w:val="29847FAB"/>
    <w:rsid w:val="29884455"/>
    <w:rsid w:val="298952F7"/>
    <w:rsid w:val="298E5A13"/>
    <w:rsid w:val="2999538B"/>
    <w:rsid w:val="299D0263"/>
    <w:rsid w:val="29A22A53"/>
    <w:rsid w:val="29A95E28"/>
    <w:rsid w:val="29B20533"/>
    <w:rsid w:val="29C92654"/>
    <w:rsid w:val="29C9741A"/>
    <w:rsid w:val="29DA3A4B"/>
    <w:rsid w:val="29DE47E9"/>
    <w:rsid w:val="29E36908"/>
    <w:rsid w:val="2A006649"/>
    <w:rsid w:val="2A017B4B"/>
    <w:rsid w:val="2A0C46AA"/>
    <w:rsid w:val="2A0E4CE5"/>
    <w:rsid w:val="2A0E6060"/>
    <w:rsid w:val="2A191DC5"/>
    <w:rsid w:val="2A2A33D0"/>
    <w:rsid w:val="2A3C54D4"/>
    <w:rsid w:val="2A434274"/>
    <w:rsid w:val="2A441715"/>
    <w:rsid w:val="2A572153"/>
    <w:rsid w:val="2A5A6160"/>
    <w:rsid w:val="2A655CBC"/>
    <w:rsid w:val="2A70325E"/>
    <w:rsid w:val="2A7531EC"/>
    <w:rsid w:val="2A7B503C"/>
    <w:rsid w:val="2A822C49"/>
    <w:rsid w:val="2A9001B3"/>
    <w:rsid w:val="2A911C05"/>
    <w:rsid w:val="2A955642"/>
    <w:rsid w:val="2A9B463A"/>
    <w:rsid w:val="2A9E0591"/>
    <w:rsid w:val="2AAF76F0"/>
    <w:rsid w:val="2AB423D8"/>
    <w:rsid w:val="2AC04124"/>
    <w:rsid w:val="2AC33EF5"/>
    <w:rsid w:val="2ACA02C2"/>
    <w:rsid w:val="2AD2245A"/>
    <w:rsid w:val="2AE57DD0"/>
    <w:rsid w:val="2AE82E8E"/>
    <w:rsid w:val="2AEA65F8"/>
    <w:rsid w:val="2AEC1F91"/>
    <w:rsid w:val="2AEF2195"/>
    <w:rsid w:val="2AF07F9D"/>
    <w:rsid w:val="2AFF055A"/>
    <w:rsid w:val="2B013E91"/>
    <w:rsid w:val="2B0C17C2"/>
    <w:rsid w:val="2B1277C9"/>
    <w:rsid w:val="2B1D60D9"/>
    <w:rsid w:val="2B1F012E"/>
    <w:rsid w:val="2B211BFA"/>
    <w:rsid w:val="2B2B3F43"/>
    <w:rsid w:val="2B2F64D7"/>
    <w:rsid w:val="2B37701C"/>
    <w:rsid w:val="2B381E1B"/>
    <w:rsid w:val="2B47568D"/>
    <w:rsid w:val="2B493377"/>
    <w:rsid w:val="2B4B7291"/>
    <w:rsid w:val="2B5E4F8F"/>
    <w:rsid w:val="2B637C5E"/>
    <w:rsid w:val="2B6A1783"/>
    <w:rsid w:val="2B9333B4"/>
    <w:rsid w:val="2B95476A"/>
    <w:rsid w:val="2BA30969"/>
    <w:rsid w:val="2BA53F21"/>
    <w:rsid w:val="2BAE31EC"/>
    <w:rsid w:val="2BB373C1"/>
    <w:rsid w:val="2BB66EF3"/>
    <w:rsid w:val="2BC06B1D"/>
    <w:rsid w:val="2BE42B82"/>
    <w:rsid w:val="2BF2723B"/>
    <w:rsid w:val="2BF27EE4"/>
    <w:rsid w:val="2C0168E2"/>
    <w:rsid w:val="2C0C7C17"/>
    <w:rsid w:val="2C127981"/>
    <w:rsid w:val="2C151A26"/>
    <w:rsid w:val="2C1C623E"/>
    <w:rsid w:val="2C281D2B"/>
    <w:rsid w:val="2C2C0627"/>
    <w:rsid w:val="2C2F27E9"/>
    <w:rsid w:val="2C2F77A7"/>
    <w:rsid w:val="2C385D6B"/>
    <w:rsid w:val="2C3A7969"/>
    <w:rsid w:val="2C49233D"/>
    <w:rsid w:val="2C52480B"/>
    <w:rsid w:val="2C6501A3"/>
    <w:rsid w:val="2C652B88"/>
    <w:rsid w:val="2C6D07A8"/>
    <w:rsid w:val="2C796BEF"/>
    <w:rsid w:val="2C7B4C8B"/>
    <w:rsid w:val="2C857990"/>
    <w:rsid w:val="2C907B86"/>
    <w:rsid w:val="2C9B22AB"/>
    <w:rsid w:val="2CA02036"/>
    <w:rsid w:val="2CA61691"/>
    <w:rsid w:val="2CA64350"/>
    <w:rsid w:val="2CA80E04"/>
    <w:rsid w:val="2CAA41F5"/>
    <w:rsid w:val="2CB41D0A"/>
    <w:rsid w:val="2CC70D04"/>
    <w:rsid w:val="2CC77073"/>
    <w:rsid w:val="2CC908D4"/>
    <w:rsid w:val="2CCC7658"/>
    <w:rsid w:val="2CDC76B6"/>
    <w:rsid w:val="2CEC27E6"/>
    <w:rsid w:val="2CF06381"/>
    <w:rsid w:val="2CFA1C69"/>
    <w:rsid w:val="2CFE1EE9"/>
    <w:rsid w:val="2D045DEB"/>
    <w:rsid w:val="2D1A4CF3"/>
    <w:rsid w:val="2D2E5C57"/>
    <w:rsid w:val="2D414885"/>
    <w:rsid w:val="2D4358E1"/>
    <w:rsid w:val="2D4A6043"/>
    <w:rsid w:val="2D4D43DE"/>
    <w:rsid w:val="2D4E64AE"/>
    <w:rsid w:val="2D512109"/>
    <w:rsid w:val="2D59108E"/>
    <w:rsid w:val="2D5C0264"/>
    <w:rsid w:val="2D6618B7"/>
    <w:rsid w:val="2D66788F"/>
    <w:rsid w:val="2D7E2EB5"/>
    <w:rsid w:val="2D8655FF"/>
    <w:rsid w:val="2D8F3467"/>
    <w:rsid w:val="2DAB715A"/>
    <w:rsid w:val="2DBC1379"/>
    <w:rsid w:val="2DC4137D"/>
    <w:rsid w:val="2DC6116D"/>
    <w:rsid w:val="2DCF05BB"/>
    <w:rsid w:val="2DDE3F4C"/>
    <w:rsid w:val="2DEB660E"/>
    <w:rsid w:val="2DF2211C"/>
    <w:rsid w:val="2DF41D4E"/>
    <w:rsid w:val="2DFD392A"/>
    <w:rsid w:val="2DFD5B4F"/>
    <w:rsid w:val="2E042F19"/>
    <w:rsid w:val="2E257417"/>
    <w:rsid w:val="2E31149C"/>
    <w:rsid w:val="2E4117B3"/>
    <w:rsid w:val="2E473BD8"/>
    <w:rsid w:val="2E4C6645"/>
    <w:rsid w:val="2E5C4450"/>
    <w:rsid w:val="2E5C58A3"/>
    <w:rsid w:val="2E6978BA"/>
    <w:rsid w:val="2E6C7955"/>
    <w:rsid w:val="2E753C24"/>
    <w:rsid w:val="2E827D67"/>
    <w:rsid w:val="2E92640D"/>
    <w:rsid w:val="2E9C1136"/>
    <w:rsid w:val="2E9F6AAF"/>
    <w:rsid w:val="2EA63467"/>
    <w:rsid w:val="2EB03E2D"/>
    <w:rsid w:val="2EB72C94"/>
    <w:rsid w:val="2EC011B7"/>
    <w:rsid w:val="2EC33317"/>
    <w:rsid w:val="2EC60E04"/>
    <w:rsid w:val="2ECA5C90"/>
    <w:rsid w:val="2EDA22B7"/>
    <w:rsid w:val="2EE368A6"/>
    <w:rsid w:val="2EE9289C"/>
    <w:rsid w:val="2EEB4EB9"/>
    <w:rsid w:val="2EF02509"/>
    <w:rsid w:val="2EF04775"/>
    <w:rsid w:val="2EF66034"/>
    <w:rsid w:val="2F024F9A"/>
    <w:rsid w:val="2F047E4A"/>
    <w:rsid w:val="2F0E3EAC"/>
    <w:rsid w:val="2F1B52AF"/>
    <w:rsid w:val="2F223AC1"/>
    <w:rsid w:val="2F235DD3"/>
    <w:rsid w:val="2F286D5F"/>
    <w:rsid w:val="2F291D82"/>
    <w:rsid w:val="2F2F382F"/>
    <w:rsid w:val="2F302DF6"/>
    <w:rsid w:val="2F341C78"/>
    <w:rsid w:val="2F3715E6"/>
    <w:rsid w:val="2F4C7EBB"/>
    <w:rsid w:val="2F4F2510"/>
    <w:rsid w:val="2F575045"/>
    <w:rsid w:val="2F5C2128"/>
    <w:rsid w:val="2F677CC0"/>
    <w:rsid w:val="2F6E7365"/>
    <w:rsid w:val="2F733F88"/>
    <w:rsid w:val="2F756802"/>
    <w:rsid w:val="2F827B20"/>
    <w:rsid w:val="2F864C12"/>
    <w:rsid w:val="2F882FE1"/>
    <w:rsid w:val="2F8B7A23"/>
    <w:rsid w:val="2F8F51E2"/>
    <w:rsid w:val="2FA16C61"/>
    <w:rsid w:val="2FA80717"/>
    <w:rsid w:val="2FB363D9"/>
    <w:rsid w:val="2FBD1109"/>
    <w:rsid w:val="2FCA5822"/>
    <w:rsid w:val="2FCC2D83"/>
    <w:rsid w:val="2FD23717"/>
    <w:rsid w:val="2FDA1544"/>
    <w:rsid w:val="2FE7608A"/>
    <w:rsid w:val="2FEB6481"/>
    <w:rsid w:val="30007BF7"/>
    <w:rsid w:val="30027135"/>
    <w:rsid w:val="30033030"/>
    <w:rsid w:val="30101429"/>
    <w:rsid w:val="302027CB"/>
    <w:rsid w:val="30223072"/>
    <w:rsid w:val="302D4AE6"/>
    <w:rsid w:val="302F489E"/>
    <w:rsid w:val="303E336D"/>
    <w:rsid w:val="30405E57"/>
    <w:rsid w:val="30587B42"/>
    <w:rsid w:val="306409E7"/>
    <w:rsid w:val="306A3E56"/>
    <w:rsid w:val="306C09CF"/>
    <w:rsid w:val="30772EFF"/>
    <w:rsid w:val="308919C0"/>
    <w:rsid w:val="309A4D4A"/>
    <w:rsid w:val="30A7084A"/>
    <w:rsid w:val="30B850B1"/>
    <w:rsid w:val="30B91D03"/>
    <w:rsid w:val="30C33689"/>
    <w:rsid w:val="30C45777"/>
    <w:rsid w:val="30C9089F"/>
    <w:rsid w:val="30CF334F"/>
    <w:rsid w:val="30FE5B7D"/>
    <w:rsid w:val="310522D1"/>
    <w:rsid w:val="3116779C"/>
    <w:rsid w:val="311909CA"/>
    <w:rsid w:val="311F5B9A"/>
    <w:rsid w:val="31221831"/>
    <w:rsid w:val="31236DA1"/>
    <w:rsid w:val="312860E2"/>
    <w:rsid w:val="312939BD"/>
    <w:rsid w:val="31295D98"/>
    <w:rsid w:val="31321751"/>
    <w:rsid w:val="313F6316"/>
    <w:rsid w:val="314B070C"/>
    <w:rsid w:val="31574642"/>
    <w:rsid w:val="31584B13"/>
    <w:rsid w:val="316F489B"/>
    <w:rsid w:val="316F7966"/>
    <w:rsid w:val="31766304"/>
    <w:rsid w:val="3186231E"/>
    <w:rsid w:val="319A10FF"/>
    <w:rsid w:val="31A42C35"/>
    <w:rsid w:val="31A7225D"/>
    <w:rsid w:val="31A86893"/>
    <w:rsid w:val="31AB222F"/>
    <w:rsid w:val="31AD5873"/>
    <w:rsid w:val="31B06849"/>
    <w:rsid w:val="31B35B55"/>
    <w:rsid w:val="31CD21DA"/>
    <w:rsid w:val="31CD3C03"/>
    <w:rsid w:val="31D07A13"/>
    <w:rsid w:val="31DB1D4F"/>
    <w:rsid w:val="31DE1587"/>
    <w:rsid w:val="31E26A2B"/>
    <w:rsid w:val="31E4513F"/>
    <w:rsid w:val="31EB5785"/>
    <w:rsid w:val="31FF32A7"/>
    <w:rsid w:val="31FF3719"/>
    <w:rsid w:val="32031DCB"/>
    <w:rsid w:val="320E5A20"/>
    <w:rsid w:val="32234EA9"/>
    <w:rsid w:val="32241508"/>
    <w:rsid w:val="32245908"/>
    <w:rsid w:val="322B3C15"/>
    <w:rsid w:val="32465B80"/>
    <w:rsid w:val="3250276F"/>
    <w:rsid w:val="3251676D"/>
    <w:rsid w:val="325A1B7E"/>
    <w:rsid w:val="325A27C9"/>
    <w:rsid w:val="326E2F0D"/>
    <w:rsid w:val="32716007"/>
    <w:rsid w:val="32723A01"/>
    <w:rsid w:val="327A3E05"/>
    <w:rsid w:val="327C3161"/>
    <w:rsid w:val="328601AF"/>
    <w:rsid w:val="328A1741"/>
    <w:rsid w:val="328B2FE9"/>
    <w:rsid w:val="32921AFE"/>
    <w:rsid w:val="32946D43"/>
    <w:rsid w:val="329D0921"/>
    <w:rsid w:val="32A44EA6"/>
    <w:rsid w:val="32C25E64"/>
    <w:rsid w:val="32CF3273"/>
    <w:rsid w:val="32D06987"/>
    <w:rsid w:val="32DC69FE"/>
    <w:rsid w:val="32E144E9"/>
    <w:rsid w:val="32F26130"/>
    <w:rsid w:val="32FB4472"/>
    <w:rsid w:val="33042B77"/>
    <w:rsid w:val="33056535"/>
    <w:rsid w:val="330B7E1F"/>
    <w:rsid w:val="331B1E07"/>
    <w:rsid w:val="33203C6F"/>
    <w:rsid w:val="33252A1F"/>
    <w:rsid w:val="33290885"/>
    <w:rsid w:val="332C0DDD"/>
    <w:rsid w:val="333D6EC0"/>
    <w:rsid w:val="33423EC3"/>
    <w:rsid w:val="33434BFF"/>
    <w:rsid w:val="334E07EA"/>
    <w:rsid w:val="335258A9"/>
    <w:rsid w:val="335666DF"/>
    <w:rsid w:val="33573BA1"/>
    <w:rsid w:val="335D5FC3"/>
    <w:rsid w:val="3362065A"/>
    <w:rsid w:val="33627F5C"/>
    <w:rsid w:val="33637D62"/>
    <w:rsid w:val="336E6DF5"/>
    <w:rsid w:val="338A55A2"/>
    <w:rsid w:val="33A65BDF"/>
    <w:rsid w:val="33A81B3B"/>
    <w:rsid w:val="33A92CC8"/>
    <w:rsid w:val="33AA4475"/>
    <w:rsid w:val="33AB0C49"/>
    <w:rsid w:val="33AF3255"/>
    <w:rsid w:val="33BF09F0"/>
    <w:rsid w:val="33C91B6C"/>
    <w:rsid w:val="33CD2604"/>
    <w:rsid w:val="33E55C45"/>
    <w:rsid w:val="33EB3D87"/>
    <w:rsid w:val="33EC6F63"/>
    <w:rsid w:val="33F21AEE"/>
    <w:rsid w:val="33F36370"/>
    <w:rsid w:val="33FD32FC"/>
    <w:rsid w:val="34047DAE"/>
    <w:rsid w:val="34077397"/>
    <w:rsid w:val="34100DB0"/>
    <w:rsid w:val="34107588"/>
    <w:rsid w:val="34113FA8"/>
    <w:rsid w:val="34151807"/>
    <w:rsid w:val="341B30B4"/>
    <w:rsid w:val="34204FDD"/>
    <w:rsid w:val="34283D17"/>
    <w:rsid w:val="343E2B32"/>
    <w:rsid w:val="344759C3"/>
    <w:rsid w:val="34486A82"/>
    <w:rsid w:val="3449317A"/>
    <w:rsid w:val="344A3635"/>
    <w:rsid w:val="344A76CE"/>
    <w:rsid w:val="34514DFA"/>
    <w:rsid w:val="3457097C"/>
    <w:rsid w:val="345B0F91"/>
    <w:rsid w:val="34662249"/>
    <w:rsid w:val="346C6905"/>
    <w:rsid w:val="34725DC4"/>
    <w:rsid w:val="34737FCE"/>
    <w:rsid w:val="347A5AC5"/>
    <w:rsid w:val="34844E78"/>
    <w:rsid w:val="34892B75"/>
    <w:rsid w:val="34987806"/>
    <w:rsid w:val="349F106B"/>
    <w:rsid w:val="34A77BF0"/>
    <w:rsid w:val="34AF3E22"/>
    <w:rsid w:val="34B67892"/>
    <w:rsid w:val="34BF54B7"/>
    <w:rsid w:val="34C9647C"/>
    <w:rsid w:val="34CC1C3E"/>
    <w:rsid w:val="34D200A4"/>
    <w:rsid w:val="34D736F8"/>
    <w:rsid w:val="34DB79EE"/>
    <w:rsid w:val="34EB79BC"/>
    <w:rsid w:val="34F516CB"/>
    <w:rsid w:val="35001268"/>
    <w:rsid w:val="35041886"/>
    <w:rsid w:val="350872E9"/>
    <w:rsid w:val="350B6B8B"/>
    <w:rsid w:val="350B77D8"/>
    <w:rsid w:val="350C4967"/>
    <w:rsid w:val="350E1A38"/>
    <w:rsid w:val="35225F25"/>
    <w:rsid w:val="35263FCB"/>
    <w:rsid w:val="35287816"/>
    <w:rsid w:val="352B46E5"/>
    <w:rsid w:val="35363BFA"/>
    <w:rsid w:val="35451598"/>
    <w:rsid w:val="354C4166"/>
    <w:rsid w:val="35592058"/>
    <w:rsid w:val="355A2DCD"/>
    <w:rsid w:val="355D101B"/>
    <w:rsid w:val="355E11CC"/>
    <w:rsid w:val="35710170"/>
    <w:rsid w:val="357509A9"/>
    <w:rsid w:val="357B0ED3"/>
    <w:rsid w:val="357D100A"/>
    <w:rsid w:val="35916A1B"/>
    <w:rsid w:val="35977913"/>
    <w:rsid w:val="35B33A7B"/>
    <w:rsid w:val="35B95DAA"/>
    <w:rsid w:val="35BF3EE7"/>
    <w:rsid w:val="35CC7A82"/>
    <w:rsid w:val="35D57758"/>
    <w:rsid w:val="35E12C5D"/>
    <w:rsid w:val="35E62971"/>
    <w:rsid w:val="35E825DD"/>
    <w:rsid w:val="35EF0B48"/>
    <w:rsid w:val="35F90454"/>
    <w:rsid w:val="361B11EA"/>
    <w:rsid w:val="361C0F21"/>
    <w:rsid w:val="36410335"/>
    <w:rsid w:val="364240B1"/>
    <w:rsid w:val="36463B4E"/>
    <w:rsid w:val="364A1D19"/>
    <w:rsid w:val="36537D83"/>
    <w:rsid w:val="365F1E74"/>
    <w:rsid w:val="365F40C1"/>
    <w:rsid w:val="36645FCA"/>
    <w:rsid w:val="366B2E83"/>
    <w:rsid w:val="366F20FB"/>
    <w:rsid w:val="36732B12"/>
    <w:rsid w:val="367A7063"/>
    <w:rsid w:val="367F3D0D"/>
    <w:rsid w:val="369934AE"/>
    <w:rsid w:val="36AB1AE8"/>
    <w:rsid w:val="36B3384C"/>
    <w:rsid w:val="36B55422"/>
    <w:rsid w:val="36C003E0"/>
    <w:rsid w:val="36C82DCA"/>
    <w:rsid w:val="36CF53CA"/>
    <w:rsid w:val="36DC2051"/>
    <w:rsid w:val="36E21EF4"/>
    <w:rsid w:val="36E45373"/>
    <w:rsid w:val="36F012F1"/>
    <w:rsid w:val="36F51C50"/>
    <w:rsid w:val="36FA136F"/>
    <w:rsid w:val="37034BCF"/>
    <w:rsid w:val="37036599"/>
    <w:rsid w:val="3711338F"/>
    <w:rsid w:val="3725728A"/>
    <w:rsid w:val="37380006"/>
    <w:rsid w:val="373E06F3"/>
    <w:rsid w:val="375955E5"/>
    <w:rsid w:val="3769465E"/>
    <w:rsid w:val="377C77E1"/>
    <w:rsid w:val="377E27A9"/>
    <w:rsid w:val="378C59F4"/>
    <w:rsid w:val="378D79E1"/>
    <w:rsid w:val="378E6C6E"/>
    <w:rsid w:val="379043FA"/>
    <w:rsid w:val="37AA2D95"/>
    <w:rsid w:val="37AD0CF7"/>
    <w:rsid w:val="37AF2514"/>
    <w:rsid w:val="37B73BDF"/>
    <w:rsid w:val="37BC4893"/>
    <w:rsid w:val="37C5293F"/>
    <w:rsid w:val="37C65677"/>
    <w:rsid w:val="37C94A81"/>
    <w:rsid w:val="37CF44F3"/>
    <w:rsid w:val="37D84C85"/>
    <w:rsid w:val="37F53E5F"/>
    <w:rsid w:val="3806466A"/>
    <w:rsid w:val="380A481D"/>
    <w:rsid w:val="380F4960"/>
    <w:rsid w:val="381153CD"/>
    <w:rsid w:val="38175587"/>
    <w:rsid w:val="38210A29"/>
    <w:rsid w:val="382529AA"/>
    <w:rsid w:val="38317744"/>
    <w:rsid w:val="38340D75"/>
    <w:rsid w:val="384766EE"/>
    <w:rsid w:val="384F7A77"/>
    <w:rsid w:val="38640DC3"/>
    <w:rsid w:val="38716A3E"/>
    <w:rsid w:val="38767922"/>
    <w:rsid w:val="387744A0"/>
    <w:rsid w:val="387A0E3F"/>
    <w:rsid w:val="387B4BC4"/>
    <w:rsid w:val="38863151"/>
    <w:rsid w:val="388B1845"/>
    <w:rsid w:val="388D1B27"/>
    <w:rsid w:val="38A33C33"/>
    <w:rsid w:val="38A40E3B"/>
    <w:rsid w:val="38A53586"/>
    <w:rsid w:val="38AF2BA4"/>
    <w:rsid w:val="38C1186A"/>
    <w:rsid w:val="38C1720C"/>
    <w:rsid w:val="38C21B05"/>
    <w:rsid w:val="38C35D9A"/>
    <w:rsid w:val="38CD4FC5"/>
    <w:rsid w:val="38D01B06"/>
    <w:rsid w:val="38DC10D5"/>
    <w:rsid w:val="38DF4F9C"/>
    <w:rsid w:val="38E21940"/>
    <w:rsid w:val="38E56D17"/>
    <w:rsid w:val="38EA1F53"/>
    <w:rsid w:val="38EB755B"/>
    <w:rsid w:val="38F0172C"/>
    <w:rsid w:val="39006456"/>
    <w:rsid w:val="39014E29"/>
    <w:rsid w:val="39153661"/>
    <w:rsid w:val="3918156E"/>
    <w:rsid w:val="391D63C4"/>
    <w:rsid w:val="392009B5"/>
    <w:rsid w:val="3930727C"/>
    <w:rsid w:val="393D62FF"/>
    <w:rsid w:val="39443273"/>
    <w:rsid w:val="39534BB3"/>
    <w:rsid w:val="39594EC8"/>
    <w:rsid w:val="39662A0B"/>
    <w:rsid w:val="39664C49"/>
    <w:rsid w:val="39681ABA"/>
    <w:rsid w:val="397A0EA1"/>
    <w:rsid w:val="398A578B"/>
    <w:rsid w:val="39942DA3"/>
    <w:rsid w:val="399C6317"/>
    <w:rsid w:val="39A7688B"/>
    <w:rsid w:val="39AB6B15"/>
    <w:rsid w:val="39B21A71"/>
    <w:rsid w:val="39B22CC5"/>
    <w:rsid w:val="39B46D55"/>
    <w:rsid w:val="39BB5AB4"/>
    <w:rsid w:val="39C91316"/>
    <w:rsid w:val="39D15C4B"/>
    <w:rsid w:val="39D86F46"/>
    <w:rsid w:val="39DE4671"/>
    <w:rsid w:val="39EC71EA"/>
    <w:rsid w:val="39F7357E"/>
    <w:rsid w:val="39FC7B20"/>
    <w:rsid w:val="3A082BE6"/>
    <w:rsid w:val="3A084C9A"/>
    <w:rsid w:val="3A1548F6"/>
    <w:rsid w:val="3A1C3D80"/>
    <w:rsid w:val="3A1E263A"/>
    <w:rsid w:val="3A1F7104"/>
    <w:rsid w:val="3A3C04D5"/>
    <w:rsid w:val="3A503DAD"/>
    <w:rsid w:val="3A5071DA"/>
    <w:rsid w:val="3A514024"/>
    <w:rsid w:val="3A542E3E"/>
    <w:rsid w:val="3A5474AA"/>
    <w:rsid w:val="3A5A46C5"/>
    <w:rsid w:val="3A612A14"/>
    <w:rsid w:val="3A690412"/>
    <w:rsid w:val="3A7569B4"/>
    <w:rsid w:val="3A772F71"/>
    <w:rsid w:val="3A7A6408"/>
    <w:rsid w:val="3A8030BD"/>
    <w:rsid w:val="3A93572B"/>
    <w:rsid w:val="3A9602E8"/>
    <w:rsid w:val="3A975A54"/>
    <w:rsid w:val="3A9A2D78"/>
    <w:rsid w:val="3A9D27D2"/>
    <w:rsid w:val="3AA41C4B"/>
    <w:rsid w:val="3AB45718"/>
    <w:rsid w:val="3AC746B6"/>
    <w:rsid w:val="3AC77583"/>
    <w:rsid w:val="3ACF1F8F"/>
    <w:rsid w:val="3AD22485"/>
    <w:rsid w:val="3AF11833"/>
    <w:rsid w:val="3AF77A93"/>
    <w:rsid w:val="3AFA2FCF"/>
    <w:rsid w:val="3B0000F5"/>
    <w:rsid w:val="3B020A6F"/>
    <w:rsid w:val="3B0C0990"/>
    <w:rsid w:val="3B19020D"/>
    <w:rsid w:val="3B193F59"/>
    <w:rsid w:val="3B2B7A92"/>
    <w:rsid w:val="3B2C445C"/>
    <w:rsid w:val="3B364E1B"/>
    <w:rsid w:val="3B410447"/>
    <w:rsid w:val="3B481B16"/>
    <w:rsid w:val="3B4D0786"/>
    <w:rsid w:val="3B5540C1"/>
    <w:rsid w:val="3B573803"/>
    <w:rsid w:val="3B603B23"/>
    <w:rsid w:val="3B622107"/>
    <w:rsid w:val="3B652A57"/>
    <w:rsid w:val="3B6848E4"/>
    <w:rsid w:val="3B6E1BE4"/>
    <w:rsid w:val="3B8878EB"/>
    <w:rsid w:val="3B8B2126"/>
    <w:rsid w:val="3B980033"/>
    <w:rsid w:val="3B9B2CDC"/>
    <w:rsid w:val="3B9C57E0"/>
    <w:rsid w:val="3BA77E71"/>
    <w:rsid w:val="3BAC2260"/>
    <w:rsid w:val="3BBC710D"/>
    <w:rsid w:val="3BBF11D3"/>
    <w:rsid w:val="3BC87C63"/>
    <w:rsid w:val="3BCB1CF0"/>
    <w:rsid w:val="3BE432FB"/>
    <w:rsid w:val="3BED13DD"/>
    <w:rsid w:val="3C012911"/>
    <w:rsid w:val="3C0675F6"/>
    <w:rsid w:val="3C1C5145"/>
    <w:rsid w:val="3C2037E5"/>
    <w:rsid w:val="3C234714"/>
    <w:rsid w:val="3C2364B2"/>
    <w:rsid w:val="3C251FF2"/>
    <w:rsid w:val="3C287CCC"/>
    <w:rsid w:val="3C2A6877"/>
    <w:rsid w:val="3C2F2B85"/>
    <w:rsid w:val="3C367749"/>
    <w:rsid w:val="3C474767"/>
    <w:rsid w:val="3C4F09AB"/>
    <w:rsid w:val="3C4F562B"/>
    <w:rsid w:val="3C532EE7"/>
    <w:rsid w:val="3C5A56F0"/>
    <w:rsid w:val="3C67627B"/>
    <w:rsid w:val="3C694973"/>
    <w:rsid w:val="3C7E0DDB"/>
    <w:rsid w:val="3C833CE0"/>
    <w:rsid w:val="3C9D15FD"/>
    <w:rsid w:val="3C9D3608"/>
    <w:rsid w:val="3CA14F95"/>
    <w:rsid w:val="3CA67E04"/>
    <w:rsid w:val="3CAB6DF1"/>
    <w:rsid w:val="3CC7117B"/>
    <w:rsid w:val="3CD32DA2"/>
    <w:rsid w:val="3CDE55B5"/>
    <w:rsid w:val="3CE223A1"/>
    <w:rsid w:val="3CE37324"/>
    <w:rsid w:val="3CE80E88"/>
    <w:rsid w:val="3CF30CD9"/>
    <w:rsid w:val="3CFC0C6C"/>
    <w:rsid w:val="3D1F534A"/>
    <w:rsid w:val="3D2B0E98"/>
    <w:rsid w:val="3D356040"/>
    <w:rsid w:val="3D53467C"/>
    <w:rsid w:val="3D58688A"/>
    <w:rsid w:val="3D5D5D1E"/>
    <w:rsid w:val="3D6359DD"/>
    <w:rsid w:val="3D6A1355"/>
    <w:rsid w:val="3D886BFC"/>
    <w:rsid w:val="3D89715D"/>
    <w:rsid w:val="3D8B3587"/>
    <w:rsid w:val="3D9A1285"/>
    <w:rsid w:val="3DA8730D"/>
    <w:rsid w:val="3DB74C87"/>
    <w:rsid w:val="3DBA4931"/>
    <w:rsid w:val="3DBC2DCD"/>
    <w:rsid w:val="3DC80911"/>
    <w:rsid w:val="3DCE43D8"/>
    <w:rsid w:val="3DD5362E"/>
    <w:rsid w:val="3DE67C06"/>
    <w:rsid w:val="3E053555"/>
    <w:rsid w:val="3E0A4A8B"/>
    <w:rsid w:val="3E1A3360"/>
    <w:rsid w:val="3E200C6B"/>
    <w:rsid w:val="3E246C09"/>
    <w:rsid w:val="3E287CC3"/>
    <w:rsid w:val="3E3723D5"/>
    <w:rsid w:val="3E373870"/>
    <w:rsid w:val="3E3A5E4C"/>
    <w:rsid w:val="3E3D59C4"/>
    <w:rsid w:val="3E405C97"/>
    <w:rsid w:val="3E542DA5"/>
    <w:rsid w:val="3E5430D0"/>
    <w:rsid w:val="3E55352C"/>
    <w:rsid w:val="3E5D389D"/>
    <w:rsid w:val="3E612548"/>
    <w:rsid w:val="3E680C9B"/>
    <w:rsid w:val="3E686ECD"/>
    <w:rsid w:val="3E6A7B3C"/>
    <w:rsid w:val="3E6B4B64"/>
    <w:rsid w:val="3E7E29A0"/>
    <w:rsid w:val="3E7E5BB8"/>
    <w:rsid w:val="3E867224"/>
    <w:rsid w:val="3E904C03"/>
    <w:rsid w:val="3E9318FA"/>
    <w:rsid w:val="3E9516BB"/>
    <w:rsid w:val="3E9A66BB"/>
    <w:rsid w:val="3EA242D1"/>
    <w:rsid w:val="3EA83AB0"/>
    <w:rsid w:val="3EAD96C2"/>
    <w:rsid w:val="3EB07A0A"/>
    <w:rsid w:val="3EB56054"/>
    <w:rsid w:val="3EBC40B0"/>
    <w:rsid w:val="3EC82879"/>
    <w:rsid w:val="3EC9733B"/>
    <w:rsid w:val="3EE13DB5"/>
    <w:rsid w:val="3EEC61CD"/>
    <w:rsid w:val="3F0E60D3"/>
    <w:rsid w:val="3F1305B0"/>
    <w:rsid w:val="3F174022"/>
    <w:rsid w:val="3F1F4CA4"/>
    <w:rsid w:val="3F2115D5"/>
    <w:rsid w:val="3F2333C8"/>
    <w:rsid w:val="3F254255"/>
    <w:rsid w:val="3F296FBC"/>
    <w:rsid w:val="3F34546B"/>
    <w:rsid w:val="3F392624"/>
    <w:rsid w:val="3F397D6C"/>
    <w:rsid w:val="3F3D2C44"/>
    <w:rsid w:val="3F4301CD"/>
    <w:rsid w:val="3F4D7258"/>
    <w:rsid w:val="3F607F94"/>
    <w:rsid w:val="3F6312C2"/>
    <w:rsid w:val="3F724CCD"/>
    <w:rsid w:val="3F765A0C"/>
    <w:rsid w:val="3F7670C5"/>
    <w:rsid w:val="3F7979A0"/>
    <w:rsid w:val="3F8723E0"/>
    <w:rsid w:val="3F9104CC"/>
    <w:rsid w:val="3FA1603C"/>
    <w:rsid w:val="3FB42AF2"/>
    <w:rsid w:val="3FB63396"/>
    <w:rsid w:val="3FBD2004"/>
    <w:rsid w:val="3FC3286E"/>
    <w:rsid w:val="3FD125C6"/>
    <w:rsid w:val="3FD417B9"/>
    <w:rsid w:val="3FE906C3"/>
    <w:rsid w:val="3FEA3AB2"/>
    <w:rsid w:val="3FEA79DC"/>
    <w:rsid w:val="3FED4E9E"/>
    <w:rsid w:val="3FF13143"/>
    <w:rsid w:val="3FF1774A"/>
    <w:rsid w:val="3FF863ED"/>
    <w:rsid w:val="3FFA419C"/>
    <w:rsid w:val="401B5632"/>
    <w:rsid w:val="40206CA9"/>
    <w:rsid w:val="40221503"/>
    <w:rsid w:val="4027681B"/>
    <w:rsid w:val="402C6D4A"/>
    <w:rsid w:val="402C72FA"/>
    <w:rsid w:val="40316338"/>
    <w:rsid w:val="4036128F"/>
    <w:rsid w:val="40370D29"/>
    <w:rsid w:val="40382068"/>
    <w:rsid w:val="403E01B1"/>
    <w:rsid w:val="404A668E"/>
    <w:rsid w:val="405D4BDF"/>
    <w:rsid w:val="405E19CA"/>
    <w:rsid w:val="406C56BA"/>
    <w:rsid w:val="40745275"/>
    <w:rsid w:val="407E271D"/>
    <w:rsid w:val="408364E5"/>
    <w:rsid w:val="408F392A"/>
    <w:rsid w:val="40904532"/>
    <w:rsid w:val="40AC1188"/>
    <w:rsid w:val="40AF4573"/>
    <w:rsid w:val="40B32324"/>
    <w:rsid w:val="40B5016E"/>
    <w:rsid w:val="40BB1164"/>
    <w:rsid w:val="40C544EF"/>
    <w:rsid w:val="40C62AE8"/>
    <w:rsid w:val="40CC7593"/>
    <w:rsid w:val="40D218FE"/>
    <w:rsid w:val="40DD2452"/>
    <w:rsid w:val="40DF6579"/>
    <w:rsid w:val="40E05008"/>
    <w:rsid w:val="40F443D4"/>
    <w:rsid w:val="410347B9"/>
    <w:rsid w:val="410B59C4"/>
    <w:rsid w:val="410C5137"/>
    <w:rsid w:val="410E5053"/>
    <w:rsid w:val="410F7B48"/>
    <w:rsid w:val="41180365"/>
    <w:rsid w:val="41255013"/>
    <w:rsid w:val="41314738"/>
    <w:rsid w:val="413A0D77"/>
    <w:rsid w:val="41415E9E"/>
    <w:rsid w:val="41441E6B"/>
    <w:rsid w:val="4150478A"/>
    <w:rsid w:val="41540226"/>
    <w:rsid w:val="41556B66"/>
    <w:rsid w:val="41690E5D"/>
    <w:rsid w:val="416B68B2"/>
    <w:rsid w:val="417019CB"/>
    <w:rsid w:val="41775D8D"/>
    <w:rsid w:val="417B248D"/>
    <w:rsid w:val="419631DA"/>
    <w:rsid w:val="419A0443"/>
    <w:rsid w:val="419A6631"/>
    <w:rsid w:val="41B62414"/>
    <w:rsid w:val="41BE057C"/>
    <w:rsid w:val="41C3115B"/>
    <w:rsid w:val="41C74D3B"/>
    <w:rsid w:val="41CE6281"/>
    <w:rsid w:val="41CF7AF1"/>
    <w:rsid w:val="41D905A1"/>
    <w:rsid w:val="41E027D2"/>
    <w:rsid w:val="41F335A6"/>
    <w:rsid w:val="41FE0211"/>
    <w:rsid w:val="41FE1D39"/>
    <w:rsid w:val="41FE6A3F"/>
    <w:rsid w:val="42000AD3"/>
    <w:rsid w:val="42024761"/>
    <w:rsid w:val="421E78BC"/>
    <w:rsid w:val="422828DB"/>
    <w:rsid w:val="422F0F32"/>
    <w:rsid w:val="42394AD1"/>
    <w:rsid w:val="424A2C6F"/>
    <w:rsid w:val="42500728"/>
    <w:rsid w:val="42503EF8"/>
    <w:rsid w:val="42531D34"/>
    <w:rsid w:val="426550E0"/>
    <w:rsid w:val="42666625"/>
    <w:rsid w:val="426A01E1"/>
    <w:rsid w:val="427210E4"/>
    <w:rsid w:val="4274165E"/>
    <w:rsid w:val="427D09E4"/>
    <w:rsid w:val="42833BE1"/>
    <w:rsid w:val="4284750C"/>
    <w:rsid w:val="42920067"/>
    <w:rsid w:val="42947D0F"/>
    <w:rsid w:val="42964EE9"/>
    <w:rsid w:val="42A84676"/>
    <w:rsid w:val="42B67EB2"/>
    <w:rsid w:val="42C52A0F"/>
    <w:rsid w:val="42DA4058"/>
    <w:rsid w:val="42DF3C8F"/>
    <w:rsid w:val="42E3128D"/>
    <w:rsid w:val="42E37D47"/>
    <w:rsid w:val="42E427CF"/>
    <w:rsid w:val="42F64AAD"/>
    <w:rsid w:val="42FA6C27"/>
    <w:rsid w:val="43080D9B"/>
    <w:rsid w:val="43105115"/>
    <w:rsid w:val="43126137"/>
    <w:rsid w:val="43247897"/>
    <w:rsid w:val="432C604A"/>
    <w:rsid w:val="43374F66"/>
    <w:rsid w:val="43450972"/>
    <w:rsid w:val="43487ED5"/>
    <w:rsid w:val="43536A91"/>
    <w:rsid w:val="437176B3"/>
    <w:rsid w:val="43722931"/>
    <w:rsid w:val="437E791D"/>
    <w:rsid w:val="438120D6"/>
    <w:rsid w:val="438215F2"/>
    <w:rsid w:val="43843134"/>
    <w:rsid w:val="438775B4"/>
    <w:rsid w:val="438A55DD"/>
    <w:rsid w:val="439100FD"/>
    <w:rsid w:val="439130FA"/>
    <w:rsid w:val="439720F1"/>
    <w:rsid w:val="439E1841"/>
    <w:rsid w:val="43B71D17"/>
    <w:rsid w:val="43B767BF"/>
    <w:rsid w:val="43C226BA"/>
    <w:rsid w:val="43CF547D"/>
    <w:rsid w:val="43D0565C"/>
    <w:rsid w:val="43D4395B"/>
    <w:rsid w:val="43E34AF0"/>
    <w:rsid w:val="43EA2A51"/>
    <w:rsid w:val="43F00714"/>
    <w:rsid w:val="43F12644"/>
    <w:rsid w:val="43F93B03"/>
    <w:rsid w:val="43FF60FF"/>
    <w:rsid w:val="44020FDD"/>
    <w:rsid w:val="440F27B9"/>
    <w:rsid w:val="4414160C"/>
    <w:rsid w:val="44145457"/>
    <w:rsid w:val="44151101"/>
    <w:rsid w:val="441B74A2"/>
    <w:rsid w:val="442170C6"/>
    <w:rsid w:val="442F20BE"/>
    <w:rsid w:val="4434257C"/>
    <w:rsid w:val="443947E9"/>
    <w:rsid w:val="44453FEF"/>
    <w:rsid w:val="4449684E"/>
    <w:rsid w:val="444B5A95"/>
    <w:rsid w:val="446E50A3"/>
    <w:rsid w:val="449C2920"/>
    <w:rsid w:val="44A2690D"/>
    <w:rsid w:val="44A47BD0"/>
    <w:rsid w:val="44A67CE2"/>
    <w:rsid w:val="44AC471D"/>
    <w:rsid w:val="44AE01FE"/>
    <w:rsid w:val="44B45721"/>
    <w:rsid w:val="44C66A64"/>
    <w:rsid w:val="44CC26E8"/>
    <w:rsid w:val="44D7166B"/>
    <w:rsid w:val="44DF38E9"/>
    <w:rsid w:val="44E144AE"/>
    <w:rsid w:val="44E94CA9"/>
    <w:rsid w:val="44F061FA"/>
    <w:rsid w:val="44FA1937"/>
    <w:rsid w:val="44FC6235"/>
    <w:rsid w:val="450144CC"/>
    <w:rsid w:val="45022D57"/>
    <w:rsid w:val="45046806"/>
    <w:rsid w:val="4510789D"/>
    <w:rsid w:val="45146181"/>
    <w:rsid w:val="45156E5E"/>
    <w:rsid w:val="451E18C4"/>
    <w:rsid w:val="45351891"/>
    <w:rsid w:val="45351FFA"/>
    <w:rsid w:val="454732BD"/>
    <w:rsid w:val="454B41C4"/>
    <w:rsid w:val="455031B5"/>
    <w:rsid w:val="455D6012"/>
    <w:rsid w:val="456031D7"/>
    <w:rsid w:val="45624D8D"/>
    <w:rsid w:val="4563133A"/>
    <w:rsid w:val="456A3251"/>
    <w:rsid w:val="45712159"/>
    <w:rsid w:val="45713D12"/>
    <w:rsid w:val="45733E85"/>
    <w:rsid w:val="457405F2"/>
    <w:rsid w:val="45804137"/>
    <w:rsid w:val="45880A2E"/>
    <w:rsid w:val="459D07F7"/>
    <w:rsid w:val="45A421F2"/>
    <w:rsid w:val="45B95C0F"/>
    <w:rsid w:val="45BF33F9"/>
    <w:rsid w:val="45C72647"/>
    <w:rsid w:val="45CF243D"/>
    <w:rsid w:val="45D412D4"/>
    <w:rsid w:val="45D721EF"/>
    <w:rsid w:val="45D810BA"/>
    <w:rsid w:val="45D81DA4"/>
    <w:rsid w:val="45E07AEE"/>
    <w:rsid w:val="45E903F9"/>
    <w:rsid w:val="45E91DBE"/>
    <w:rsid w:val="45EB5468"/>
    <w:rsid w:val="460503D8"/>
    <w:rsid w:val="46105736"/>
    <w:rsid w:val="4611163F"/>
    <w:rsid w:val="461A101B"/>
    <w:rsid w:val="46343076"/>
    <w:rsid w:val="46453592"/>
    <w:rsid w:val="465717AF"/>
    <w:rsid w:val="4666276E"/>
    <w:rsid w:val="467F1EB4"/>
    <w:rsid w:val="46830259"/>
    <w:rsid w:val="46860F45"/>
    <w:rsid w:val="46874AEB"/>
    <w:rsid w:val="46935130"/>
    <w:rsid w:val="469D6EC5"/>
    <w:rsid w:val="469E6B3F"/>
    <w:rsid w:val="46B561AD"/>
    <w:rsid w:val="46B8717A"/>
    <w:rsid w:val="46C737F6"/>
    <w:rsid w:val="46D60C03"/>
    <w:rsid w:val="46D973C9"/>
    <w:rsid w:val="46E06AE9"/>
    <w:rsid w:val="46F03F25"/>
    <w:rsid w:val="46FA252A"/>
    <w:rsid w:val="471F0BD9"/>
    <w:rsid w:val="472829CB"/>
    <w:rsid w:val="472B7E65"/>
    <w:rsid w:val="47446E34"/>
    <w:rsid w:val="474F4876"/>
    <w:rsid w:val="474F4C9E"/>
    <w:rsid w:val="475637DC"/>
    <w:rsid w:val="475E7BA5"/>
    <w:rsid w:val="47644DAE"/>
    <w:rsid w:val="4779703E"/>
    <w:rsid w:val="47816BF0"/>
    <w:rsid w:val="478545AC"/>
    <w:rsid w:val="47861DD2"/>
    <w:rsid w:val="47B73DC5"/>
    <w:rsid w:val="47C15148"/>
    <w:rsid w:val="47C91E4B"/>
    <w:rsid w:val="47D35AB6"/>
    <w:rsid w:val="47D5587A"/>
    <w:rsid w:val="47D72BC6"/>
    <w:rsid w:val="47D97337"/>
    <w:rsid w:val="47E22E37"/>
    <w:rsid w:val="47E84C93"/>
    <w:rsid w:val="47E93BA7"/>
    <w:rsid w:val="47E94CA4"/>
    <w:rsid w:val="47EB1B7A"/>
    <w:rsid w:val="47F77862"/>
    <w:rsid w:val="47F907D7"/>
    <w:rsid w:val="480C0AC0"/>
    <w:rsid w:val="482333CC"/>
    <w:rsid w:val="48270272"/>
    <w:rsid w:val="484E1636"/>
    <w:rsid w:val="484E59AC"/>
    <w:rsid w:val="48563816"/>
    <w:rsid w:val="48596372"/>
    <w:rsid w:val="48615CB9"/>
    <w:rsid w:val="486643E2"/>
    <w:rsid w:val="486743BA"/>
    <w:rsid w:val="48695ABF"/>
    <w:rsid w:val="4875557F"/>
    <w:rsid w:val="487602D1"/>
    <w:rsid w:val="487B0797"/>
    <w:rsid w:val="48855DE2"/>
    <w:rsid w:val="48875D75"/>
    <w:rsid w:val="4889627D"/>
    <w:rsid w:val="489070D4"/>
    <w:rsid w:val="48932B8F"/>
    <w:rsid w:val="48AA2115"/>
    <w:rsid w:val="48B74856"/>
    <w:rsid w:val="48BD7608"/>
    <w:rsid w:val="48CD68DD"/>
    <w:rsid w:val="48DE0593"/>
    <w:rsid w:val="48E1479F"/>
    <w:rsid w:val="48E76852"/>
    <w:rsid w:val="48E8350E"/>
    <w:rsid w:val="48EA5971"/>
    <w:rsid w:val="48EB3477"/>
    <w:rsid w:val="48F2291D"/>
    <w:rsid w:val="48F606B7"/>
    <w:rsid w:val="48FC2400"/>
    <w:rsid w:val="49007FD5"/>
    <w:rsid w:val="4917288A"/>
    <w:rsid w:val="491D0423"/>
    <w:rsid w:val="491E1935"/>
    <w:rsid w:val="49252CAA"/>
    <w:rsid w:val="492662E3"/>
    <w:rsid w:val="49356577"/>
    <w:rsid w:val="49373F58"/>
    <w:rsid w:val="49391B65"/>
    <w:rsid w:val="493A073B"/>
    <w:rsid w:val="494112BF"/>
    <w:rsid w:val="494B0973"/>
    <w:rsid w:val="49631630"/>
    <w:rsid w:val="496926BF"/>
    <w:rsid w:val="496B24EA"/>
    <w:rsid w:val="498325E4"/>
    <w:rsid w:val="49867B79"/>
    <w:rsid w:val="498D23F2"/>
    <w:rsid w:val="49964B06"/>
    <w:rsid w:val="499C2DBF"/>
    <w:rsid w:val="49A2247C"/>
    <w:rsid w:val="49B90768"/>
    <w:rsid w:val="49B929E2"/>
    <w:rsid w:val="49BB6A79"/>
    <w:rsid w:val="49BF4A78"/>
    <w:rsid w:val="49DB0172"/>
    <w:rsid w:val="49DF6013"/>
    <w:rsid w:val="49EC11BF"/>
    <w:rsid w:val="49FC0C91"/>
    <w:rsid w:val="4A07233F"/>
    <w:rsid w:val="4A0D1589"/>
    <w:rsid w:val="4A1455C8"/>
    <w:rsid w:val="4A160380"/>
    <w:rsid w:val="4A1938E4"/>
    <w:rsid w:val="4A2947E9"/>
    <w:rsid w:val="4A325C9D"/>
    <w:rsid w:val="4A340DDB"/>
    <w:rsid w:val="4A370C83"/>
    <w:rsid w:val="4A3E2BB6"/>
    <w:rsid w:val="4A442DB8"/>
    <w:rsid w:val="4A525528"/>
    <w:rsid w:val="4A543751"/>
    <w:rsid w:val="4A5B3940"/>
    <w:rsid w:val="4A733811"/>
    <w:rsid w:val="4A7E2FB7"/>
    <w:rsid w:val="4A803D5E"/>
    <w:rsid w:val="4A8569CF"/>
    <w:rsid w:val="4A971E4C"/>
    <w:rsid w:val="4AA4095C"/>
    <w:rsid w:val="4AB52E61"/>
    <w:rsid w:val="4AB95709"/>
    <w:rsid w:val="4AC05995"/>
    <w:rsid w:val="4AC75FFB"/>
    <w:rsid w:val="4AC907E7"/>
    <w:rsid w:val="4ACC5767"/>
    <w:rsid w:val="4ADA4FC6"/>
    <w:rsid w:val="4ADC0792"/>
    <w:rsid w:val="4AE718C1"/>
    <w:rsid w:val="4AF012B9"/>
    <w:rsid w:val="4AF3331F"/>
    <w:rsid w:val="4AFD4E80"/>
    <w:rsid w:val="4B017999"/>
    <w:rsid w:val="4B035067"/>
    <w:rsid w:val="4B051650"/>
    <w:rsid w:val="4B1C0CCA"/>
    <w:rsid w:val="4B2B0ED7"/>
    <w:rsid w:val="4B2D29F5"/>
    <w:rsid w:val="4B2F3710"/>
    <w:rsid w:val="4B375B7F"/>
    <w:rsid w:val="4B4629D7"/>
    <w:rsid w:val="4B4F32BB"/>
    <w:rsid w:val="4B607F92"/>
    <w:rsid w:val="4B6859C8"/>
    <w:rsid w:val="4B8A2935"/>
    <w:rsid w:val="4B8E1A16"/>
    <w:rsid w:val="4BAA5593"/>
    <w:rsid w:val="4BAA7D70"/>
    <w:rsid w:val="4BAB65B4"/>
    <w:rsid w:val="4BAE45F2"/>
    <w:rsid w:val="4BB12B90"/>
    <w:rsid w:val="4BBF5E56"/>
    <w:rsid w:val="4BC67725"/>
    <w:rsid w:val="4BD349C4"/>
    <w:rsid w:val="4BD51660"/>
    <w:rsid w:val="4BDB66DF"/>
    <w:rsid w:val="4BE57849"/>
    <w:rsid w:val="4BE614EE"/>
    <w:rsid w:val="4C064387"/>
    <w:rsid w:val="4C073B73"/>
    <w:rsid w:val="4C0B5EEB"/>
    <w:rsid w:val="4C14021F"/>
    <w:rsid w:val="4C190F65"/>
    <w:rsid w:val="4C1C255F"/>
    <w:rsid w:val="4C1F578F"/>
    <w:rsid w:val="4C25327D"/>
    <w:rsid w:val="4C2C08DB"/>
    <w:rsid w:val="4C2C3B43"/>
    <w:rsid w:val="4C2F4C73"/>
    <w:rsid w:val="4C401283"/>
    <w:rsid w:val="4C505452"/>
    <w:rsid w:val="4C547E0C"/>
    <w:rsid w:val="4C5721FA"/>
    <w:rsid w:val="4C580817"/>
    <w:rsid w:val="4C584A14"/>
    <w:rsid w:val="4C5F2589"/>
    <w:rsid w:val="4C6D0C89"/>
    <w:rsid w:val="4C7833BE"/>
    <w:rsid w:val="4C820989"/>
    <w:rsid w:val="4C8400C5"/>
    <w:rsid w:val="4C99781D"/>
    <w:rsid w:val="4C9C6D3A"/>
    <w:rsid w:val="4C9F3808"/>
    <w:rsid w:val="4C9F4ED3"/>
    <w:rsid w:val="4CA15205"/>
    <w:rsid w:val="4CA20D1D"/>
    <w:rsid w:val="4CA92D67"/>
    <w:rsid w:val="4CB5502E"/>
    <w:rsid w:val="4CC35A4A"/>
    <w:rsid w:val="4CDD2ADE"/>
    <w:rsid w:val="4CE147C6"/>
    <w:rsid w:val="4CE52777"/>
    <w:rsid w:val="4CEA4149"/>
    <w:rsid w:val="4CF40ECD"/>
    <w:rsid w:val="4D0E0A3C"/>
    <w:rsid w:val="4D115475"/>
    <w:rsid w:val="4D125537"/>
    <w:rsid w:val="4D132EEE"/>
    <w:rsid w:val="4D152645"/>
    <w:rsid w:val="4D1B5E69"/>
    <w:rsid w:val="4D1D3814"/>
    <w:rsid w:val="4D230D01"/>
    <w:rsid w:val="4D2A0C55"/>
    <w:rsid w:val="4D2D42D0"/>
    <w:rsid w:val="4D2E06D8"/>
    <w:rsid w:val="4D2F637A"/>
    <w:rsid w:val="4D3A7961"/>
    <w:rsid w:val="4D3D6F12"/>
    <w:rsid w:val="4D63017C"/>
    <w:rsid w:val="4D714C18"/>
    <w:rsid w:val="4D767AC7"/>
    <w:rsid w:val="4D7B7EAC"/>
    <w:rsid w:val="4D7F10FE"/>
    <w:rsid w:val="4D973371"/>
    <w:rsid w:val="4D9A4688"/>
    <w:rsid w:val="4DA65371"/>
    <w:rsid w:val="4DC11E7A"/>
    <w:rsid w:val="4DC16FE2"/>
    <w:rsid w:val="4DCF276E"/>
    <w:rsid w:val="4DD320BF"/>
    <w:rsid w:val="4DD55C28"/>
    <w:rsid w:val="4DDB2992"/>
    <w:rsid w:val="4DEB0519"/>
    <w:rsid w:val="4DEC0A4D"/>
    <w:rsid w:val="4DF65FC1"/>
    <w:rsid w:val="4DFC786B"/>
    <w:rsid w:val="4E021FB3"/>
    <w:rsid w:val="4E0B4A34"/>
    <w:rsid w:val="4E1C212A"/>
    <w:rsid w:val="4E1E7772"/>
    <w:rsid w:val="4E29579A"/>
    <w:rsid w:val="4E2C3C12"/>
    <w:rsid w:val="4E340716"/>
    <w:rsid w:val="4E480E78"/>
    <w:rsid w:val="4E494450"/>
    <w:rsid w:val="4E5418FE"/>
    <w:rsid w:val="4E686830"/>
    <w:rsid w:val="4E7108A9"/>
    <w:rsid w:val="4E74529E"/>
    <w:rsid w:val="4E746303"/>
    <w:rsid w:val="4E91660A"/>
    <w:rsid w:val="4E9E6770"/>
    <w:rsid w:val="4EA5376B"/>
    <w:rsid w:val="4EBE25ED"/>
    <w:rsid w:val="4ED65809"/>
    <w:rsid w:val="4ED91C0A"/>
    <w:rsid w:val="4EEA78E5"/>
    <w:rsid w:val="4EEE4E13"/>
    <w:rsid w:val="4EF128C1"/>
    <w:rsid w:val="4F102EA3"/>
    <w:rsid w:val="4F134B03"/>
    <w:rsid w:val="4F197BB4"/>
    <w:rsid w:val="4F1B519F"/>
    <w:rsid w:val="4F1C53DA"/>
    <w:rsid w:val="4F23253A"/>
    <w:rsid w:val="4F2C339E"/>
    <w:rsid w:val="4F3B6D15"/>
    <w:rsid w:val="4F3F1FCB"/>
    <w:rsid w:val="4F40136A"/>
    <w:rsid w:val="4F460680"/>
    <w:rsid w:val="4F4B679D"/>
    <w:rsid w:val="4F4E3637"/>
    <w:rsid w:val="4F577541"/>
    <w:rsid w:val="4F681842"/>
    <w:rsid w:val="4F7174F5"/>
    <w:rsid w:val="4F7435CB"/>
    <w:rsid w:val="4F7F4732"/>
    <w:rsid w:val="4F823E03"/>
    <w:rsid w:val="4F880CF2"/>
    <w:rsid w:val="4F8A63A0"/>
    <w:rsid w:val="4F8D0598"/>
    <w:rsid w:val="4F8F7917"/>
    <w:rsid w:val="4F9701AA"/>
    <w:rsid w:val="4F9B350E"/>
    <w:rsid w:val="4F9E6405"/>
    <w:rsid w:val="4FA51E0D"/>
    <w:rsid w:val="4FA633A1"/>
    <w:rsid w:val="4FA95D0E"/>
    <w:rsid w:val="4FB221E0"/>
    <w:rsid w:val="4FBA68C9"/>
    <w:rsid w:val="4FC02281"/>
    <w:rsid w:val="4FC314DD"/>
    <w:rsid w:val="4FEA588F"/>
    <w:rsid w:val="4FEF229C"/>
    <w:rsid w:val="4FF32F47"/>
    <w:rsid w:val="4FF531DC"/>
    <w:rsid w:val="4FF56503"/>
    <w:rsid w:val="4FF64622"/>
    <w:rsid w:val="50045177"/>
    <w:rsid w:val="50057F0B"/>
    <w:rsid w:val="50082E29"/>
    <w:rsid w:val="500E25EB"/>
    <w:rsid w:val="50125502"/>
    <w:rsid w:val="501565D6"/>
    <w:rsid w:val="501F7BCF"/>
    <w:rsid w:val="50215D49"/>
    <w:rsid w:val="502853D4"/>
    <w:rsid w:val="503604ED"/>
    <w:rsid w:val="503871D6"/>
    <w:rsid w:val="503C37E7"/>
    <w:rsid w:val="50433C6A"/>
    <w:rsid w:val="505174AA"/>
    <w:rsid w:val="50540F52"/>
    <w:rsid w:val="50554106"/>
    <w:rsid w:val="50583AE0"/>
    <w:rsid w:val="505C6E27"/>
    <w:rsid w:val="505C7097"/>
    <w:rsid w:val="505F126E"/>
    <w:rsid w:val="50653A25"/>
    <w:rsid w:val="507561B5"/>
    <w:rsid w:val="5075716E"/>
    <w:rsid w:val="50897017"/>
    <w:rsid w:val="509E14C9"/>
    <w:rsid w:val="50A3297F"/>
    <w:rsid w:val="50BF68EF"/>
    <w:rsid w:val="50C749F8"/>
    <w:rsid w:val="50DA427E"/>
    <w:rsid w:val="50E8234C"/>
    <w:rsid w:val="50EB2077"/>
    <w:rsid w:val="50F0227C"/>
    <w:rsid w:val="50F92B63"/>
    <w:rsid w:val="50FE6596"/>
    <w:rsid w:val="510122AD"/>
    <w:rsid w:val="510B57C3"/>
    <w:rsid w:val="51102CB1"/>
    <w:rsid w:val="5115714B"/>
    <w:rsid w:val="51163EB6"/>
    <w:rsid w:val="51344872"/>
    <w:rsid w:val="513D5463"/>
    <w:rsid w:val="5143355F"/>
    <w:rsid w:val="514B34F4"/>
    <w:rsid w:val="515A7301"/>
    <w:rsid w:val="51607711"/>
    <w:rsid w:val="516248B1"/>
    <w:rsid w:val="516C3C0F"/>
    <w:rsid w:val="51870EE7"/>
    <w:rsid w:val="519A4F5E"/>
    <w:rsid w:val="51B95BC0"/>
    <w:rsid w:val="51BA175D"/>
    <w:rsid w:val="51BA4BF1"/>
    <w:rsid w:val="51BC4573"/>
    <w:rsid w:val="51C93848"/>
    <w:rsid w:val="51CA41C9"/>
    <w:rsid w:val="51CE6953"/>
    <w:rsid w:val="51DF5A0D"/>
    <w:rsid w:val="51E40585"/>
    <w:rsid w:val="51EA4273"/>
    <w:rsid w:val="51ED47D1"/>
    <w:rsid w:val="51F663DE"/>
    <w:rsid w:val="51FD1E9D"/>
    <w:rsid w:val="51FE19C6"/>
    <w:rsid w:val="52017880"/>
    <w:rsid w:val="520E72A1"/>
    <w:rsid w:val="520F64C8"/>
    <w:rsid w:val="52137636"/>
    <w:rsid w:val="521B0262"/>
    <w:rsid w:val="521F2883"/>
    <w:rsid w:val="522159BD"/>
    <w:rsid w:val="522A7709"/>
    <w:rsid w:val="524515AC"/>
    <w:rsid w:val="52452DE4"/>
    <w:rsid w:val="524704F1"/>
    <w:rsid w:val="5261325F"/>
    <w:rsid w:val="52732D6E"/>
    <w:rsid w:val="5274319C"/>
    <w:rsid w:val="5282231E"/>
    <w:rsid w:val="52825BCA"/>
    <w:rsid w:val="52924F4F"/>
    <w:rsid w:val="52957520"/>
    <w:rsid w:val="52A530EF"/>
    <w:rsid w:val="52AF5020"/>
    <w:rsid w:val="52B2599D"/>
    <w:rsid w:val="52CC02BF"/>
    <w:rsid w:val="52CE62EE"/>
    <w:rsid w:val="52DC1E6C"/>
    <w:rsid w:val="52E4380F"/>
    <w:rsid w:val="530714DA"/>
    <w:rsid w:val="53105DB0"/>
    <w:rsid w:val="53155AE3"/>
    <w:rsid w:val="532722AA"/>
    <w:rsid w:val="533240C6"/>
    <w:rsid w:val="53341776"/>
    <w:rsid w:val="53352DD3"/>
    <w:rsid w:val="5335332D"/>
    <w:rsid w:val="533607C0"/>
    <w:rsid w:val="533A3404"/>
    <w:rsid w:val="533A4916"/>
    <w:rsid w:val="533B60FE"/>
    <w:rsid w:val="5340331E"/>
    <w:rsid w:val="534C470A"/>
    <w:rsid w:val="5355559A"/>
    <w:rsid w:val="535A6370"/>
    <w:rsid w:val="53753E50"/>
    <w:rsid w:val="5378032F"/>
    <w:rsid w:val="537E5061"/>
    <w:rsid w:val="53871D84"/>
    <w:rsid w:val="53AB59E5"/>
    <w:rsid w:val="53BC65E3"/>
    <w:rsid w:val="53BD5897"/>
    <w:rsid w:val="53D22764"/>
    <w:rsid w:val="53D24070"/>
    <w:rsid w:val="53D81B47"/>
    <w:rsid w:val="53DA33FE"/>
    <w:rsid w:val="53DF325F"/>
    <w:rsid w:val="53E461EC"/>
    <w:rsid w:val="53F27D44"/>
    <w:rsid w:val="53FA28C7"/>
    <w:rsid w:val="53FB0781"/>
    <w:rsid w:val="54072A4A"/>
    <w:rsid w:val="540E71F9"/>
    <w:rsid w:val="54167B9B"/>
    <w:rsid w:val="541C2491"/>
    <w:rsid w:val="541E6D67"/>
    <w:rsid w:val="54367DD4"/>
    <w:rsid w:val="543F4A12"/>
    <w:rsid w:val="54451D6C"/>
    <w:rsid w:val="5455465D"/>
    <w:rsid w:val="54570CC6"/>
    <w:rsid w:val="54573F3C"/>
    <w:rsid w:val="545A0354"/>
    <w:rsid w:val="545F7472"/>
    <w:rsid w:val="5465049C"/>
    <w:rsid w:val="546D070F"/>
    <w:rsid w:val="546F08FA"/>
    <w:rsid w:val="547370BC"/>
    <w:rsid w:val="54750D93"/>
    <w:rsid w:val="547863C7"/>
    <w:rsid w:val="54844BA7"/>
    <w:rsid w:val="548C0BA5"/>
    <w:rsid w:val="54905030"/>
    <w:rsid w:val="54920624"/>
    <w:rsid w:val="549E0AAC"/>
    <w:rsid w:val="549F02F2"/>
    <w:rsid w:val="54A40787"/>
    <w:rsid w:val="54A546D0"/>
    <w:rsid w:val="54AA7C0F"/>
    <w:rsid w:val="54B03ED0"/>
    <w:rsid w:val="54B25974"/>
    <w:rsid w:val="54C0017E"/>
    <w:rsid w:val="54C56DCE"/>
    <w:rsid w:val="54CF799E"/>
    <w:rsid w:val="54E168AC"/>
    <w:rsid w:val="54FF76F0"/>
    <w:rsid w:val="551307BB"/>
    <w:rsid w:val="55186139"/>
    <w:rsid w:val="551A6B07"/>
    <w:rsid w:val="552D7EF1"/>
    <w:rsid w:val="552E2634"/>
    <w:rsid w:val="55315895"/>
    <w:rsid w:val="554F5B47"/>
    <w:rsid w:val="555634DE"/>
    <w:rsid w:val="55585341"/>
    <w:rsid w:val="555D056B"/>
    <w:rsid w:val="555F4B01"/>
    <w:rsid w:val="5565353C"/>
    <w:rsid w:val="556668EE"/>
    <w:rsid w:val="556C247A"/>
    <w:rsid w:val="55776253"/>
    <w:rsid w:val="557F742B"/>
    <w:rsid w:val="55806715"/>
    <w:rsid w:val="55816352"/>
    <w:rsid w:val="55823538"/>
    <w:rsid w:val="558D03F1"/>
    <w:rsid w:val="55A5653B"/>
    <w:rsid w:val="55B734E7"/>
    <w:rsid w:val="55B96E85"/>
    <w:rsid w:val="55BD796A"/>
    <w:rsid w:val="55C01CAB"/>
    <w:rsid w:val="55C649E0"/>
    <w:rsid w:val="55C7174D"/>
    <w:rsid w:val="55CA394D"/>
    <w:rsid w:val="55D11B4E"/>
    <w:rsid w:val="55F23A6D"/>
    <w:rsid w:val="55F5110D"/>
    <w:rsid w:val="55F87698"/>
    <w:rsid w:val="560060F9"/>
    <w:rsid w:val="56056D21"/>
    <w:rsid w:val="560D11F7"/>
    <w:rsid w:val="560D7D11"/>
    <w:rsid w:val="560E0609"/>
    <w:rsid w:val="560F6AE6"/>
    <w:rsid w:val="562E0755"/>
    <w:rsid w:val="56334C13"/>
    <w:rsid w:val="5634118F"/>
    <w:rsid w:val="56433684"/>
    <w:rsid w:val="56493F7D"/>
    <w:rsid w:val="564D12FA"/>
    <w:rsid w:val="56535C7A"/>
    <w:rsid w:val="56603F4F"/>
    <w:rsid w:val="566B2640"/>
    <w:rsid w:val="566D32CC"/>
    <w:rsid w:val="5672557C"/>
    <w:rsid w:val="56764FE7"/>
    <w:rsid w:val="567C021E"/>
    <w:rsid w:val="56837CD4"/>
    <w:rsid w:val="568A540F"/>
    <w:rsid w:val="568E67ED"/>
    <w:rsid w:val="569D5B90"/>
    <w:rsid w:val="569E0034"/>
    <w:rsid w:val="56A31B2D"/>
    <w:rsid w:val="56A32AC3"/>
    <w:rsid w:val="56A54FA2"/>
    <w:rsid w:val="56B129BD"/>
    <w:rsid w:val="56B44CDD"/>
    <w:rsid w:val="56BB5810"/>
    <w:rsid w:val="56BD05E3"/>
    <w:rsid w:val="56C16ECD"/>
    <w:rsid w:val="56CE18E0"/>
    <w:rsid w:val="56D21DAD"/>
    <w:rsid w:val="56D32A4C"/>
    <w:rsid w:val="56D63676"/>
    <w:rsid w:val="56D73C71"/>
    <w:rsid w:val="56E172C3"/>
    <w:rsid w:val="56E227A5"/>
    <w:rsid w:val="56E301BD"/>
    <w:rsid w:val="56E87302"/>
    <w:rsid w:val="56EC4721"/>
    <w:rsid w:val="56FB0B09"/>
    <w:rsid w:val="56FC3ED9"/>
    <w:rsid w:val="56FD1A3C"/>
    <w:rsid w:val="5716554F"/>
    <w:rsid w:val="57220EE5"/>
    <w:rsid w:val="572836CD"/>
    <w:rsid w:val="572926B5"/>
    <w:rsid w:val="572B1E41"/>
    <w:rsid w:val="572C4F8B"/>
    <w:rsid w:val="572E5BB4"/>
    <w:rsid w:val="573F5D58"/>
    <w:rsid w:val="57442B77"/>
    <w:rsid w:val="574B687F"/>
    <w:rsid w:val="57533AF9"/>
    <w:rsid w:val="57576D62"/>
    <w:rsid w:val="575B3B50"/>
    <w:rsid w:val="576B7273"/>
    <w:rsid w:val="576D7419"/>
    <w:rsid w:val="5774687E"/>
    <w:rsid w:val="577526DE"/>
    <w:rsid w:val="57760D36"/>
    <w:rsid w:val="578D01FD"/>
    <w:rsid w:val="579A1C76"/>
    <w:rsid w:val="57A67248"/>
    <w:rsid w:val="57B3762A"/>
    <w:rsid w:val="57B43A5B"/>
    <w:rsid w:val="57B4515B"/>
    <w:rsid w:val="57B71309"/>
    <w:rsid w:val="57C42356"/>
    <w:rsid w:val="57C453A1"/>
    <w:rsid w:val="57D007AE"/>
    <w:rsid w:val="57D13829"/>
    <w:rsid w:val="57D479CD"/>
    <w:rsid w:val="57D6106B"/>
    <w:rsid w:val="57F47D6C"/>
    <w:rsid w:val="57FD445B"/>
    <w:rsid w:val="58023C73"/>
    <w:rsid w:val="580B29E4"/>
    <w:rsid w:val="5811294F"/>
    <w:rsid w:val="58120D65"/>
    <w:rsid w:val="581D3039"/>
    <w:rsid w:val="582510E2"/>
    <w:rsid w:val="582577AA"/>
    <w:rsid w:val="58296DBE"/>
    <w:rsid w:val="582E2CEF"/>
    <w:rsid w:val="58337317"/>
    <w:rsid w:val="58377670"/>
    <w:rsid w:val="583A559C"/>
    <w:rsid w:val="5843365E"/>
    <w:rsid w:val="587A7211"/>
    <w:rsid w:val="587F7F7F"/>
    <w:rsid w:val="58844329"/>
    <w:rsid w:val="58880B02"/>
    <w:rsid w:val="58971248"/>
    <w:rsid w:val="589E66A6"/>
    <w:rsid w:val="58A4745B"/>
    <w:rsid w:val="58B23F90"/>
    <w:rsid w:val="58B372F9"/>
    <w:rsid w:val="58C37614"/>
    <w:rsid w:val="58C96355"/>
    <w:rsid w:val="58CD6AC0"/>
    <w:rsid w:val="58CF033F"/>
    <w:rsid w:val="58CF5559"/>
    <w:rsid w:val="58D16470"/>
    <w:rsid w:val="58D75408"/>
    <w:rsid w:val="58ED518C"/>
    <w:rsid w:val="58FC463B"/>
    <w:rsid w:val="59000E99"/>
    <w:rsid w:val="591615ED"/>
    <w:rsid w:val="5916533F"/>
    <w:rsid w:val="591D4CCE"/>
    <w:rsid w:val="592F27B9"/>
    <w:rsid w:val="59332A19"/>
    <w:rsid w:val="593E1582"/>
    <w:rsid w:val="593E5983"/>
    <w:rsid w:val="59406196"/>
    <w:rsid w:val="59470134"/>
    <w:rsid w:val="594B060D"/>
    <w:rsid w:val="594B6373"/>
    <w:rsid w:val="595C6850"/>
    <w:rsid w:val="59816272"/>
    <w:rsid w:val="598924DF"/>
    <w:rsid w:val="59911A7B"/>
    <w:rsid w:val="59962FCB"/>
    <w:rsid w:val="59A74BC2"/>
    <w:rsid w:val="59C608A8"/>
    <w:rsid w:val="59CA6773"/>
    <w:rsid w:val="59CE6FC4"/>
    <w:rsid w:val="59D32C50"/>
    <w:rsid w:val="59D7436B"/>
    <w:rsid w:val="59E0388F"/>
    <w:rsid w:val="59FC0EE4"/>
    <w:rsid w:val="5A14243A"/>
    <w:rsid w:val="5A181DBA"/>
    <w:rsid w:val="5A1E64DA"/>
    <w:rsid w:val="5A26204E"/>
    <w:rsid w:val="5A27768E"/>
    <w:rsid w:val="5A3C2D74"/>
    <w:rsid w:val="5A3E39FD"/>
    <w:rsid w:val="5A400374"/>
    <w:rsid w:val="5A442A60"/>
    <w:rsid w:val="5A446E14"/>
    <w:rsid w:val="5A45766D"/>
    <w:rsid w:val="5A4D1E67"/>
    <w:rsid w:val="5A601F09"/>
    <w:rsid w:val="5A60793F"/>
    <w:rsid w:val="5A6E27C2"/>
    <w:rsid w:val="5A702F60"/>
    <w:rsid w:val="5A843150"/>
    <w:rsid w:val="5A8A2A64"/>
    <w:rsid w:val="5A940CEA"/>
    <w:rsid w:val="5A9766A0"/>
    <w:rsid w:val="5AD31486"/>
    <w:rsid w:val="5ADD0301"/>
    <w:rsid w:val="5AE80891"/>
    <w:rsid w:val="5AEA42A7"/>
    <w:rsid w:val="5AF147AF"/>
    <w:rsid w:val="5AF6213D"/>
    <w:rsid w:val="5AF955A6"/>
    <w:rsid w:val="5B024D2E"/>
    <w:rsid w:val="5B06237D"/>
    <w:rsid w:val="5B0A3F2F"/>
    <w:rsid w:val="5B123C90"/>
    <w:rsid w:val="5B12487C"/>
    <w:rsid w:val="5B1D77AE"/>
    <w:rsid w:val="5B22494F"/>
    <w:rsid w:val="5B2E11C4"/>
    <w:rsid w:val="5B5C6BC4"/>
    <w:rsid w:val="5B5D4739"/>
    <w:rsid w:val="5B620458"/>
    <w:rsid w:val="5B684347"/>
    <w:rsid w:val="5B6F19A6"/>
    <w:rsid w:val="5B700931"/>
    <w:rsid w:val="5B761D0F"/>
    <w:rsid w:val="5B846D9A"/>
    <w:rsid w:val="5B8D0B14"/>
    <w:rsid w:val="5B9E6663"/>
    <w:rsid w:val="5BA06964"/>
    <w:rsid w:val="5BA709E7"/>
    <w:rsid w:val="5BCA5822"/>
    <w:rsid w:val="5BCD0751"/>
    <w:rsid w:val="5BD91F40"/>
    <w:rsid w:val="5BEA04AF"/>
    <w:rsid w:val="5BED207A"/>
    <w:rsid w:val="5BFA7E5C"/>
    <w:rsid w:val="5C017B44"/>
    <w:rsid w:val="5C2A6C62"/>
    <w:rsid w:val="5C3114B9"/>
    <w:rsid w:val="5C3450B7"/>
    <w:rsid w:val="5C367C42"/>
    <w:rsid w:val="5C465B77"/>
    <w:rsid w:val="5C4A4BC3"/>
    <w:rsid w:val="5C6E1EA2"/>
    <w:rsid w:val="5C707A2C"/>
    <w:rsid w:val="5C730D35"/>
    <w:rsid w:val="5C7B125A"/>
    <w:rsid w:val="5C9C71FE"/>
    <w:rsid w:val="5CA43EB8"/>
    <w:rsid w:val="5CA72DE6"/>
    <w:rsid w:val="5CBF0C13"/>
    <w:rsid w:val="5CC21A07"/>
    <w:rsid w:val="5CC27A3F"/>
    <w:rsid w:val="5CCB377E"/>
    <w:rsid w:val="5CCF2DF1"/>
    <w:rsid w:val="5CD214EC"/>
    <w:rsid w:val="5CD61696"/>
    <w:rsid w:val="5CD768E4"/>
    <w:rsid w:val="5CDC1EEA"/>
    <w:rsid w:val="5CDC6A38"/>
    <w:rsid w:val="5CE02370"/>
    <w:rsid w:val="5CFC6937"/>
    <w:rsid w:val="5D0366FA"/>
    <w:rsid w:val="5D0F1DEC"/>
    <w:rsid w:val="5D1601BA"/>
    <w:rsid w:val="5D1865B0"/>
    <w:rsid w:val="5D2B50F7"/>
    <w:rsid w:val="5D2E6EFF"/>
    <w:rsid w:val="5D3103DA"/>
    <w:rsid w:val="5D3259FD"/>
    <w:rsid w:val="5D355E37"/>
    <w:rsid w:val="5D39480A"/>
    <w:rsid w:val="5D3A337D"/>
    <w:rsid w:val="5D3A3699"/>
    <w:rsid w:val="5D402E31"/>
    <w:rsid w:val="5D476A97"/>
    <w:rsid w:val="5D537E45"/>
    <w:rsid w:val="5D5B0B30"/>
    <w:rsid w:val="5D5B4DDC"/>
    <w:rsid w:val="5D612FEB"/>
    <w:rsid w:val="5D6F303B"/>
    <w:rsid w:val="5D7D295D"/>
    <w:rsid w:val="5D8F5D8E"/>
    <w:rsid w:val="5D921C34"/>
    <w:rsid w:val="5D9C5104"/>
    <w:rsid w:val="5D9F3F02"/>
    <w:rsid w:val="5DA1327A"/>
    <w:rsid w:val="5DB104AD"/>
    <w:rsid w:val="5DB12041"/>
    <w:rsid w:val="5DB24B93"/>
    <w:rsid w:val="5DBA5572"/>
    <w:rsid w:val="5DC843B8"/>
    <w:rsid w:val="5DC9107C"/>
    <w:rsid w:val="5DCD7EB9"/>
    <w:rsid w:val="5DD85593"/>
    <w:rsid w:val="5DE63F9C"/>
    <w:rsid w:val="5DEA692E"/>
    <w:rsid w:val="5E0814C2"/>
    <w:rsid w:val="5E125D33"/>
    <w:rsid w:val="5E1265F9"/>
    <w:rsid w:val="5E171980"/>
    <w:rsid w:val="5E1A20EF"/>
    <w:rsid w:val="5E1D2FF6"/>
    <w:rsid w:val="5E211958"/>
    <w:rsid w:val="5E223FE0"/>
    <w:rsid w:val="5E25063E"/>
    <w:rsid w:val="5E270E52"/>
    <w:rsid w:val="5E27282F"/>
    <w:rsid w:val="5E2750A8"/>
    <w:rsid w:val="5E29514D"/>
    <w:rsid w:val="5E2A0C9B"/>
    <w:rsid w:val="5E351AFE"/>
    <w:rsid w:val="5E397011"/>
    <w:rsid w:val="5E4C68B3"/>
    <w:rsid w:val="5E5411B4"/>
    <w:rsid w:val="5E6D3A21"/>
    <w:rsid w:val="5E753D06"/>
    <w:rsid w:val="5E7677D3"/>
    <w:rsid w:val="5E7D3185"/>
    <w:rsid w:val="5E876C75"/>
    <w:rsid w:val="5E8D62AF"/>
    <w:rsid w:val="5E9D7D79"/>
    <w:rsid w:val="5E9E21E1"/>
    <w:rsid w:val="5EA10A90"/>
    <w:rsid w:val="5EB074BC"/>
    <w:rsid w:val="5EB804F7"/>
    <w:rsid w:val="5EB835E1"/>
    <w:rsid w:val="5EBD1FD7"/>
    <w:rsid w:val="5EC566E4"/>
    <w:rsid w:val="5EDE3C96"/>
    <w:rsid w:val="5EE72C57"/>
    <w:rsid w:val="5EEC733F"/>
    <w:rsid w:val="5EED7606"/>
    <w:rsid w:val="5EF126A2"/>
    <w:rsid w:val="5EF46C4F"/>
    <w:rsid w:val="5F050A10"/>
    <w:rsid w:val="5F093876"/>
    <w:rsid w:val="5F0C2A1E"/>
    <w:rsid w:val="5F121B53"/>
    <w:rsid w:val="5F1E5978"/>
    <w:rsid w:val="5F1E7B44"/>
    <w:rsid w:val="5F296134"/>
    <w:rsid w:val="5F2A4C42"/>
    <w:rsid w:val="5F2D2AD1"/>
    <w:rsid w:val="5F341790"/>
    <w:rsid w:val="5F346A95"/>
    <w:rsid w:val="5F39593C"/>
    <w:rsid w:val="5F4D45F5"/>
    <w:rsid w:val="5F5306D5"/>
    <w:rsid w:val="5F590065"/>
    <w:rsid w:val="5F590CC4"/>
    <w:rsid w:val="5F5E2C58"/>
    <w:rsid w:val="5F636067"/>
    <w:rsid w:val="5F6D5DB3"/>
    <w:rsid w:val="5F7779DB"/>
    <w:rsid w:val="5F7A2641"/>
    <w:rsid w:val="5F81179B"/>
    <w:rsid w:val="5F876907"/>
    <w:rsid w:val="5F900106"/>
    <w:rsid w:val="5F905672"/>
    <w:rsid w:val="5F9B0C3B"/>
    <w:rsid w:val="5F9B2D98"/>
    <w:rsid w:val="5F9E59AA"/>
    <w:rsid w:val="5FA2264D"/>
    <w:rsid w:val="5FAC57D5"/>
    <w:rsid w:val="5FAD75F5"/>
    <w:rsid w:val="5FBF4534"/>
    <w:rsid w:val="5FC809FE"/>
    <w:rsid w:val="5FC84ACB"/>
    <w:rsid w:val="5FCC2A11"/>
    <w:rsid w:val="5FDE323D"/>
    <w:rsid w:val="5FF74406"/>
    <w:rsid w:val="5FFD4D97"/>
    <w:rsid w:val="60014035"/>
    <w:rsid w:val="600853C3"/>
    <w:rsid w:val="601327E3"/>
    <w:rsid w:val="601A5CCF"/>
    <w:rsid w:val="60266CCC"/>
    <w:rsid w:val="602E1195"/>
    <w:rsid w:val="60320560"/>
    <w:rsid w:val="604B0DD5"/>
    <w:rsid w:val="6053375C"/>
    <w:rsid w:val="605A663F"/>
    <w:rsid w:val="606210AF"/>
    <w:rsid w:val="60622EFA"/>
    <w:rsid w:val="60671EEA"/>
    <w:rsid w:val="606831C3"/>
    <w:rsid w:val="60720FBE"/>
    <w:rsid w:val="60A04237"/>
    <w:rsid w:val="60BD2411"/>
    <w:rsid w:val="60D57D72"/>
    <w:rsid w:val="60DC293B"/>
    <w:rsid w:val="60EE12D1"/>
    <w:rsid w:val="60FC460B"/>
    <w:rsid w:val="61095BA2"/>
    <w:rsid w:val="61117275"/>
    <w:rsid w:val="61155575"/>
    <w:rsid w:val="61296FE1"/>
    <w:rsid w:val="61334DC7"/>
    <w:rsid w:val="613C2542"/>
    <w:rsid w:val="61492653"/>
    <w:rsid w:val="614B23A7"/>
    <w:rsid w:val="6153319E"/>
    <w:rsid w:val="615B4BAD"/>
    <w:rsid w:val="615B602D"/>
    <w:rsid w:val="616D1F56"/>
    <w:rsid w:val="61703808"/>
    <w:rsid w:val="618A5EFF"/>
    <w:rsid w:val="619255F6"/>
    <w:rsid w:val="619A47FC"/>
    <w:rsid w:val="61A213D5"/>
    <w:rsid w:val="61A63510"/>
    <w:rsid w:val="61A700C8"/>
    <w:rsid w:val="61B56F70"/>
    <w:rsid w:val="61C313CF"/>
    <w:rsid w:val="61CB00FB"/>
    <w:rsid w:val="61F866D8"/>
    <w:rsid w:val="620140A9"/>
    <w:rsid w:val="6203002F"/>
    <w:rsid w:val="620A30C4"/>
    <w:rsid w:val="6215510E"/>
    <w:rsid w:val="62344EFF"/>
    <w:rsid w:val="62404903"/>
    <w:rsid w:val="6247319D"/>
    <w:rsid w:val="624D0B16"/>
    <w:rsid w:val="62542350"/>
    <w:rsid w:val="6254787F"/>
    <w:rsid w:val="62561A17"/>
    <w:rsid w:val="626A66BD"/>
    <w:rsid w:val="627221BA"/>
    <w:rsid w:val="627B1FC0"/>
    <w:rsid w:val="628F7582"/>
    <w:rsid w:val="62980817"/>
    <w:rsid w:val="62AC0616"/>
    <w:rsid w:val="62AF7F9A"/>
    <w:rsid w:val="62B65CD1"/>
    <w:rsid w:val="62B73CE1"/>
    <w:rsid w:val="62C159F9"/>
    <w:rsid w:val="62CA70D1"/>
    <w:rsid w:val="62CC381A"/>
    <w:rsid w:val="62CE354B"/>
    <w:rsid w:val="62D2510F"/>
    <w:rsid w:val="62D43C98"/>
    <w:rsid w:val="62D8319B"/>
    <w:rsid w:val="62DB4464"/>
    <w:rsid w:val="62F30E9F"/>
    <w:rsid w:val="6301141A"/>
    <w:rsid w:val="630A2AD4"/>
    <w:rsid w:val="630D16CF"/>
    <w:rsid w:val="631076C3"/>
    <w:rsid w:val="6318103E"/>
    <w:rsid w:val="63264F41"/>
    <w:rsid w:val="633738AB"/>
    <w:rsid w:val="633A2D9B"/>
    <w:rsid w:val="63403F0E"/>
    <w:rsid w:val="634A5E30"/>
    <w:rsid w:val="634C3B6F"/>
    <w:rsid w:val="635357B5"/>
    <w:rsid w:val="63730BF9"/>
    <w:rsid w:val="638F3C65"/>
    <w:rsid w:val="63921524"/>
    <w:rsid w:val="63922156"/>
    <w:rsid w:val="639638C1"/>
    <w:rsid w:val="63A24EF3"/>
    <w:rsid w:val="63A565CE"/>
    <w:rsid w:val="63AA12DC"/>
    <w:rsid w:val="63AB02DB"/>
    <w:rsid w:val="63AE4EB9"/>
    <w:rsid w:val="63B243EF"/>
    <w:rsid w:val="63B51CF9"/>
    <w:rsid w:val="63BB6B49"/>
    <w:rsid w:val="63C93698"/>
    <w:rsid w:val="63CE1D53"/>
    <w:rsid w:val="63E755A2"/>
    <w:rsid w:val="63FD6409"/>
    <w:rsid w:val="6400233D"/>
    <w:rsid w:val="64031F29"/>
    <w:rsid w:val="64105980"/>
    <w:rsid w:val="641A31D1"/>
    <w:rsid w:val="642825E7"/>
    <w:rsid w:val="643559D7"/>
    <w:rsid w:val="6440497D"/>
    <w:rsid w:val="64430EC5"/>
    <w:rsid w:val="6462584D"/>
    <w:rsid w:val="64795FB3"/>
    <w:rsid w:val="647B084B"/>
    <w:rsid w:val="647B326D"/>
    <w:rsid w:val="647D41E3"/>
    <w:rsid w:val="648579AC"/>
    <w:rsid w:val="648A1735"/>
    <w:rsid w:val="64905A0F"/>
    <w:rsid w:val="64A038CB"/>
    <w:rsid w:val="64A17159"/>
    <w:rsid w:val="64A30A29"/>
    <w:rsid w:val="64AD2A12"/>
    <w:rsid w:val="64C62604"/>
    <w:rsid w:val="64C8478E"/>
    <w:rsid w:val="64CB458C"/>
    <w:rsid w:val="64CC54D4"/>
    <w:rsid w:val="64CC7F8F"/>
    <w:rsid w:val="64D060AD"/>
    <w:rsid w:val="64D5284A"/>
    <w:rsid w:val="64F152BF"/>
    <w:rsid w:val="64F17234"/>
    <w:rsid w:val="64FD38AF"/>
    <w:rsid w:val="650C253A"/>
    <w:rsid w:val="651B2D48"/>
    <w:rsid w:val="651F00B0"/>
    <w:rsid w:val="652056C9"/>
    <w:rsid w:val="65261322"/>
    <w:rsid w:val="6527058D"/>
    <w:rsid w:val="652807CF"/>
    <w:rsid w:val="653C63E6"/>
    <w:rsid w:val="65416107"/>
    <w:rsid w:val="654E6E4D"/>
    <w:rsid w:val="655311D0"/>
    <w:rsid w:val="656A0546"/>
    <w:rsid w:val="656C1CE6"/>
    <w:rsid w:val="65714FB7"/>
    <w:rsid w:val="65767F14"/>
    <w:rsid w:val="65867072"/>
    <w:rsid w:val="658F44E7"/>
    <w:rsid w:val="65AB6EB1"/>
    <w:rsid w:val="65B10B18"/>
    <w:rsid w:val="65B704C6"/>
    <w:rsid w:val="65B711C4"/>
    <w:rsid w:val="65CD7FF5"/>
    <w:rsid w:val="65CF7B1F"/>
    <w:rsid w:val="65D5690C"/>
    <w:rsid w:val="65E007AD"/>
    <w:rsid w:val="65E949AA"/>
    <w:rsid w:val="65EC3437"/>
    <w:rsid w:val="65F76F1A"/>
    <w:rsid w:val="65FF7F6B"/>
    <w:rsid w:val="66153A9C"/>
    <w:rsid w:val="66165F1B"/>
    <w:rsid w:val="66226A93"/>
    <w:rsid w:val="662843FA"/>
    <w:rsid w:val="66292014"/>
    <w:rsid w:val="663B3F88"/>
    <w:rsid w:val="66436BE9"/>
    <w:rsid w:val="66495932"/>
    <w:rsid w:val="666931F1"/>
    <w:rsid w:val="667F2B51"/>
    <w:rsid w:val="66811B60"/>
    <w:rsid w:val="66825363"/>
    <w:rsid w:val="668C0E9D"/>
    <w:rsid w:val="66B537EF"/>
    <w:rsid w:val="66BC00C5"/>
    <w:rsid w:val="66C023A3"/>
    <w:rsid w:val="66D75D92"/>
    <w:rsid w:val="66DA6104"/>
    <w:rsid w:val="66DC454E"/>
    <w:rsid w:val="670A4F56"/>
    <w:rsid w:val="67117C6C"/>
    <w:rsid w:val="67126929"/>
    <w:rsid w:val="67147056"/>
    <w:rsid w:val="671C49D1"/>
    <w:rsid w:val="67277426"/>
    <w:rsid w:val="673823D9"/>
    <w:rsid w:val="67561BC8"/>
    <w:rsid w:val="6762326B"/>
    <w:rsid w:val="67702B80"/>
    <w:rsid w:val="67791B73"/>
    <w:rsid w:val="67850FA0"/>
    <w:rsid w:val="678C746F"/>
    <w:rsid w:val="678D062B"/>
    <w:rsid w:val="67A01AB6"/>
    <w:rsid w:val="67A040FE"/>
    <w:rsid w:val="67A957EE"/>
    <w:rsid w:val="67A97597"/>
    <w:rsid w:val="67AB3B22"/>
    <w:rsid w:val="67AB4601"/>
    <w:rsid w:val="67AE4C4F"/>
    <w:rsid w:val="67D2081D"/>
    <w:rsid w:val="67D27E41"/>
    <w:rsid w:val="67D27F47"/>
    <w:rsid w:val="67D658F1"/>
    <w:rsid w:val="67D679D3"/>
    <w:rsid w:val="67DF2964"/>
    <w:rsid w:val="67E46F2B"/>
    <w:rsid w:val="67E72FD7"/>
    <w:rsid w:val="67EC2474"/>
    <w:rsid w:val="67F1731E"/>
    <w:rsid w:val="67F80407"/>
    <w:rsid w:val="67FC3CE3"/>
    <w:rsid w:val="67FF0298"/>
    <w:rsid w:val="67FF5498"/>
    <w:rsid w:val="68036ED2"/>
    <w:rsid w:val="68077307"/>
    <w:rsid w:val="680A4DE3"/>
    <w:rsid w:val="6813185E"/>
    <w:rsid w:val="681678C8"/>
    <w:rsid w:val="681D5D36"/>
    <w:rsid w:val="682E5424"/>
    <w:rsid w:val="68392E59"/>
    <w:rsid w:val="68492B68"/>
    <w:rsid w:val="684A10F6"/>
    <w:rsid w:val="6857674C"/>
    <w:rsid w:val="685A060C"/>
    <w:rsid w:val="687729FC"/>
    <w:rsid w:val="687B4B10"/>
    <w:rsid w:val="687B70BA"/>
    <w:rsid w:val="68846F65"/>
    <w:rsid w:val="688D5EBA"/>
    <w:rsid w:val="68905BF5"/>
    <w:rsid w:val="6894743A"/>
    <w:rsid w:val="689F56A0"/>
    <w:rsid w:val="68A30124"/>
    <w:rsid w:val="68A80D2E"/>
    <w:rsid w:val="68AF5406"/>
    <w:rsid w:val="68B93B2C"/>
    <w:rsid w:val="68C10AC4"/>
    <w:rsid w:val="68C259A6"/>
    <w:rsid w:val="68C80DAD"/>
    <w:rsid w:val="68CC34CF"/>
    <w:rsid w:val="68D0762D"/>
    <w:rsid w:val="68D23622"/>
    <w:rsid w:val="68EF4A97"/>
    <w:rsid w:val="68F567CF"/>
    <w:rsid w:val="68F856E8"/>
    <w:rsid w:val="68FB62C1"/>
    <w:rsid w:val="6900405E"/>
    <w:rsid w:val="69087320"/>
    <w:rsid w:val="69145144"/>
    <w:rsid w:val="69187C7A"/>
    <w:rsid w:val="6928492F"/>
    <w:rsid w:val="693F1B08"/>
    <w:rsid w:val="69435E34"/>
    <w:rsid w:val="694C70FE"/>
    <w:rsid w:val="695E79B4"/>
    <w:rsid w:val="695F02E1"/>
    <w:rsid w:val="69612DDF"/>
    <w:rsid w:val="69670BF0"/>
    <w:rsid w:val="697101E6"/>
    <w:rsid w:val="697E7A78"/>
    <w:rsid w:val="69816825"/>
    <w:rsid w:val="699445C0"/>
    <w:rsid w:val="699A766F"/>
    <w:rsid w:val="69A01568"/>
    <w:rsid w:val="69A21B7E"/>
    <w:rsid w:val="69AD3A91"/>
    <w:rsid w:val="69B06DC4"/>
    <w:rsid w:val="69B25728"/>
    <w:rsid w:val="69B362E5"/>
    <w:rsid w:val="69BE30E4"/>
    <w:rsid w:val="69C214AE"/>
    <w:rsid w:val="69D421DB"/>
    <w:rsid w:val="69E117E6"/>
    <w:rsid w:val="69E3002C"/>
    <w:rsid w:val="69E344B4"/>
    <w:rsid w:val="69E71D0D"/>
    <w:rsid w:val="69EE7D09"/>
    <w:rsid w:val="6A006410"/>
    <w:rsid w:val="6A0B777F"/>
    <w:rsid w:val="6A0F21E3"/>
    <w:rsid w:val="6A117366"/>
    <w:rsid w:val="6A15212E"/>
    <w:rsid w:val="6A1A1B74"/>
    <w:rsid w:val="6A1C30B0"/>
    <w:rsid w:val="6A274DC2"/>
    <w:rsid w:val="6A311A7C"/>
    <w:rsid w:val="6A344C5D"/>
    <w:rsid w:val="6A3A0A0F"/>
    <w:rsid w:val="6A3F62CB"/>
    <w:rsid w:val="6A405562"/>
    <w:rsid w:val="6A510909"/>
    <w:rsid w:val="6A580721"/>
    <w:rsid w:val="6A7043BA"/>
    <w:rsid w:val="6A723790"/>
    <w:rsid w:val="6A746E45"/>
    <w:rsid w:val="6A807FE3"/>
    <w:rsid w:val="6A812FE1"/>
    <w:rsid w:val="6A8E4749"/>
    <w:rsid w:val="6A916160"/>
    <w:rsid w:val="6A922F9B"/>
    <w:rsid w:val="6A99202F"/>
    <w:rsid w:val="6A996D6F"/>
    <w:rsid w:val="6AA4536D"/>
    <w:rsid w:val="6AA467FF"/>
    <w:rsid w:val="6AA57D2A"/>
    <w:rsid w:val="6AA66176"/>
    <w:rsid w:val="6AA67E3F"/>
    <w:rsid w:val="6AAC52D7"/>
    <w:rsid w:val="6AAD2EDA"/>
    <w:rsid w:val="6AB071EE"/>
    <w:rsid w:val="6AB1723E"/>
    <w:rsid w:val="6ABA0132"/>
    <w:rsid w:val="6ABB46DC"/>
    <w:rsid w:val="6AC35E96"/>
    <w:rsid w:val="6AC8443C"/>
    <w:rsid w:val="6AC90BFE"/>
    <w:rsid w:val="6ACC0617"/>
    <w:rsid w:val="6AD273AE"/>
    <w:rsid w:val="6AE052A4"/>
    <w:rsid w:val="6AEB5DB7"/>
    <w:rsid w:val="6AF26803"/>
    <w:rsid w:val="6AF27DFD"/>
    <w:rsid w:val="6B0732D0"/>
    <w:rsid w:val="6B0E3842"/>
    <w:rsid w:val="6B2539FD"/>
    <w:rsid w:val="6B266E3F"/>
    <w:rsid w:val="6B294890"/>
    <w:rsid w:val="6B2A3EC6"/>
    <w:rsid w:val="6B503542"/>
    <w:rsid w:val="6B540667"/>
    <w:rsid w:val="6B575BCF"/>
    <w:rsid w:val="6B640317"/>
    <w:rsid w:val="6B6801F4"/>
    <w:rsid w:val="6B6D18A3"/>
    <w:rsid w:val="6B71781B"/>
    <w:rsid w:val="6B7D190E"/>
    <w:rsid w:val="6B8E2F12"/>
    <w:rsid w:val="6BA1459C"/>
    <w:rsid w:val="6BA30B92"/>
    <w:rsid w:val="6BAB4946"/>
    <w:rsid w:val="6BC24440"/>
    <w:rsid w:val="6BD14360"/>
    <w:rsid w:val="6BD83BDC"/>
    <w:rsid w:val="6BE14F34"/>
    <w:rsid w:val="6BE463FD"/>
    <w:rsid w:val="6BE7098B"/>
    <w:rsid w:val="6BED4DC8"/>
    <w:rsid w:val="6BFD2C21"/>
    <w:rsid w:val="6C002CD0"/>
    <w:rsid w:val="6C171372"/>
    <w:rsid w:val="6C1C08D2"/>
    <w:rsid w:val="6C2E32F8"/>
    <w:rsid w:val="6C2E4EFF"/>
    <w:rsid w:val="6C380C0C"/>
    <w:rsid w:val="6C3B437E"/>
    <w:rsid w:val="6C4B45B8"/>
    <w:rsid w:val="6C587C32"/>
    <w:rsid w:val="6C672D07"/>
    <w:rsid w:val="6C6D68EC"/>
    <w:rsid w:val="6C726BEF"/>
    <w:rsid w:val="6C785C2B"/>
    <w:rsid w:val="6C7865C2"/>
    <w:rsid w:val="6C7A44DD"/>
    <w:rsid w:val="6C7D5BDB"/>
    <w:rsid w:val="6C9824B9"/>
    <w:rsid w:val="6C9E4E2F"/>
    <w:rsid w:val="6C9F6274"/>
    <w:rsid w:val="6CA06185"/>
    <w:rsid w:val="6CC17208"/>
    <w:rsid w:val="6CCB038A"/>
    <w:rsid w:val="6CCF390C"/>
    <w:rsid w:val="6CDC19C9"/>
    <w:rsid w:val="6CDF3971"/>
    <w:rsid w:val="6CE739A5"/>
    <w:rsid w:val="6CEF53D0"/>
    <w:rsid w:val="6CF00B6E"/>
    <w:rsid w:val="6D0705E7"/>
    <w:rsid w:val="6D134EB2"/>
    <w:rsid w:val="6D167387"/>
    <w:rsid w:val="6D1A74DB"/>
    <w:rsid w:val="6D1B2A04"/>
    <w:rsid w:val="6D1C6CF1"/>
    <w:rsid w:val="6D214244"/>
    <w:rsid w:val="6D266A8D"/>
    <w:rsid w:val="6D3A1209"/>
    <w:rsid w:val="6D4A7684"/>
    <w:rsid w:val="6D4D1855"/>
    <w:rsid w:val="6D527191"/>
    <w:rsid w:val="6D610B90"/>
    <w:rsid w:val="6D683E15"/>
    <w:rsid w:val="6D881578"/>
    <w:rsid w:val="6D89058A"/>
    <w:rsid w:val="6D9218C0"/>
    <w:rsid w:val="6DA6658D"/>
    <w:rsid w:val="6DAB0BFA"/>
    <w:rsid w:val="6DB17908"/>
    <w:rsid w:val="6DBA58F3"/>
    <w:rsid w:val="6DBB72EC"/>
    <w:rsid w:val="6DBC19DB"/>
    <w:rsid w:val="6DC5453B"/>
    <w:rsid w:val="6DC85BDB"/>
    <w:rsid w:val="6DD96652"/>
    <w:rsid w:val="6DDE0BD1"/>
    <w:rsid w:val="6DE42C31"/>
    <w:rsid w:val="6DE45A4D"/>
    <w:rsid w:val="6DF6147F"/>
    <w:rsid w:val="6DFA6185"/>
    <w:rsid w:val="6DFC4163"/>
    <w:rsid w:val="6E290652"/>
    <w:rsid w:val="6E3402EC"/>
    <w:rsid w:val="6E3B4672"/>
    <w:rsid w:val="6E47271A"/>
    <w:rsid w:val="6E47693B"/>
    <w:rsid w:val="6E4D1153"/>
    <w:rsid w:val="6E5352A3"/>
    <w:rsid w:val="6E587118"/>
    <w:rsid w:val="6E597961"/>
    <w:rsid w:val="6E5A4642"/>
    <w:rsid w:val="6E5A5ABC"/>
    <w:rsid w:val="6E603134"/>
    <w:rsid w:val="6E654DB3"/>
    <w:rsid w:val="6E700986"/>
    <w:rsid w:val="6E797F2C"/>
    <w:rsid w:val="6E803464"/>
    <w:rsid w:val="6E874815"/>
    <w:rsid w:val="6E98626D"/>
    <w:rsid w:val="6E995727"/>
    <w:rsid w:val="6E9B5A64"/>
    <w:rsid w:val="6EA017B8"/>
    <w:rsid w:val="6EB07856"/>
    <w:rsid w:val="6EB41CA4"/>
    <w:rsid w:val="6EB80C11"/>
    <w:rsid w:val="6EB97F09"/>
    <w:rsid w:val="6EBD6DFF"/>
    <w:rsid w:val="6EC12D7C"/>
    <w:rsid w:val="6ECC3581"/>
    <w:rsid w:val="6EE06957"/>
    <w:rsid w:val="6EE44FF7"/>
    <w:rsid w:val="6EF56417"/>
    <w:rsid w:val="6EF813D1"/>
    <w:rsid w:val="6EFB5809"/>
    <w:rsid w:val="6F044A5C"/>
    <w:rsid w:val="6F0E0D47"/>
    <w:rsid w:val="6F0F1129"/>
    <w:rsid w:val="6F1A372C"/>
    <w:rsid w:val="6F1F0690"/>
    <w:rsid w:val="6F2546B7"/>
    <w:rsid w:val="6F280781"/>
    <w:rsid w:val="6F2F6E53"/>
    <w:rsid w:val="6F321428"/>
    <w:rsid w:val="6F3445F5"/>
    <w:rsid w:val="6F3A01BD"/>
    <w:rsid w:val="6F3F295F"/>
    <w:rsid w:val="6F5B26A3"/>
    <w:rsid w:val="6F5F11AC"/>
    <w:rsid w:val="6F6034C1"/>
    <w:rsid w:val="6F6F5744"/>
    <w:rsid w:val="6F7003E9"/>
    <w:rsid w:val="6F79609C"/>
    <w:rsid w:val="6F7D6217"/>
    <w:rsid w:val="6F8829F2"/>
    <w:rsid w:val="6F9E5C0C"/>
    <w:rsid w:val="6FA77386"/>
    <w:rsid w:val="6FB9633A"/>
    <w:rsid w:val="6FC76DE8"/>
    <w:rsid w:val="6FD56B96"/>
    <w:rsid w:val="6FDD467A"/>
    <w:rsid w:val="6FE01359"/>
    <w:rsid w:val="6FF47CC7"/>
    <w:rsid w:val="700321A8"/>
    <w:rsid w:val="700A0A4D"/>
    <w:rsid w:val="700C4F0E"/>
    <w:rsid w:val="70122D0F"/>
    <w:rsid w:val="70133F45"/>
    <w:rsid w:val="70220F27"/>
    <w:rsid w:val="70242030"/>
    <w:rsid w:val="702A0126"/>
    <w:rsid w:val="703D5532"/>
    <w:rsid w:val="70453D18"/>
    <w:rsid w:val="70467AD6"/>
    <w:rsid w:val="704932F7"/>
    <w:rsid w:val="704935DE"/>
    <w:rsid w:val="704A07B2"/>
    <w:rsid w:val="70560DBC"/>
    <w:rsid w:val="70596B55"/>
    <w:rsid w:val="705D4CBA"/>
    <w:rsid w:val="70623451"/>
    <w:rsid w:val="706907FF"/>
    <w:rsid w:val="70714E9D"/>
    <w:rsid w:val="707B353B"/>
    <w:rsid w:val="70AE34E9"/>
    <w:rsid w:val="70B22558"/>
    <w:rsid w:val="70D17870"/>
    <w:rsid w:val="70D86177"/>
    <w:rsid w:val="70E42F38"/>
    <w:rsid w:val="70E90E34"/>
    <w:rsid w:val="70F329E8"/>
    <w:rsid w:val="70F61B26"/>
    <w:rsid w:val="70FE270B"/>
    <w:rsid w:val="70FE4D4E"/>
    <w:rsid w:val="71002086"/>
    <w:rsid w:val="710600D2"/>
    <w:rsid w:val="710A71B7"/>
    <w:rsid w:val="710C653F"/>
    <w:rsid w:val="711471BA"/>
    <w:rsid w:val="711D733D"/>
    <w:rsid w:val="71297D7D"/>
    <w:rsid w:val="712B3657"/>
    <w:rsid w:val="71301228"/>
    <w:rsid w:val="713100BC"/>
    <w:rsid w:val="713200CD"/>
    <w:rsid w:val="713C0A58"/>
    <w:rsid w:val="713D234A"/>
    <w:rsid w:val="71415D52"/>
    <w:rsid w:val="714F4EF1"/>
    <w:rsid w:val="715B6667"/>
    <w:rsid w:val="7173299F"/>
    <w:rsid w:val="71783B41"/>
    <w:rsid w:val="717A36D7"/>
    <w:rsid w:val="71832ECE"/>
    <w:rsid w:val="71852DE1"/>
    <w:rsid w:val="7192497C"/>
    <w:rsid w:val="719C047D"/>
    <w:rsid w:val="719F4BB3"/>
    <w:rsid w:val="71A45ADD"/>
    <w:rsid w:val="71B25444"/>
    <w:rsid w:val="71C81C94"/>
    <w:rsid w:val="71C81E06"/>
    <w:rsid w:val="71C92D3B"/>
    <w:rsid w:val="71D83134"/>
    <w:rsid w:val="71E05323"/>
    <w:rsid w:val="71E462B0"/>
    <w:rsid w:val="71EA3C9F"/>
    <w:rsid w:val="71F05214"/>
    <w:rsid w:val="71F3625A"/>
    <w:rsid w:val="71F83A2D"/>
    <w:rsid w:val="72062885"/>
    <w:rsid w:val="72166955"/>
    <w:rsid w:val="721A4DAB"/>
    <w:rsid w:val="721B6ED7"/>
    <w:rsid w:val="7229488D"/>
    <w:rsid w:val="723214FF"/>
    <w:rsid w:val="723A514B"/>
    <w:rsid w:val="723F013F"/>
    <w:rsid w:val="724822DB"/>
    <w:rsid w:val="72561758"/>
    <w:rsid w:val="7256564C"/>
    <w:rsid w:val="725748E8"/>
    <w:rsid w:val="72672F78"/>
    <w:rsid w:val="7276141E"/>
    <w:rsid w:val="72877A0F"/>
    <w:rsid w:val="7293219B"/>
    <w:rsid w:val="729C26F3"/>
    <w:rsid w:val="72A511CE"/>
    <w:rsid w:val="72A90A7A"/>
    <w:rsid w:val="72A97DE8"/>
    <w:rsid w:val="72B01E30"/>
    <w:rsid w:val="72C44B48"/>
    <w:rsid w:val="72CE41E7"/>
    <w:rsid w:val="72CF2F56"/>
    <w:rsid w:val="72D16BB5"/>
    <w:rsid w:val="72E30A8B"/>
    <w:rsid w:val="72E31B4B"/>
    <w:rsid w:val="72E5270B"/>
    <w:rsid w:val="72F22177"/>
    <w:rsid w:val="73030868"/>
    <w:rsid w:val="73034C99"/>
    <w:rsid w:val="730C7387"/>
    <w:rsid w:val="731238C3"/>
    <w:rsid w:val="732B1183"/>
    <w:rsid w:val="732B1883"/>
    <w:rsid w:val="7330447D"/>
    <w:rsid w:val="73340543"/>
    <w:rsid w:val="73366B13"/>
    <w:rsid w:val="733D0D97"/>
    <w:rsid w:val="733E1EA5"/>
    <w:rsid w:val="73424EE4"/>
    <w:rsid w:val="7350314B"/>
    <w:rsid w:val="735818A4"/>
    <w:rsid w:val="735C46DF"/>
    <w:rsid w:val="73614E1E"/>
    <w:rsid w:val="73631722"/>
    <w:rsid w:val="73637313"/>
    <w:rsid w:val="73662613"/>
    <w:rsid w:val="736A1C4C"/>
    <w:rsid w:val="737B6E50"/>
    <w:rsid w:val="737B7A96"/>
    <w:rsid w:val="73845B36"/>
    <w:rsid w:val="7385741D"/>
    <w:rsid w:val="739003E5"/>
    <w:rsid w:val="739070B0"/>
    <w:rsid w:val="73A316ED"/>
    <w:rsid w:val="73A43992"/>
    <w:rsid w:val="73A64BCE"/>
    <w:rsid w:val="73AF0823"/>
    <w:rsid w:val="73BA1A71"/>
    <w:rsid w:val="73CD25B6"/>
    <w:rsid w:val="73D43CF3"/>
    <w:rsid w:val="73F40326"/>
    <w:rsid w:val="7416741B"/>
    <w:rsid w:val="741B50E9"/>
    <w:rsid w:val="742C71E9"/>
    <w:rsid w:val="742F3180"/>
    <w:rsid w:val="74436A55"/>
    <w:rsid w:val="74560BB5"/>
    <w:rsid w:val="7456423F"/>
    <w:rsid w:val="745745C4"/>
    <w:rsid w:val="745B4E08"/>
    <w:rsid w:val="745C28D1"/>
    <w:rsid w:val="746C6D80"/>
    <w:rsid w:val="74746027"/>
    <w:rsid w:val="748416AE"/>
    <w:rsid w:val="74916E14"/>
    <w:rsid w:val="749848D8"/>
    <w:rsid w:val="749B7875"/>
    <w:rsid w:val="74A83091"/>
    <w:rsid w:val="74B820A3"/>
    <w:rsid w:val="74BF1E2E"/>
    <w:rsid w:val="74C445E4"/>
    <w:rsid w:val="74CD2BDD"/>
    <w:rsid w:val="74E4011C"/>
    <w:rsid w:val="74EA521D"/>
    <w:rsid w:val="74F70523"/>
    <w:rsid w:val="751A0704"/>
    <w:rsid w:val="751D7D6F"/>
    <w:rsid w:val="752B3721"/>
    <w:rsid w:val="75364C2C"/>
    <w:rsid w:val="75615F7F"/>
    <w:rsid w:val="7564627C"/>
    <w:rsid w:val="75660E73"/>
    <w:rsid w:val="75680177"/>
    <w:rsid w:val="75692A30"/>
    <w:rsid w:val="756E12DA"/>
    <w:rsid w:val="756F55DE"/>
    <w:rsid w:val="756F59A2"/>
    <w:rsid w:val="75713E34"/>
    <w:rsid w:val="75746822"/>
    <w:rsid w:val="75812C6B"/>
    <w:rsid w:val="7582354B"/>
    <w:rsid w:val="75844B2A"/>
    <w:rsid w:val="758874AC"/>
    <w:rsid w:val="75923D21"/>
    <w:rsid w:val="75956FAF"/>
    <w:rsid w:val="75A215A9"/>
    <w:rsid w:val="75A408D0"/>
    <w:rsid w:val="75B80AAD"/>
    <w:rsid w:val="75B946A1"/>
    <w:rsid w:val="75BC4791"/>
    <w:rsid w:val="75D24C73"/>
    <w:rsid w:val="75D52AED"/>
    <w:rsid w:val="75D76CA8"/>
    <w:rsid w:val="75D97902"/>
    <w:rsid w:val="760541FC"/>
    <w:rsid w:val="760C1FBA"/>
    <w:rsid w:val="76176B2C"/>
    <w:rsid w:val="762B5B62"/>
    <w:rsid w:val="763C5855"/>
    <w:rsid w:val="76400EEE"/>
    <w:rsid w:val="76424CA3"/>
    <w:rsid w:val="76563C52"/>
    <w:rsid w:val="7663650B"/>
    <w:rsid w:val="766959A2"/>
    <w:rsid w:val="7672067F"/>
    <w:rsid w:val="76972A49"/>
    <w:rsid w:val="769F6075"/>
    <w:rsid w:val="76AF2244"/>
    <w:rsid w:val="76BC51EA"/>
    <w:rsid w:val="76BD1590"/>
    <w:rsid w:val="76D2073E"/>
    <w:rsid w:val="76D22C48"/>
    <w:rsid w:val="76E11E0B"/>
    <w:rsid w:val="76E62AAD"/>
    <w:rsid w:val="76EB5882"/>
    <w:rsid w:val="76F05699"/>
    <w:rsid w:val="76F308B3"/>
    <w:rsid w:val="76F50BE2"/>
    <w:rsid w:val="76FC2437"/>
    <w:rsid w:val="770D034D"/>
    <w:rsid w:val="77153EF9"/>
    <w:rsid w:val="77181FC3"/>
    <w:rsid w:val="771B3BBF"/>
    <w:rsid w:val="771D4DDE"/>
    <w:rsid w:val="771E4EAF"/>
    <w:rsid w:val="772F4F47"/>
    <w:rsid w:val="77313A03"/>
    <w:rsid w:val="77355D36"/>
    <w:rsid w:val="77485DD5"/>
    <w:rsid w:val="774F3193"/>
    <w:rsid w:val="77565DCD"/>
    <w:rsid w:val="77571DAD"/>
    <w:rsid w:val="77672EA8"/>
    <w:rsid w:val="776C1F9A"/>
    <w:rsid w:val="777D491D"/>
    <w:rsid w:val="77863AB0"/>
    <w:rsid w:val="778D3A06"/>
    <w:rsid w:val="779E49D5"/>
    <w:rsid w:val="77A85850"/>
    <w:rsid w:val="77A91899"/>
    <w:rsid w:val="77C012A3"/>
    <w:rsid w:val="77C519C1"/>
    <w:rsid w:val="77C61A6F"/>
    <w:rsid w:val="77CC7263"/>
    <w:rsid w:val="77D33C9B"/>
    <w:rsid w:val="77DF2233"/>
    <w:rsid w:val="78057CCC"/>
    <w:rsid w:val="78071785"/>
    <w:rsid w:val="78212FEA"/>
    <w:rsid w:val="782C7A99"/>
    <w:rsid w:val="783019C5"/>
    <w:rsid w:val="78356BC8"/>
    <w:rsid w:val="783F252F"/>
    <w:rsid w:val="78464E1C"/>
    <w:rsid w:val="785B60FF"/>
    <w:rsid w:val="785F60D8"/>
    <w:rsid w:val="78633C09"/>
    <w:rsid w:val="786D18B7"/>
    <w:rsid w:val="78774EC7"/>
    <w:rsid w:val="787D6A34"/>
    <w:rsid w:val="787E386E"/>
    <w:rsid w:val="78927699"/>
    <w:rsid w:val="78933BF0"/>
    <w:rsid w:val="78A92FC1"/>
    <w:rsid w:val="78A964F4"/>
    <w:rsid w:val="78AE7764"/>
    <w:rsid w:val="78B5338D"/>
    <w:rsid w:val="78D012C2"/>
    <w:rsid w:val="78D2502A"/>
    <w:rsid w:val="78D81899"/>
    <w:rsid w:val="78F55997"/>
    <w:rsid w:val="78F622FA"/>
    <w:rsid w:val="78F66B91"/>
    <w:rsid w:val="78FF4340"/>
    <w:rsid w:val="7903287F"/>
    <w:rsid w:val="79037FC5"/>
    <w:rsid w:val="79047B72"/>
    <w:rsid w:val="790744D5"/>
    <w:rsid w:val="790C514D"/>
    <w:rsid w:val="791529C6"/>
    <w:rsid w:val="791C45F2"/>
    <w:rsid w:val="79214473"/>
    <w:rsid w:val="792B3E1E"/>
    <w:rsid w:val="792C1BBE"/>
    <w:rsid w:val="792F1271"/>
    <w:rsid w:val="79302F3E"/>
    <w:rsid w:val="793142FD"/>
    <w:rsid w:val="793F3A0E"/>
    <w:rsid w:val="794203E0"/>
    <w:rsid w:val="79492D1C"/>
    <w:rsid w:val="79633914"/>
    <w:rsid w:val="79646256"/>
    <w:rsid w:val="7977596F"/>
    <w:rsid w:val="797B0AF6"/>
    <w:rsid w:val="7984202C"/>
    <w:rsid w:val="79890F42"/>
    <w:rsid w:val="799F0F0A"/>
    <w:rsid w:val="79A4194C"/>
    <w:rsid w:val="79A64ACA"/>
    <w:rsid w:val="79A65768"/>
    <w:rsid w:val="79AE24BA"/>
    <w:rsid w:val="79B21796"/>
    <w:rsid w:val="79B3022C"/>
    <w:rsid w:val="79BB449E"/>
    <w:rsid w:val="79C12F4F"/>
    <w:rsid w:val="79DD43E3"/>
    <w:rsid w:val="79E60BF7"/>
    <w:rsid w:val="79E6738B"/>
    <w:rsid w:val="79E739D8"/>
    <w:rsid w:val="79EA79BD"/>
    <w:rsid w:val="79EB0F1E"/>
    <w:rsid w:val="79EF2866"/>
    <w:rsid w:val="79F018A5"/>
    <w:rsid w:val="79F33754"/>
    <w:rsid w:val="79F7568C"/>
    <w:rsid w:val="7A011F55"/>
    <w:rsid w:val="7A016797"/>
    <w:rsid w:val="7A061751"/>
    <w:rsid w:val="7A0B7F10"/>
    <w:rsid w:val="7A0C2AA9"/>
    <w:rsid w:val="7A154A5E"/>
    <w:rsid w:val="7A1B3A89"/>
    <w:rsid w:val="7A1C4867"/>
    <w:rsid w:val="7A1F0B55"/>
    <w:rsid w:val="7A332549"/>
    <w:rsid w:val="7A3F393B"/>
    <w:rsid w:val="7A403D8C"/>
    <w:rsid w:val="7A4724BF"/>
    <w:rsid w:val="7A643EC2"/>
    <w:rsid w:val="7A660CA9"/>
    <w:rsid w:val="7A6C2D1D"/>
    <w:rsid w:val="7A6E7A98"/>
    <w:rsid w:val="7A7719E4"/>
    <w:rsid w:val="7A7D7934"/>
    <w:rsid w:val="7A806006"/>
    <w:rsid w:val="7A8A143D"/>
    <w:rsid w:val="7A8C1903"/>
    <w:rsid w:val="7A8D3F57"/>
    <w:rsid w:val="7A976DA7"/>
    <w:rsid w:val="7AA3091E"/>
    <w:rsid w:val="7AAD1090"/>
    <w:rsid w:val="7AAD4059"/>
    <w:rsid w:val="7AB014ED"/>
    <w:rsid w:val="7AB03A59"/>
    <w:rsid w:val="7AB948BC"/>
    <w:rsid w:val="7AC15CF3"/>
    <w:rsid w:val="7AC57899"/>
    <w:rsid w:val="7ACD2ACD"/>
    <w:rsid w:val="7AD15CF8"/>
    <w:rsid w:val="7AD35B05"/>
    <w:rsid w:val="7AD83D03"/>
    <w:rsid w:val="7ADF68BF"/>
    <w:rsid w:val="7ADF6D9B"/>
    <w:rsid w:val="7AE9256A"/>
    <w:rsid w:val="7AFC7585"/>
    <w:rsid w:val="7B072F38"/>
    <w:rsid w:val="7B0F6425"/>
    <w:rsid w:val="7B140B58"/>
    <w:rsid w:val="7B1905FC"/>
    <w:rsid w:val="7B1D3AB4"/>
    <w:rsid w:val="7B286B07"/>
    <w:rsid w:val="7B321B3D"/>
    <w:rsid w:val="7B362C0C"/>
    <w:rsid w:val="7B4C7931"/>
    <w:rsid w:val="7B576611"/>
    <w:rsid w:val="7B5E0C6F"/>
    <w:rsid w:val="7B6F517D"/>
    <w:rsid w:val="7B702C5D"/>
    <w:rsid w:val="7B7123BA"/>
    <w:rsid w:val="7B731B18"/>
    <w:rsid w:val="7B781B9D"/>
    <w:rsid w:val="7B7D356A"/>
    <w:rsid w:val="7B7E427B"/>
    <w:rsid w:val="7B827012"/>
    <w:rsid w:val="7B863D0D"/>
    <w:rsid w:val="7B8812D8"/>
    <w:rsid w:val="7B95146C"/>
    <w:rsid w:val="7BA57FC3"/>
    <w:rsid w:val="7BB86E30"/>
    <w:rsid w:val="7BB9662E"/>
    <w:rsid w:val="7BCF2570"/>
    <w:rsid w:val="7BDA48A5"/>
    <w:rsid w:val="7BDC2673"/>
    <w:rsid w:val="7BDE1818"/>
    <w:rsid w:val="7BE0534D"/>
    <w:rsid w:val="7BF70FB9"/>
    <w:rsid w:val="7BFE3564"/>
    <w:rsid w:val="7C072004"/>
    <w:rsid w:val="7C0B49B5"/>
    <w:rsid w:val="7C0D5D03"/>
    <w:rsid w:val="7C1952E4"/>
    <w:rsid w:val="7C1F7693"/>
    <w:rsid w:val="7C2933DD"/>
    <w:rsid w:val="7C464BAF"/>
    <w:rsid w:val="7C5D32A0"/>
    <w:rsid w:val="7C6203F6"/>
    <w:rsid w:val="7C791D53"/>
    <w:rsid w:val="7C7D4E7D"/>
    <w:rsid w:val="7C7E282A"/>
    <w:rsid w:val="7C7F6805"/>
    <w:rsid w:val="7C8052B9"/>
    <w:rsid w:val="7C8E38E1"/>
    <w:rsid w:val="7C8F13CD"/>
    <w:rsid w:val="7C9075F1"/>
    <w:rsid w:val="7C936AA8"/>
    <w:rsid w:val="7C981B61"/>
    <w:rsid w:val="7C991DC2"/>
    <w:rsid w:val="7CA5126E"/>
    <w:rsid w:val="7CA81E6D"/>
    <w:rsid w:val="7CA90CEF"/>
    <w:rsid w:val="7CB57628"/>
    <w:rsid w:val="7CBB42E4"/>
    <w:rsid w:val="7CBF3832"/>
    <w:rsid w:val="7CC34572"/>
    <w:rsid w:val="7CC6113C"/>
    <w:rsid w:val="7CC756E1"/>
    <w:rsid w:val="7CCA3DD2"/>
    <w:rsid w:val="7CD35F22"/>
    <w:rsid w:val="7CD911F9"/>
    <w:rsid w:val="7CD94D4A"/>
    <w:rsid w:val="7CF4748D"/>
    <w:rsid w:val="7D003579"/>
    <w:rsid w:val="7D050AD7"/>
    <w:rsid w:val="7D113372"/>
    <w:rsid w:val="7D125649"/>
    <w:rsid w:val="7D184FA5"/>
    <w:rsid w:val="7D3768FA"/>
    <w:rsid w:val="7D415ADF"/>
    <w:rsid w:val="7D52029B"/>
    <w:rsid w:val="7D5451F3"/>
    <w:rsid w:val="7D714C37"/>
    <w:rsid w:val="7D7C73EF"/>
    <w:rsid w:val="7D7F6DA8"/>
    <w:rsid w:val="7D815761"/>
    <w:rsid w:val="7D821172"/>
    <w:rsid w:val="7D826EA0"/>
    <w:rsid w:val="7D83229D"/>
    <w:rsid w:val="7D8A26DB"/>
    <w:rsid w:val="7D8B569D"/>
    <w:rsid w:val="7D8B71F1"/>
    <w:rsid w:val="7DA1730D"/>
    <w:rsid w:val="7DAA5BBC"/>
    <w:rsid w:val="7DB11D7C"/>
    <w:rsid w:val="7DB46320"/>
    <w:rsid w:val="7DC072AF"/>
    <w:rsid w:val="7DC90F96"/>
    <w:rsid w:val="7DCC6907"/>
    <w:rsid w:val="7DD73AD5"/>
    <w:rsid w:val="7DE03FE3"/>
    <w:rsid w:val="7DE2572A"/>
    <w:rsid w:val="7DE3199F"/>
    <w:rsid w:val="7DE56BA6"/>
    <w:rsid w:val="7DE6527E"/>
    <w:rsid w:val="7DE97A71"/>
    <w:rsid w:val="7DF30FD3"/>
    <w:rsid w:val="7DFB5B8F"/>
    <w:rsid w:val="7DFC6F65"/>
    <w:rsid w:val="7DFF3100"/>
    <w:rsid w:val="7E10459F"/>
    <w:rsid w:val="7E1A656D"/>
    <w:rsid w:val="7E1D696F"/>
    <w:rsid w:val="7E25649C"/>
    <w:rsid w:val="7E27750C"/>
    <w:rsid w:val="7E2926FA"/>
    <w:rsid w:val="7E32058E"/>
    <w:rsid w:val="7E3C269C"/>
    <w:rsid w:val="7E423E74"/>
    <w:rsid w:val="7E4E18E3"/>
    <w:rsid w:val="7E513212"/>
    <w:rsid w:val="7E5226D4"/>
    <w:rsid w:val="7E5A4C01"/>
    <w:rsid w:val="7E683803"/>
    <w:rsid w:val="7E79793B"/>
    <w:rsid w:val="7E7A0552"/>
    <w:rsid w:val="7E7E145B"/>
    <w:rsid w:val="7E8916AA"/>
    <w:rsid w:val="7E9A38AA"/>
    <w:rsid w:val="7EA14494"/>
    <w:rsid w:val="7EA31719"/>
    <w:rsid w:val="7EA85679"/>
    <w:rsid w:val="7EAD0AB6"/>
    <w:rsid w:val="7EAD5911"/>
    <w:rsid w:val="7EAF463E"/>
    <w:rsid w:val="7EB47D78"/>
    <w:rsid w:val="7EC55AEA"/>
    <w:rsid w:val="7EC6509C"/>
    <w:rsid w:val="7ECB48A6"/>
    <w:rsid w:val="7ED315F5"/>
    <w:rsid w:val="7ED81915"/>
    <w:rsid w:val="7EDC62E5"/>
    <w:rsid w:val="7EE23A83"/>
    <w:rsid w:val="7EF36019"/>
    <w:rsid w:val="7EF443D4"/>
    <w:rsid w:val="7EF73C32"/>
    <w:rsid w:val="7EF9394C"/>
    <w:rsid w:val="7F125B3D"/>
    <w:rsid w:val="7F156341"/>
    <w:rsid w:val="7F17138E"/>
    <w:rsid w:val="7F1B16A8"/>
    <w:rsid w:val="7F3A6F2C"/>
    <w:rsid w:val="7F4E4D29"/>
    <w:rsid w:val="7F554248"/>
    <w:rsid w:val="7F5A27B8"/>
    <w:rsid w:val="7F5F5E5C"/>
    <w:rsid w:val="7F653F4F"/>
    <w:rsid w:val="7F6A2FC6"/>
    <w:rsid w:val="7F6C2D67"/>
    <w:rsid w:val="7F6D0591"/>
    <w:rsid w:val="7F6E3507"/>
    <w:rsid w:val="7F7A18F8"/>
    <w:rsid w:val="7F804F5C"/>
    <w:rsid w:val="7F821641"/>
    <w:rsid w:val="7F8864E0"/>
    <w:rsid w:val="7F95417D"/>
    <w:rsid w:val="7F975160"/>
    <w:rsid w:val="7F997ADD"/>
    <w:rsid w:val="7F9E3EB0"/>
    <w:rsid w:val="7FB55070"/>
    <w:rsid w:val="7FD54CD8"/>
    <w:rsid w:val="7FD86515"/>
    <w:rsid w:val="7FD962F5"/>
    <w:rsid w:val="7FDA4E03"/>
    <w:rsid w:val="7FDC78DB"/>
    <w:rsid w:val="7FF76A34"/>
    <w:rsid w:val="7FFE5F12"/>
    <w:rsid w:val="FFB466B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line="360" w:lineRule="auto"/>
      <w:jc w:val="center"/>
      <w:outlineLvl w:val="0"/>
    </w:pPr>
    <w:rPr>
      <w:rFonts w:ascii="Calibri" w:hAnsi="Calibri" w:eastAsia="黑体" w:cs="Times New Roman"/>
      <w:b/>
      <w:kern w:val="44"/>
      <w:sz w:val="32"/>
    </w:rPr>
  </w:style>
  <w:style w:type="paragraph" w:styleId="4">
    <w:name w:val="heading 2"/>
    <w:basedOn w:val="1"/>
    <w:next w:val="1"/>
    <w:semiHidden/>
    <w:unhideWhenUsed/>
    <w:qFormat/>
    <w:uiPriority w:val="0"/>
    <w:pPr>
      <w:keepNext/>
      <w:keepLines/>
      <w:spacing w:line="360" w:lineRule="auto"/>
      <w:ind w:firstLine="883" w:firstLineChars="200"/>
      <w:outlineLvl w:val="1"/>
    </w:pPr>
    <w:rPr>
      <w:rFonts w:ascii="Arial" w:hAnsi="Arial" w:eastAsia="黑体" w:cs="Times New Roman"/>
      <w:sz w:val="32"/>
    </w:rPr>
  </w:style>
  <w:style w:type="paragraph" w:styleId="5">
    <w:name w:val="heading 3"/>
    <w:basedOn w:val="1"/>
    <w:next w:val="1"/>
    <w:semiHidden/>
    <w:unhideWhenUsed/>
    <w:qFormat/>
    <w:uiPriority w:val="0"/>
    <w:pPr>
      <w:keepNext/>
      <w:keepLines/>
      <w:spacing w:line="360" w:lineRule="auto"/>
      <w:ind w:firstLine="883" w:firstLineChars="200"/>
      <w:outlineLvl w:val="2"/>
    </w:pPr>
    <w:rPr>
      <w:rFonts w:ascii="Calibri" w:hAnsi="Calibri" w:eastAsia="楷体" w:cs="Times New Roman"/>
      <w:b/>
      <w:sz w:val="32"/>
    </w:rPr>
  </w:style>
  <w:style w:type="paragraph" w:styleId="6">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kern w:val="0"/>
      <w:sz w:val="24"/>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rFonts w:ascii="Times New Roman" w:hAnsi="Times New Roman" w:cs="Times New Roman"/>
    </w:rPr>
  </w:style>
  <w:style w:type="paragraph" w:styleId="7">
    <w:name w:val="Body Text Indent"/>
    <w:basedOn w:val="1"/>
    <w:qFormat/>
    <w:uiPriority w:val="0"/>
    <w:pPr>
      <w:spacing w:after="120"/>
      <w:ind w:left="420" w:leftChars="200"/>
    </w:pPr>
  </w:style>
  <w:style w:type="paragraph" w:styleId="8">
    <w:name w:val="toc 3"/>
    <w:basedOn w:val="1"/>
    <w:next w:val="1"/>
    <w:qFormat/>
    <w:uiPriority w:val="0"/>
    <w:pPr>
      <w:ind w:left="840" w:leftChars="40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Normal (Web)"/>
    <w:basedOn w:val="1"/>
    <w:qFormat/>
    <w:uiPriority w:val="0"/>
    <w:pPr>
      <w:spacing w:beforeAutospacing="1" w:afterAutospacing="1"/>
      <w:jc w:val="left"/>
    </w:pPr>
    <w:rPr>
      <w:rFonts w:cs="Times New Roman"/>
      <w:kern w:val="0"/>
      <w:sz w:val="24"/>
    </w:rPr>
  </w:style>
  <w:style w:type="paragraph" w:styleId="12">
    <w:name w:val="Body Text First Indent 2"/>
    <w:basedOn w:val="7"/>
    <w:qFormat/>
    <w:uiPriority w:val="0"/>
    <w:pPr>
      <w:ind w:firstLine="420" w:firstLineChars="200"/>
    </w:pPr>
  </w:style>
  <w:style w:type="paragraph" w:customStyle="1" w:styleId="15">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16">
    <w:name w:val="二级无"/>
    <w:basedOn w:val="1"/>
    <w:qFormat/>
    <w:uiPriority w:val="0"/>
    <w:pPr>
      <w:numPr>
        <w:ilvl w:val="2"/>
        <w:numId w:val="1"/>
      </w:numPr>
      <w:jc w:val="left"/>
      <w:outlineLvl w:val="3"/>
    </w:pPr>
    <w:rPr>
      <w:rFonts w:ascii="宋体"/>
      <w:szCs w:val="21"/>
    </w:rPr>
  </w:style>
  <w:style w:type="character" w:customStyle="1" w:styleId="17">
    <w:name w:val="fontstyle01"/>
    <w:basedOn w:val="14"/>
    <w:qFormat/>
    <w:uiPriority w:val="0"/>
    <w:rPr>
      <w:rFonts w:ascii="仿宋_GB2312" w:hAnsi="仿宋_GB2312" w:eastAsia="仿宋_GB2312" w:cs="仿宋_GB2312"/>
      <w:color w:val="000000"/>
      <w:sz w:val="32"/>
      <w:szCs w:val="32"/>
    </w:rPr>
  </w:style>
  <w:style w:type="character" w:customStyle="1" w:styleId="18">
    <w:name w:val="fontstyle11"/>
    <w:basedOn w:val="14"/>
    <w:qFormat/>
    <w:uiPriority w:val="0"/>
    <w:rPr>
      <w:rFonts w:ascii="ArialMT" w:hAnsi="ArialMT" w:eastAsia="ArialMT" w:cs="ArialMT"/>
      <w:color w:val="000000"/>
      <w:sz w:val="32"/>
      <w:szCs w:val="32"/>
    </w:rPr>
  </w:style>
  <w:style w:type="character" w:customStyle="1" w:styleId="19">
    <w:name w:val="fontstyle21"/>
    <w:basedOn w:val="14"/>
    <w:qFormat/>
    <w:uiPriority w:val="0"/>
    <w:rPr>
      <w:rFonts w:ascii="仿宋_GB2312" w:hAnsi="仿宋_GB2312" w:eastAsia="仿宋_GB2312" w:cs="仿宋_GB2312"/>
      <w:color w:val="000000"/>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MHNX</Company>
  <Pages>14</Pages>
  <Words>1206</Words>
  <Characters>6879</Characters>
  <Lines>57</Lines>
  <Paragraphs>16</Paragraphs>
  <TotalTime>18</TotalTime>
  <ScaleCrop>false</ScaleCrop>
  <LinksUpToDate>false</LinksUpToDate>
  <CharactersWithSpaces>8069</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2025-06-09T20:56:00Z</dcterms:created>
  <dc:creator>黄婷:排版</dc:creator>
  <cp:lastModifiedBy>Administrator</cp:lastModifiedBy>
  <cp:lastPrinted>2024-08-13T19:56:00Z</cp:lastPrinted>
  <dcterms:modified xsi:type="dcterms:W3CDTF">2026-10-22T02:10:39Z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C0F1A6E9836C40699FDFCD248CCF3ECF_13</vt:lpwstr>
  </property>
  <property fmtid="{D5CDD505-2E9C-101B-9397-08002B2CF9AE}" pid="4" name="KSOTemplateDocerSaveRecord">
    <vt:lpwstr>eyJoZGlkIjoiMmVmZWJhYjkzNTNhYmI3NzQ4YWNlYjU4OTU2NTUwOTciLCJ1c2VySWQiOiIxMDQ1Nzg2NDE1In0=</vt:lpwstr>
  </property>
</Properties>
</file>