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788E2" w14:textId="77777777" w:rsidR="00174C63" w:rsidRDefault="00670A7A">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连江农商银行202</w:t>
      </w:r>
      <w:r>
        <w:rPr>
          <w:rFonts w:ascii="方正小标宋_GBK" w:eastAsia="方正小标宋_GBK" w:hAnsi="方正小标宋_GBK" w:cs="方正小标宋_GBK"/>
          <w:sz w:val="44"/>
          <w:szCs w:val="44"/>
        </w:rPr>
        <w:t>5</w:t>
      </w:r>
      <w:r>
        <w:rPr>
          <w:rFonts w:ascii="方正小标宋_GBK" w:eastAsia="方正小标宋_GBK" w:hAnsi="方正小标宋_GBK" w:cs="方正小标宋_GBK" w:hint="eastAsia"/>
          <w:sz w:val="44"/>
          <w:szCs w:val="44"/>
        </w:rPr>
        <w:t>年度环境信息披露报告</w:t>
      </w:r>
    </w:p>
    <w:p w14:paraId="0DF07EF9" w14:textId="77777777" w:rsidR="00174C63" w:rsidRDefault="00174C63"/>
    <w:p w14:paraId="7D0E7ED8" w14:textId="77777777" w:rsidR="00174C63" w:rsidRDefault="00670A7A">
      <w:pPr>
        <w:ind w:firstLineChars="200" w:firstLine="640"/>
        <w:rPr>
          <w:rFonts w:ascii="黑体" w:eastAsia="黑体" w:hAnsi="黑体" w:cs="黑体"/>
          <w:sz w:val="32"/>
          <w:szCs w:val="32"/>
        </w:rPr>
      </w:pPr>
      <w:r>
        <w:rPr>
          <w:rFonts w:ascii="黑体" w:eastAsia="黑体" w:hAnsi="黑体" w:cs="黑体" w:hint="eastAsia"/>
          <w:sz w:val="32"/>
          <w:szCs w:val="32"/>
        </w:rPr>
        <w:t>一、关于本报告</w:t>
      </w:r>
    </w:p>
    <w:p w14:paraId="67D16059"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（一）涵盖期间</w:t>
      </w:r>
    </w:p>
    <w:p w14:paraId="7630C37F"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本报告涵盖期限为 202</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 1 月 1 日至 202</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 xml:space="preserve">年 12 月 31 日。 </w:t>
      </w:r>
    </w:p>
    <w:p w14:paraId="48425529"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（二）报告周期</w:t>
      </w:r>
      <w:bookmarkStart w:id="0" w:name="_GoBack"/>
      <w:bookmarkEnd w:id="0"/>
    </w:p>
    <w:p w14:paraId="3FC890EB"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本报告为年度环境信息披露报告。 </w:t>
      </w:r>
    </w:p>
    <w:p w14:paraId="6128695E"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（三）报告范围</w:t>
      </w:r>
    </w:p>
    <w:p w14:paraId="6D423C77"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除特别说明外，本报告披露范围含福建连江农村商业银行股份有限公司（以下简称“连江农商银行”）及分支机构。</w:t>
      </w:r>
    </w:p>
    <w:p w14:paraId="75973C9C"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（四）报告数据说明</w:t>
      </w:r>
    </w:p>
    <w:p w14:paraId="172B8C7D"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报告中财务数据以 202</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 xml:space="preserve"> 年度为主，部分包括以前年度数据。数据主要来自于本行内部文件和相关统计资料，可能 会有部分数据因统计口径因素与年报数据有差异，以年度数据为准。本报告中“绿色信贷”如无特别说明，均指“满足人民银行印发的《绿色贷款专项统计制度》的绿色信贷”。</w:t>
      </w:r>
    </w:p>
    <w:p w14:paraId="37FBD348"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（五）编制依据</w:t>
      </w:r>
    </w:p>
    <w:p w14:paraId="59B023D3"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本报告内容根据《中国人民银行福建省分行关于推进福建省金融机构环境信息披露工作的通知》及信息披露工作安排等相关要求。</w:t>
      </w:r>
    </w:p>
    <w:p w14:paraId="26356A1A" w14:textId="77777777" w:rsidR="00174C63" w:rsidRDefault="00670A7A">
      <w:pPr>
        <w:ind w:firstLineChars="200" w:firstLine="640"/>
        <w:rPr>
          <w:rFonts w:ascii="黑体" w:eastAsia="黑体" w:hAnsi="黑体" w:cs="黑体"/>
          <w:sz w:val="32"/>
          <w:szCs w:val="32"/>
        </w:rPr>
      </w:pPr>
      <w:r>
        <w:rPr>
          <w:rFonts w:ascii="黑体" w:eastAsia="黑体" w:hAnsi="黑体" w:cs="黑体" w:hint="eastAsia"/>
          <w:sz w:val="32"/>
          <w:szCs w:val="32"/>
        </w:rPr>
        <w:t>二、总体概况</w:t>
      </w:r>
    </w:p>
    <w:p w14:paraId="0F6EA760"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（一）年度总体概况、关键成果与绩效</w:t>
      </w:r>
    </w:p>
    <w:p w14:paraId="3EF4A4BA"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截至2025年末，绿色信贷（人民银行口径）合计4.7547   亿元，较年初增加1.6047亿元，增幅 50.95%，占各项贷款3.58 %，较年初增加1.15个百分点，绿色金融业务实现稳健快速增长。</w:t>
      </w:r>
    </w:p>
    <w:p w14:paraId="0AB2437F"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（二）下一年度规划与目标</w:t>
      </w:r>
    </w:p>
    <w:p w14:paraId="77441E33"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2026年，连江农商银行将持续深入践行习近平生态文明思想，主动融入新发展格局，以服务连江海洋经济高质量发展为核心，深化 “党建 + 金融助理 + 多社融合” 服务模式，持续加大海洋产业信贷支持力度，丰富绿色金融产品与服务体系。对标人民银行绿色金融综合评价与地方金融监管要求，</w:t>
      </w:r>
      <w:r>
        <w:rPr>
          <w:rFonts w:ascii="仿宋_GB2312" w:eastAsia="仿宋_GB2312" w:hAnsi="仿宋_GB2312" w:cs="仿宋_GB2312" w:hint="eastAsia"/>
          <w:b/>
          <w:bCs/>
          <w:sz w:val="32"/>
          <w:szCs w:val="32"/>
        </w:rPr>
        <w:t>设定 2026 年绿色金融贷款增速不低于 8% 的目标，</w:t>
      </w:r>
      <w:r>
        <w:rPr>
          <w:rFonts w:ascii="仿宋_GB2312" w:eastAsia="仿宋_GB2312" w:hAnsi="仿宋_GB2312" w:cs="仿宋_GB2312" w:hint="eastAsia"/>
          <w:sz w:val="32"/>
          <w:szCs w:val="32"/>
        </w:rPr>
        <w:t>全力推动区域绿色转型与高质量发展，助力碳达峰、碳中和目标实现。</w:t>
      </w:r>
    </w:p>
    <w:p w14:paraId="3E7F9663" w14:textId="77777777" w:rsidR="00174C63" w:rsidRDefault="00670A7A">
      <w:pPr>
        <w:ind w:firstLineChars="200" w:firstLine="640"/>
        <w:rPr>
          <w:rFonts w:ascii="黑体" w:eastAsia="黑体" w:hAnsi="黑体" w:cs="黑体"/>
          <w:sz w:val="32"/>
          <w:szCs w:val="32"/>
        </w:rPr>
      </w:pPr>
      <w:r>
        <w:rPr>
          <w:rFonts w:ascii="黑体" w:eastAsia="黑体" w:hAnsi="黑体" w:cs="黑体" w:hint="eastAsia"/>
          <w:sz w:val="32"/>
          <w:szCs w:val="32"/>
        </w:rPr>
        <w:t>三、治理结构</w:t>
      </w:r>
    </w:p>
    <w:p w14:paraId="2FC10E8A"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连江农商银行构建</w:t>
      </w:r>
      <w:r>
        <w:rPr>
          <w:rFonts w:ascii="仿宋_GB2312" w:eastAsia="仿宋_GB2312" w:hAnsi="仿宋_GB2312" w:cs="仿宋_GB2312" w:hint="eastAsia"/>
          <w:b/>
          <w:bCs/>
          <w:sz w:val="32"/>
          <w:szCs w:val="32"/>
        </w:rPr>
        <w:t>董事会决策、管理层执行、总行部门牵头、分支机构</w:t>
      </w:r>
      <w:r>
        <w:rPr>
          <w:rFonts w:ascii="仿宋_GB2312" w:eastAsia="仿宋_GB2312" w:hAnsi="仿宋_GB2312" w:cs="仿宋_GB2312" w:hint="eastAsia"/>
          <w:sz w:val="32"/>
          <w:szCs w:val="32"/>
        </w:rPr>
        <w:t>落地的四级绿色金融治理体系，权责清晰、协同高效。</w:t>
      </w:r>
    </w:p>
    <w:p w14:paraId="4ADAD979"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（一）董事会层面</w:t>
      </w:r>
    </w:p>
    <w:p w14:paraId="687E4197"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董事会作为绿色金融管理最高决策机构，负责审定绿色金融与碳达峰碳中和战略规划、审批绿色金融发展目标、审议绿色金融业务报告，并对全行可持续发展工作提出优化建</w:t>
      </w:r>
      <w:r>
        <w:rPr>
          <w:rFonts w:ascii="仿宋_GB2312" w:eastAsia="仿宋_GB2312" w:hAnsi="仿宋_GB2312" w:cs="仿宋_GB2312" w:hint="eastAsia"/>
          <w:sz w:val="32"/>
          <w:szCs w:val="32"/>
        </w:rPr>
        <w:lastRenderedPageBreak/>
        <w:t>议。董事会战略委员会负责拟定相关战略规划并监督执行。2025年董事会三农委员会审议通过《金融助力海洋产业链高质量发展三年行动方案（2025-2027 年）》，明确海洋金融发展目标与实施路径。</w:t>
      </w:r>
    </w:p>
    <w:p w14:paraId="0B4A2C0B" w14:textId="77777777" w:rsidR="00174C63" w:rsidRDefault="00670A7A">
      <w:pPr>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（二）管理层层面</w:t>
      </w:r>
    </w:p>
    <w:p w14:paraId="59452E14"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高级管理层统筹推进绿色产业金融研究、政策制定、产品创新、系统建设与市场推广等工作，保障绿色金融战略落地实施。</w:t>
      </w:r>
    </w:p>
    <w:p w14:paraId="25B36C11"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（三）总行部门层面</w:t>
      </w:r>
    </w:p>
    <w:p w14:paraId="494380B2"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总行普惠金融部为绿色金融牵头部门，负责组织协调、督导推进、宣传通报等工作，建立跨部门联络机制；各业务条线结合职能制定专项工作计划，协同推进绿色金融业务。</w:t>
      </w:r>
    </w:p>
    <w:p w14:paraId="7042E85B"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（四）分支机构层面</w:t>
      </w:r>
    </w:p>
    <w:p w14:paraId="3041C2BE"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各支行负责绿色金融业务具体落地与活动组织，聚焦区域绿色重点领域加大营销力度，同步推进绿色运营、绿色采购与绿色文化践行。</w:t>
      </w:r>
    </w:p>
    <w:p w14:paraId="74D73109" w14:textId="77777777" w:rsidR="00174C63" w:rsidRDefault="00670A7A">
      <w:pPr>
        <w:ind w:firstLineChars="200" w:firstLine="640"/>
        <w:rPr>
          <w:rFonts w:ascii="黑体" w:eastAsia="黑体" w:hAnsi="黑体" w:cs="黑体"/>
          <w:sz w:val="32"/>
          <w:szCs w:val="32"/>
        </w:rPr>
      </w:pPr>
      <w:r>
        <w:rPr>
          <w:rFonts w:ascii="黑体" w:eastAsia="黑体" w:hAnsi="黑体" w:cs="黑体" w:hint="eastAsia"/>
          <w:sz w:val="32"/>
          <w:szCs w:val="32"/>
        </w:rPr>
        <w:t>四、政策制度</w:t>
      </w:r>
    </w:p>
    <w:p w14:paraId="5D496BAB"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（一）外部政策制度</w:t>
      </w:r>
    </w:p>
    <w:p w14:paraId="7C15197C"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建立健全绿色金融组织体系建设，完善全流程管理，健全激励约束机制，加强风险前瞻管控，主动激发绿色产品服务创新潜力，全力满足重点领域绿色金融需求，大力发展绿色信贷，促进经济绿色转型发展。</w:t>
      </w:r>
    </w:p>
    <w:p w14:paraId="206FA3C6"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遵照《关于加快推进生态文明建设的意见》《生态文明体制改革总体方案》，七部委《关于构建绿色金融体系的指导意见》（银发〔2016）228 号）等法律法规及其他规范性文件，开展绿色办公运营，坚持节能环保理念，制定节能减排制度措施，践行环境保护责任。</w:t>
      </w:r>
    </w:p>
    <w:p w14:paraId="68161FCD"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（二）内部政策制度</w:t>
      </w:r>
    </w:p>
    <w:p w14:paraId="0B60A3E3"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聚焦围绕“海上福州”桥头堡建设，连江农商银行制定《福建连江农村商业银行股份有限公司关于金融助力海洋产业链高质量发展的三年行动方案（2025-2027年）》，明确202</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年三年海洋经济贷款突破</w:t>
      </w:r>
      <w:r>
        <w:rPr>
          <w:rFonts w:ascii="仿宋_GB2312" w:eastAsia="仿宋_GB2312" w:hAnsi="仿宋_GB2312" w:cs="仿宋_GB2312"/>
          <w:sz w:val="32"/>
          <w:szCs w:val="32"/>
        </w:rPr>
        <w:t>55</w:t>
      </w:r>
      <w:r>
        <w:rPr>
          <w:rFonts w:ascii="仿宋_GB2312" w:eastAsia="仿宋_GB2312" w:hAnsi="仿宋_GB2312" w:cs="仿宋_GB2312" w:hint="eastAsia"/>
          <w:sz w:val="32"/>
          <w:szCs w:val="32"/>
        </w:rPr>
        <w:t>亿的目标，重点支持海洋低碳养殖、水产加工、新型渔业业态等领域。同时，聚焦产业链痛点与客群需求，创新推出系列绿色金融产品：</w:t>
      </w:r>
    </w:p>
    <w:p w14:paraId="29687744" w14:textId="31198BC1" w:rsidR="00174C63" w:rsidRDefault="00670A7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1.小微企业。</w:t>
      </w:r>
      <w:r>
        <w:rPr>
          <w:rFonts w:ascii="仿宋_GB2312" w:eastAsia="仿宋_GB2312" w:hAnsi="仿宋_GB2312" w:cs="仿宋_GB2312" w:hint="eastAsia"/>
          <w:sz w:val="32"/>
          <w:szCs w:val="32"/>
        </w:rPr>
        <w:t>出台仓单质押贷款、“福船宝”“鑫船宝” 等产品，支持企业设备升级、产能提升、减污降碳；</w:t>
      </w:r>
    </w:p>
    <w:p w14:paraId="5B2A3EE7" w14:textId="3C58A3A9" w:rsidR="00174C63" w:rsidRDefault="00670A7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2.零售</w:t>
      </w:r>
      <w:r w:rsidR="00762FDB">
        <w:rPr>
          <w:rFonts w:ascii="仿宋_GB2312" w:eastAsia="仿宋_GB2312" w:hAnsi="仿宋_GB2312" w:cs="仿宋_GB2312" w:hint="eastAsia"/>
          <w:b/>
          <w:bCs/>
          <w:sz w:val="32"/>
          <w:szCs w:val="32"/>
        </w:rPr>
        <w:t>客户</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推出 “公司 + 农户” 订单农业贷款、“蓝碳贷” 等产品，支持海水低碳作物养殖，减少水体污染、固碳增汇，盘活产业链资源、降低能耗浪费。</w:t>
      </w:r>
    </w:p>
    <w:p w14:paraId="116A828E" w14:textId="77777777" w:rsidR="00174C63" w:rsidRDefault="00670A7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表1：金融机构环境政策制度情况表</w:t>
      </w:r>
    </w:p>
    <w:tbl>
      <w:tblPr>
        <w:tblStyle w:val="a5"/>
        <w:tblpPr w:leftFromText="180" w:rightFromText="180" w:vertAnchor="text" w:horzAnchor="margin" w:tblpXSpec="center" w:tblpY="371"/>
        <w:tblW w:w="9756" w:type="dxa"/>
        <w:tblLook w:val="04A0" w:firstRow="1" w:lastRow="0" w:firstColumn="1" w:lastColumn="0" w:noHBand="0" w:noVBand="1"/>
      </w:tblPr>
      <w:tblGrid>
        <w:gridCol w:w="2296"/>
        <w:gridCol w:w="1865"/>
        <w:gridCol w:w="1227"/>
        <w:gridCol w:w="3260"/>
        <w:gridCol w:w="1108"/>
      </w:tblGrid>
      <w:tr w:rsidR="00174C63" w14:paraId="10162803" w14:textId="77777777">
        <w:trPr>
          <w:trHeight w:val="620"/>
        </w:trPr>
        <w:tc>
          <w:tcPr>
            <w:tcW w:w="2296" w:type="dxa"/>
          </w:tcPr>
          <w:p w14:paraId="1067C6F9"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文件名称</w:t>
            </w:r>
          </w:p>
        </w:tc>
        <w:tc>
          <w:tcPr>
            <w:tcW w:w="1865" w:type="dxa"/>
          </w:tcPr>
          <w:p w14:paraId="6A11BB2E"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发文字号</w:t>
            </w:r>
          </w:p>
        </w:tc>
        <w:tc>
          <w:tcPr>
            <w:tcW w:w="1227" w:type="dxa"/>
          </w:tcPr>
          <w:p w14:paraId="4D51CC42"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文件类型</w:t>
            </w:r>
          </w:p>
        </w:tc>
        <w:tc>
          <w:tcPr>
            <w:tcW w:w="3260" w:type="dxa"/>
          </w:tcPr>
          <w:p w14:paraId="3EB6DB3C"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文件主要内容</w:t>
            </w:r>
          </w:p>
        </w:tc>
        <w:tc>
          <w:tcPr>
            <w:tcW w:w="1108" w:type="dxa"/>
          </w:tcPr>
          <w:p w14:paraId="0FAE0E4B"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174C63" w14:paraId="5C68931F" w14:textId="77777777">
        <w:trPr>
          <w:trHeight w:val="2928"/>
        </w:trPr>
        <w:tc>
          <w:tcPr>
            <w:tcW w:w="2296" w:type="dxa"/>
          </w:tcPr>
          <w:p w14:paraId="4CA8F9D3"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lastRenderedPageBreak/>
              <w:t>《中共中央国务院关于加快推进生态文明建设的意见》《生态文明体制改革总体方案》《中国人民银行 财政部 发展改革委 环境保护部 证监会 保监会 关于构建绿色金融体系的指导意见》</w:t>
            </w:r>
          </w:p>
        </w:tc>
        <w:tc>
          <w:tcPr>
            <w:tcW w:w="1865" w:type="dxa"/>
          </w:tcPr>
          <w:p w14:paraId="735E0285" w14:textId="77777777" w:rsidR="00174C63" w:rsidRDefault="00174C63">
            <w:pPr>
              <w:rPr>
                <w:rFonts w:ascii="仿宋_GB2312" w:eastAsia="仿宋_GB2312" w:hAnsi="仿宋_GB2312" w:cs="仿宋_GB2312"/>
                <w:szCs w:val="21"/>
              </w:rPr>
            </w:pPr>
          </w:p>
        </w:tc>
        <w:tc>
          <w:tcPr>
            <w:tcW w:w="1227" w:type="dxa"/>
          </w:tcPr>
          <w:p w14:paraId="5A620950"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外部政策</w:t>
            </w:r>
          </w:p>
        </w:tc>
        <w:tc>
          <w:tcPr>
            <w:tcW w:w="3260" w:type="dxa"/>
          </w:tcPr>
          <w:p w14:paraId="065600BC"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有关生态文明建设的各项要求</w:t>
            </w:r>
          </w:p>
        </w:tc>
        <w:tc>
          <w:tcPr>
            <w:tcW w:w="1108" w:type="dxa"/>
          </w:tcPr>
          <w:p w14:paraId="49A7831C" w14:textId="77777777" w:rsidR="00174C63" w:rsidRDefault="00174C63">
            <w:pPr>
              <w:rPr>
                <w:rFonts w:ascii="仿宋_GB2312" w:eastAsia="仿宋_GB2312" w:hAnsi="仿宋_GB2312" w:cs="仿宋_GB2312"/>
                <w:szCs w:val="21"/>
              </w:rPr>
            </w:pPr>
          </w:p>
        </w:tc>
      </w:tr>
      <w:tr w:rsidR="00174C63" w14:paraId="50BB02E9" w14:textId="77777777">
        <w:trPr>
          <w:trHeight w:val="417"/>
        </w:trPr>
        <w:tc>
          <w:tcPr>
            <w:tcW w:w="2296" w:type="dxa"/>
          </w:tcPr>
          <w:p w14:paraId="43C5C17C"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《中华人民共和国环境保护法》《中华人民共和国节约能源法》《中华人民共和国固体废物污染环境防治法》《福州市生活垃圾分类管理办法》</w:t>
            </w:r>
          </w:p>
        </w:tc>
        <w:tc>
          <w:tcPr>
            <w:tcW w:w="1865" w:type="dxa"/>
          </w:tcPr>
          <w:p w14:paraId="4A60A8AA" w14:textId="77777777" w:rsidR="00174C63" w:rsidRDefault="00174C63">
            <w:pPr>
              <w:rPr>
                <w:rFonts w:ascii="仿宋_GB2312" w:eastAsia="仿宋_GB2312" w:hAnsi="仿宋_GB2312" w:cs="仿宋_GB2312"/>
                <w:szCs w:val="21"/>
              </w:rPr>
            </w:pPr>
          </w:p>
        </w:tc>
        <w:tc>
          <w:tcPr>
            <w:tcW w:w="1227" w:type="dxa"/>
          </w:tcPr>
          <w:p w14:paraId="5BF244EF"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外部政策</w:t>
            </w:r>
          </w:p>
        </w:tc>
        <w:tc>
          <w:tcPr>
            <w:tcW w:w="3260" w:type="dxa"/>
          </w:tcPr>
          <w:p w14:paraId="1FCC7815"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有关节能环保的各项要求</w:t>
            </w:r>
          </w:p>
        </w:tc>
        <w:tc>
          <w:tcPr>
            <w:tcW w:w="1108" w:type="dxa"/>
          </w:tcPr>
          <w:p w14:paraId="0598AB63" w14:textId="77777777" w:rsidR="00174C63" w:rsidRDefault="00174C63">
            <w:pPr>
              <w:rPr>
                <w:rFonts w:ascii="仿宋_GB2312" w:eastAsia="仿宋_GB2312" w:hAnsi="仿宋_GB2312" w:cs="仿宋_GB2312"/>
                <w:szCs w:val="21"/>
              </w:rPr>
            </w:pPr>
          </w:p>
        </w:tc>
      </w:tr>
      <w:tr w:rsidR="00174C63" w14:paraId="2D38917F" w14:textId="77777777">
        <w:trPr>
          <w:trHeight w:val="300"/>
        </w:trPr>
        <w:tc>
          <w:tcPr>
            <w:tcW w:w="2296" w:type="dxa"/>
          </w:tcPr>
          <w:p w14:paraId="487E3943" w14:textId="77777777" w:rsidR="00174C63" w:rsidRDefault="00670A7A">
            <w:pPr>
              <w:rPr>
                <w:rFonts w:ascii="仿宋_GB2312" w:eastAsia="仿宋_GB2312" w:hAnsi="仿宋_GB2312" w:cs="仿宋_GB2312"/>
                <w:szCs w:val="21"/>
              </w:rPr>
            </w:pPr>
            <w:r>
              <w:rPr>
                <w:rFonts w:ascii="仿宋_GB2312" w:eastAsia="仿宋_GB2312" w:hAnsi="仿宋_GB2312" w:cs="仿宋_GB2312"/>
                <w:szCs w:val="21"/>
              </w:rPr>
              <w:t>《</w:t>
            </w:r>
            <w:r>
              <w:rPr>
                <w:rFonts w:ascii="仿宋_GB2312" w:eastAsia="仿宋_GB2312" w:hAnsi="仿宋_GB2312" w:cs="仿宋_GB2312" w:hint="eastAsia"/>
                <w:szCs w:val="21"/>
              </w:rPr>
              <w:t>福建连江农村商业银行股份有限公司关于金融助力海洋产业链高质量发展的三年行动方案（2025-2027年）</w:t>
            </w:r>
            <w:r>
              <w:rPr>
                <w:rFonts w:ascii="仿宋_GB2312" w:eastAsia="仿宋_GB2312" w:hAnsi="仿宋_GB2312" w:cs="仿宋_GB2312"/>
                <w:szCs w:val="21"/>
              </w:rPr>
              <w:t>》</w:t>
            </w:r>
          </w:p>
        </w:tc>
        <w:tc>
          <w:tcPr>
            <w:tcW w:w="1865" w:type="dxa"/>
          </w:tcPr>
          <w:p w14:paraId="423DBE13"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连农商〔2025〕287号</w:t>
            </w:r>
          </w:p>
        </w:tc>
        <w:tc>
          <w:tcPr>
            <w:tcW w:w="1227" w:type="dxa"/>
          </w:tcPr>
          <w:p w14:paraId="166CB35B"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内部政策</w:t>
            </w:r>
          </w:p>
        </w:tc>
        <w:tc>
          <w:tcPr>
            <w:tcW w:w="3260" w:type="dxa"/>
          </w:tcPr>
          <w:p w14:paraId="253E5A4F"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连江农商银行推进海洋金融发展的三年规划及主要工作举措</w:t>
            </w:r>
          </w:p>
        </w:tc>
        <w:tc>
          <w:tcPr>
            <w:tcW w:w="1108" w:type="dxa"/>
          </w:tcPr>
          <w:p w14:paraId="359745B9" w14:textId="77777777" w:rsidR="00174C63" w:rsidRDefault="00174C63">
            <w:pPr>
              <w:rPr>
                <w:rFonts w:ascii="仿宋_GB2312" w:eastAsia="仿宋_GB2312" w:hAnsi="仿宋_GB2312" w:cs="仿宋_GB2312"/>
                <w:szCs w:val="21"/>
              </w:rPr>
            </w:pPr>
          </w:p>
        </w:tc>
      </w:tr>
      <w:tr w:rsidR="00174C63" w14:paraId="7975768D" w14:textId="77777777">
        <w:trPr>
          <w:trHeight w:val="300"/>
        </w:trPr>
        <w:tc>
          <w:tcPr>
            <w:tcW w:w="2296" w:type="dxa"/>
          </w:tcPr>
          <w:p w14:paraId="46F1D71F"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《福建连江农村商业银行股份有限公司仓单质押贷款管理暂行办法》</w:t>
            </w:r>
          </w:p>
        </w:tc>
        <w:tc>
          <w:tcPr>
            <w:tcW w:w="1865" w:type="dxa"/>
          </w:tcPr>
          <w:p w14:paraId="45C181D8"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连农商〔2025〕39号</w:t>
            </w:r>
          </w:p>
        </w:tc>
        <w:tc>
          <w:tcPr>
            <w:tcW w:w="1227" w:type="dxa"/>
          </w:tcPr>
          <w:p w14:paraId="65B12B9D"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内部政策</w:t>
            </w:r>
          </w:p>
        </w:tc>
        <w:tc>
          <w:tcPr>
            <w:tcW w:w="3260" w:type="dxa"/>
          </w:tcPr>
          <w:p w14:paraId="0369F64D"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连江农商银行推出的关于支持水产加工企业以标准化水产品为质押向我行申请的贷款产品。助力企业盘活水产品，提升水产品运转效率</w:t>
            </w:r>
          </w:p>
        </w:tc>
        <w:tc>
          <w:tcPr>
            <w:tcW w:w="1108" w:type="dxa"/>
          </w:tcPr>
          <w:p w14:paraId="0605DF70" w14:textId="77777777" w:rsidR="00174C63" w:rsidRDefault="00174C63">
            <w:pPr>
              <w:rPr>
                <w:rFonts w:ascii="仿宋_GB2312" w:eastAsia="仿宋_GB2312" w:hAnsi="仿宋_GB2312" w:cs="仿宋_GB2312"/>
                <w:szCs w:val="21"/>
              </w:rPr>
            </w:pPr>
          </w:p>
        </w:tc>
      </w:tr>
      <w:tr w:rsidR="00174C63" w14:paraId="615DA9CD" w14:textId="77777777">
        <w:trPr>
          <w:trHeight w:val="300"/>
        </w:trPr>
        <w:tc>
          <w:tcPr>
            <w:tcW w:w="2296" w:type="dxa"/>
          </w:tcPr>
          <w:p w14:paraId="4BC3DD35"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《福建连江农村商业银行股份有限公司“福船宝”贷款产品管理办法》</w:t>
            </w:r>
          </w:p>
        </w:tc>
        <w:tc>
          <w:tcPr>
            <w:tcW w:w="1865" w:type="dxa"/>
          </w:tcPr>
          <w:p w14:paraId="0132C3FC"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连农商〔2024〕423号</w:t>
            </w:r>
          </w:p>
        </w:tc>
        <w:tc>
          <w:tcPr>
            <w:tcW w:w="1227" w:type="dxa"/>
          </w:tcPr>
          <w:p w14:paraId="22805A7D"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内部政策</w:t>
            </w:r>
          </w:p>
        </w:tc>
        <w:tc>
          <w:tcPr>
            <w:tcW w:w="3260" w:type="dxa"/>
          </w:tcPr>
          <w:p w14:paraId="7161E65E"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连江农商银行推出的为借款人提供在建船舶贷款，船舶建成后提供经营性贷款的综合类授信产品。</w:t>
            </w:r>
          </w:p>
        </w:tc>
        <w:tc>
          <w:tcPr>
            <w:tcW w:w="1108" w:type="dxa"/>
          </w:tcPr>
          <w:p w14:paraId="604B5DDA" w14:textId="77777777" w:rsidR="00174C63" w:rsidRDefault="00174C63">
            <w:pPr>
              <w:rPr>
                <w:rFonts w:ascii="仿宋_GB2312" w:eastAsia="仿宋_GB2312" w:hAnsi="仿宋_GB2312" w:cs="仿宋_GB2312"/>
                <w:szCs w:val="21"/>
              </w:rPr>
            </w:pPr>
          </w:p>
        </w:tc>
      </w:tr>
      <w:tr w:rsidR="00174C63" w14:paraId="71730B3E" w14:textId="77777777">
        <w:trPr>
          <w:trHeight w:val="300"/>
        </w:trPr>
        <w:tc>
          <w:tcPr>
            <w:tcW w:w="2296" w:type="dxa"/>
          </w:tcPr>
          <w:p w14:paraId="6DA7B192"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福建连江农村商业银行股份有限公司“鑫船宝”贷款产品管理办法（2025年修订版）</w:t>
            </w:r>
          </w:p>
        </w:tc>
        <w:tc>
          <w:tcPr>
            <w:tcW w:w="1865" w:type="dxa"/>
          </w:tcPr>
          <w:p w14:paraId="1CC8CCF2"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连农商〔2025〕248号</w:t>
            </w:r>
          </w:p>
        </w:tc>
        <w:tc>
          <w:tcPr>
            <w:tcW w:w="1227" w:type="dxa"/>
          </w:tcPr>
          <w:p w14:paraId="60AE6DBB"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内部政策</w:t>
            </w:r>
          </w:p>
        </w:tc>
        <w:tc>
          <w:tcPr>
            <w:tcW w:w="3260" w:type="dxa"/>
          </w:tcPr>
          <w:p w14:paraId="2181BA9D"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连江农商银行推出的支持</w:t>
            </w:r>
            <w:r>
              <w:rPr>
                <w:rFonts w:ascii="仿宋_GB2312" w:eastAsia="仿宋_GB2312" w:hAnsi="仿宋_GB2312" w:cs="仿宋_GB2312"/>
                <w:szCs w:val="21"/>
              </w:rPr>
              <w:t>具有中华人民共和国国籍、有关证件齐全、有效的渔业船舶和运输船舶等船舶为抵押物而发放的贷款产品。</w:t>
            </w:r>
          </w:p>
        </w:tc>
        <w:tc>
          <w:tcPr>
            <w:tcW w:w="1108" w:type="dxa"/>
          </w:tcPr>
          <w:p w14:paraId="7CE5A81C" w14:textId="77777777" w:rsidR="00174C63" w:rsidRDefault="00174C63">
            <w:pPr>
              <w:rPr>
                <w:rFonts w:ascii="仿宋_GB2312" w:eastAsia="仿宋_GB2312" w:hAnsi="仿宋_GB2312" w:cs="仿宋_GB2312"/>
                <w:szCs w:val="21"/>
              </w:rPr>
            </w:pPr>
          </w:p>
        </w:tc>
      </w:tr>
      <w:tr w:rsidR="00174C63" w14:paraId="7B2ACE59" w14:textId="77777777">
        <w:trPr>
          <w:trHeight w:val="300"/>
        </w:trPr>
        <w:tc>
          <w:tcPr>
            <w:tcW w:w="2296" w:type="dxa"/>
          </w:tcPr>
          <w:p w14:paraId="08850A2B"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《连江农商银行关于推出“公司+农户”订单农业贷款产品的通知》</w:t>
            </w:r>
          </w:p>
        </w:tc>
        <w:tc>
          <w:tcPr>
            <w:tcW w:w="1865" w:type="dxa"/>
          </w:tcPr>
          <w:p w14:paraId="6199102A"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连农商〔202</w:t>
            </w:r>
            <w:r>
              <w:rPr>
                <w:rFonts w:ascii="仿宋_GB2312" w:eastAsia="仿宋_GB2312" w:hAnsi="仿宋_GB2312" w:cs="仿宋_GB2312"/>
                <w:color w:val="000000" w:themeColor="text1"/>
                <w:szCs w:val="21"/>
              </w:rPr>
              <w:t>4</w:t>
            </w:r>
            <w:r>
              <w:rPr>
                <w:rFonts w:ascii="仿宋_GB2312" w:eastAsia="仿宋_GB2312" w:hAnsi="仿宋_GB2312" w:cs="仿宋_GB2312" w:hint="eastAsia"/>
                <w:color w:val="000000" w:themeColor="text1"/>
                <w:szCs w:val="21"/>
              </w:rPr>
              <w:t>〕</w:t>
            </w:r>
            <w:r>
              <w:rPr>
                <w:rFonts w:ascii="仿宋_GB2312" w:eastAsia="仿宋_GB2312" w:hAnsi="仿宋_GB2312" w:cs="仿宋_GB2312"/>
                <w:color w:val="000000" w:themeColor="text1"/>
                <w:szCs w:val="21"/>
              </w:rPr>
              <w:t>174</w:t>
            </w:r>
            <w:r>
              <w:rPr>
                <w:rFonts w:ascii="仿宋_GB2312" w:eastAsia="仿宋_GB2312" w:hAnsi="仿宋_GB2312" w:cs="仿宋_GB2312" w:hint="eastAsia"/>
                <w:color w:val="000000" w:themeColor="text1"/>
                <w:szCs w:val="21"/>
              </w:rPr>
              <w:t xml:space="preserve"> 号</w:t>
            </w:r>
          </w:p>
        </w:tc>
        <w:tc>
          <w:tcPr>
            <w:tcW w:w="1227" w:type="dxa"/>
          </w:tcPr>
          <w:p w14:paraId="3AEEAB11"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内部政策</w:t>
            </w:r>
          </w:p>
        </w:tc>
        <w:tc>
          <w:tcPr>
            <w:tcW w:w="3260" w:type="dxa"/>
          </w:tcPr>
          <w:p w14:paraId="127DFDB6"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连江农商银行创新“合作社+公司+养殖户”三方合作模式，由订购公司在订单金额范围内为农户提供担保，并对农户贷款资金使用和销售回款进行监管，对成品鲍鱼进行统购统销，最大限度促进行业供需平衡</w:t>
            </w:r>
          </w:p>
        </w:tc>
        <w:tc>
          <w:tcPr>
            <w:tcW w:w="1108" w:type="dxa"/>
          </w:tcPr>
          <w:p w14:paraId="269F0BD7" w14:textId="77777777" w:rsidR="00174C63" w:rsidRDefault="00174C63">
            <w:pPr>
              <w:rPr>
                <w:rFonts w:ascii="仿宋_GB2312" w:eastAsia="仿宋_GB2312" w:hAnsi="仿宋_GB2312" w:cs="仿宋_GB2312"/>
                <w:color w:val="000000" w:themeColor="text1"/>
                <w:szCs w:val="21"/>
              </w:rPr>
            </w:pPr>
          </w:p>
        </w:tc>
      </w:tr>
      <w:tr w:rsidR="00174C63" w14:paraId="108C535B" w14:textId="77777777">
        <w:trPr>
          <w:trHeight w:val="300"/>
        </w:trPr>
        <w:tc>
          <w:tcPr>
            <w:tcW w:w="2296" w:type="dxa"/>
          </w:tcPr>
          <w:p w14:paraId="5072A469"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《福建连江农村商业银</w:t>
            </w:r>
            <w:r>
              <w:rPr>
                <w:rFonts w:ascii="仿宋_GB2312" w:eastAsia="仿宋_GB2312" w:hAnsi="仿宋_GB2312" w:cs="仿宋_GB2312" w:hint="eastAsia"/>
                <w:szCs w:val="21"/>
              </w:rPr>
              <w:lastRenderedPageBreak/>
              <w:t>行“蓝碳贷”产品实施方案》</w:t>
            </w:r>
          </w:p>
        </w:tc>
        <w:tc>
          <w:tcPr>
            <w:tcW w:w="1865" w:type="dxa"/>
          </w:tcPr>
          <w:p w14:paraId="600B35EE"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lastRenderedPageBreak/>
              <w:t>连农商〔2022〕417</w:t>
            </w:r>
            <w:r>
              <w:rPr>
                <w:rFonts w:ascii="仿宋_GB2312" w:eastAsia="仿宋_GB2312" w:hAnsi="仿宋_GB2312" w:cs="仿宋_GB2312" w:hint="eastAsia"/>
                <w:szCs w:val="21"/>
              </w:rPr>
              <w:lastRenderedPageBreak/>
              <w:t>号</w:t>
            </w:r>
          </w:p>
        </w:tc>
        <w:tc>
          <w:tcPr>
            <w:tcW w:w="1227" w:type="dxa"/>
          </w:tcPr>
          <w:p w14:paraId="47FF1D16"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lastRenderedPageBreak/>
              <w:t>内部政策</w:t>
            </w:r>
          </w:p>
        </w:tc>
        <w:tc>
          <w:tcPr>
            <w:tcW w:w="3260" w:type="dxa"/>
          </w:tcPr>
          <w:p w14:paraId="2E3BC1A9"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连江农商银行为助力海洋环境建</w:t>
            </w:r>
            <w:r>
              <w:rPr>
                <w:rFonts w:ascii="仿宋_GB2312" w:eastAsia="仿宋_GB2312" w:hAnsi="仿宋_GB2312" w:cs="仿宋_GB2312" w:hint="eastAsia"/>
                <w:szCs w:val="21"/>
              </w:rPr>
              <w:lastRenderedPageBreak/>
              <w:t>设，鼓励海水低碳作物养殖</w:t>
            </w:r>
          </w:p>
        </w:tc>
        <w:tc>
          <w:tcPr>
            <w:tcW w:w="1108" w:type="dxa"/>
          </w:tcPr>
          <w:p w14:paraId="69AC9BE1" w14:textId="77777777" w:rsidR="00174C63" w:rsidRDefault="00174C63">
            <w:pPr>
              <w:rPr>
                <w:rFonts w:ascii="仿宋_GB2312" w:eastAsia="仿宋_GB2312" w:hAnsi="仿宋_GB2312" w:cs="仿宋_GB2312"/>
                <w:szCs w:val="21"/>
              </w:rPr>
            </w:pPr>
          </w:p>
        </w:tc>
      </w:tr>
    </w:tbl>
    <w:p w14:paraId="2502ED47" w14:textId="77777777" w:rsidR="00670A7A" w:rsidRDefault="00670A7A">
      <w:pPr>
        <w:ind w:firstLineChars="200" w:firstLine="640"/>
        <w:rPr>
          <w:rFonts w:ascii="仿宋_GB2312" w:eastAsia="仿宋_GB2312" w:hAnsi="仿宋_GB2312" w:cs="仿宋_GB2312"/>
          <w:sz w:val="32"/>
          <w:szCs w:val="32"/>
        </w:rPr>
      </w:pPr>
    </w:p>
    <w:p w14:paraId="0C4720AD" w14:textId="77777777" w:rsidR="00670A7A" w:rsidRDefault="00670A7A">
      <w:pPr>
        <w:ind w:firstLineChars="200" w:firstLine="640"/>
        <w:rPr>
          <w:rFonts w:ascii="仿宋_GB2312" w:eastAsia="仿宋_GB2312" w:hAnsi="仿宋_GB2312" w:cs="仿宋_GB2312"/>
          <w:sz w:val="32"/>
          <w:szCs w:val="32"/>
        </w:rPr>
      </w:pPr>
    </w:p>
    <w:p w14:paraId="3B1A1929" w14:textId="77777777" w:rsidR="00670A7A" w:rsidRDefault="00670A7A" w:rsidP="00762FDB">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五、产品创新与研究成果</w:t>
      </w:r>
    </w:p>
    <w:p w14:paraId="2F6AE6CC"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连江农商银行立足连江海洋经济特色，聚焦水产加工、船舶渔业、养殖产业、滨海文旅四大领域，创新系列金融服务模式，精准赋能绿色低碳发展。</w:t>
      </w:r>
    </w:p>
    <w:p w14:paraId="2723E2FE" w14:textId="05A05532" w:rsidR="00174C63" w:rsidRDefault="00670A7A">
      <w:pPr>
        <w:widowControl/>
        <w:spacing w:line="560" w:lineRule="exact"/>
        <w:ind w:firstLineChars="200" w:firstLine="643"/>
        <w:rPr>
          <w:rFonts w:ascii="仿宋" w:eastAsia="仿宋" w:hAnsi="仿宋" w:cs="宋体"/>
          <w:kern w:val="0"/>
          <w:sz w:val="32"/>
          <w:szCs w:val="32"/>
        </w:rPr>
      </w:pPr>
      <w:r>
        <w:rPr>
          <w:rFonts w:ascii="楷体" w:eastAsia="楷体" w:hAnsi="楷体" w:cs="宋体"/>
          <w:b/>
          <w:kern w:val="0"/>
          <w:sz w:val="32"/>
          <w:szCs w:val="32"/>
        </w:rPr>
        <w:t>（</w:t>
      </w:r>
      <w:r>
        <w:rPr>
          <w:rFonts w:ascii="楷体" w:eastAsia="楷体" w:hAnsi="楷体" w:cs="宋体" w:hint="eastAsia"/>
          <w:b/>
          <w:kern w:val="0"/>
          <w:sz w:val="32"/>
          <w:szCs w:val="32"/>
        </w:rPr>
        <w:t>一</w:t>
      </w:r>
      <w:r>
        <w:rPr>
          <w:rFonts w:ascii="楷体" w:eastAsia="楷体" w:hAnsi="楷体" w:cs="宋体"/>
          <w:b/>
          <w:kern w:val="0"/>
          <w:sz w:val="32"/>
          <w:szCs w:val="32"/>
        </w:rPr>
        <w:t>）盘活水产加工企业</w:t>
      </w:r>
      <w:r w:rsidR="00762FDB">
        <w:rPr>
          <w:rFonts w:ascii="楷体" w:eastAsia="楷体" w:hAnsi="楷体" w:cs="宋体" w:hint="eastAsia"/>
          <w:b/>
          <w:kern w:val="0"/>
          <w:sz w:val="32"/>
          <w:szCs w:val="32"/>
        </w:rPr>
        <w:t>存货</w:t>
      </w:r>
      <w:r>
        <w:rPr>
          <w:rFonts w:ascii="楷体" w:eastAsia="楷体" w:hAnsi="楷体" w:cs="宋体"/>
          <w:b/>
          <w:kern w:val="0"/>
          <w:sz w:val="32"/>
          <w:szCs w:val="32"/>
        </w:rPr>
        <w:t>。</w:t>
      </w:r>
      <w:r>
        <w:rPr>
          <w:rFonts w:ascii="仿宋" w:eastAsia="仿宋" w:hAnsi="仿宋" w:cs="宋体"/>
          <w:kern w:val="0"/>
          <w:sz w:val="32"/>
          <w:szCs w:val="32"/>
        </w:rPr>
        <w:t>针对水产加工企业抵押物不足、存货变现难问题，推出仓单质押贷款，联合标准仓储冷库提供第三方监管，对熟冻鲍鱼、海带苗、海参等标准化水产品评估质押。累计投放超 7000 万元，构建 “仓储监管 + 价值评估 + 资金融通” 闭环，有效提升企业资产流动性。</w:t>
      </w:r>
    </w:p>
    <w:p w14:paraId="63DDBA97" w14:textId="7F4581DE" w:rsidR="00174C63" w:rsidRDefault="00670A7A">
      <w:pPr>
        <w:widowControl/>
        <w:spacing w:line="560" w:lineRule="exact"/>
        <w:ind w:firstLineChars="200" w:firstLine="643"/>
        <w:rPr>
          <w:rFonts w:ascii="仿宋" w:eastAsia="仿宋" w:hAnsi="仿宋" w:cs="宋体"/>
          <w:kern w:val="0"/>
          <w:sz w:val="32"/>
          <w:szCs w:val="32"/>
        </w:rPr>
      </w:pPr>
      <w:r>
        <w:rPr>
          <w:rFonts w:ascii="楷体" w:eastAsia="楷体" w:hAnsi="楷体" w:cs="宋体"/>
          <w:b/>
          <w:kern w:val="0"/>
          <w:sz w:val="32"/>
          <w:szCs w:val="32"/>
        </w:rPr>
        <w:t>（</w:t>
      </w:r>
      <w:r>
        <w:rPr>
          <w:rFonts w:ascii="楷体" w:eastAsia="楷体" w:hAnsi="楷体" w:cs="宋体" w:hint="eastAsia"/>
          <w:b/>
          <w:kern w:val="0"/>
          <w:sz w:val="32"/>
          <w:szCs w:val="32"/>
        </w:rPr>
        <w:t>二</w:t>
      </w:r>
      <w:r>
        <w:rPr>
          <w:rFonts w:ascii="楷体" w:eastAsia="楷体" w:hAnsi="楷体" w:cs="宋体"/>
          <w:b/>
          <w:kern w:val="0"/>
          <w:sz w:val="32"/>
          <w:szCs w:val="32"/>
        </w:rPr>
        <w:t>）</w:t>
      </w:r>
      <w:r w:rsidR="00762FDB">
        <w:rPr>
          <w:rFonts w:ascii="楷体" w:eastAsia="楷体" w:hAnsi="楷体" w:cs="宋体"/>
          <w:b/>
          <w:kern w:val="0"/>
          <w:sz w:val="32"/>
          <w:szCs w:val="32"/>
        </w:rPr>
        <w:t>创新</w:t>
      </w:r>
      <w:r w:rsidR="00762FDB">
        <w:rPr>
          <w:rFonts w:ascii="楷体" w:eastAsia="楷体" w:hAnsi="楷体" w:cs="宋体" w:hint="eastAsia"/>
          <w:b/>
          <w:kern w:val="0"/>
          <w:sz w:val="32"/>
          <w:szCs w:val="32"/>
        </w:rPr>
        <w:t>船舶建造服务模式</w:t>
      </w:r>
      <w:r>
        <w:rPr>
          <w:rFonts w:ascii="楷体" w:eastAsia="楷体" w:hAnsi="楷体" w:cs="宋体"/>
          <w:b/>
          <w:kern w:val="0"/>
          <w:sz w:val="32"/>
          <w:szCs w:val="32"/>
        </w:rPr>
        <w:t>。</w:t>
      </w:r>
      <w:r>
        <w:rPr>
          <w:rFonts w:ascii="仿宋" w:eastAsia="仿宋" w:hAnsi="仿宋" w:cs="宋体"/>
          <w:kern w:val="0"/>
          <w:sz w:val="32"/>
          <w:szCs w:val="32"/>
        </w:rPr>
        <w:t>围绕船舶这一核心生产资料，打造 “福船宝”“鑫船宝” 产品体系，推广 “船厂阶段性担保 + 抵押” 造船融资模式，实现资金无缝对接</w:t>
      </w:r>
      <w:r>
        <w:rPr>
          <w:rFonts w:ascii="仿宋" w:eastAsia="仿宋" w:hAnsi="仿宋" w:cs="宋体" w:hint="eastAsia"/>
          <w:kern w:val="0"/>
          <w:sz w:val="32"/>
          <w:szCs w:val="32"/>
        </w:rPr>
        <w:t>。</w:t>
      </w:r>
      <w:r>
        <w:rPr>
          <w:rFonts w:ascii="仿宋" w:eastAsia="仿宋" w:hAnsi="仿宋" w:cs="宋体"/>
          <w:kern w:val="0"/>
          <w:sz w:val="32"/>
          <w:szCs w:val="32"/>
        </w:rPr>
        <w:t>联合县海洋与渔业局首创船舶续贷抵押业务，支持无还本续贷。累计带动船舶建造融资超 2 亿元、经营性融资超 1.2 亿元，服务船舶</w:t>
      </w:r>
      <w:r>
        <w:rPr>
          <w:rFonts w:ascii="仿宋" w:eastAsia="仿宋" w:hAnsi="仿宋" w:cs="宋体" w:hint="eastAsia"/>
          <w:kern w:val="0"/>
          <w:sz w:val="32"/>
          <w:szCs w:val="32"/>
        </w:rPr>
        <w:t>经营</w:t>
      </w:r>
      <w:r>
        <w:rPr>
          <w:rFonts w:ascii="仿宋" w:eastAsia="仿宋" w:hAnsi="仿宋" w:cs="宋体"/>
          <w:kern w:val="0"/>
          <w:sz w:val="32"/>
          <w:szCs w:val="32"/>
        </w:rPr>
        <w:t>主体超百户。</w:t>
      </w:r>
    </w:p>
    <w:p w14:paraId="5FAEFF24" w14:textId="255A1FE9" w:rsidR="00174C63" w:rsidRDefault="00670A7A">
      <w:pPr>
        <w:widowControl/>
        <w:spacing w:line="560" w:lineRule="exact"/>
        <w:ind w:firstLineChars="200" w:firstLine="643"/>
        <w:rPr>
          <w:rFonts w:ascii="仿宋" w:eastAsia="仿宋" w:hAnsi="仿宋" w:cs="宋体"/>
          <w:kern w:val="0"/>
          <w:sz w:val="32"/>
          <w:szCs w:val="32"/>
        </w:rPr>
      </w:pPr>
      <w:r>
        <w:rPr>
          <w:rFonts w:ascii="楷体" w:eastAsia="楷体" w:hAnsi="楷体" w:cs="宋体"/>
          <w:b/>
          <w:kern w:val="0"/>
          <w:sz w:val="32"/>
          <w:szCs w:val="32"/>
        </w:rPr>
        <w:t>（</w:t>
      </w:r>
      <w:r>
        <w:rPr>
          <w:rFonts w:ascii="楷体" w:eastAsia="楷体" w:hAnsi="楷体" w:cs="宋体" w:hint="eastAsia"/>
          <w:b/>
          <w:kern w:val="0"/>
          <w:sz w:val="32"/>
          <w:szCs w:val="32"/>
        </w:rPr>
        <w:t>三</w:t>
      </w:r>
      <w:r>
        <w:rPr>
          <w:rFonts w:ascii="楷体" w:eastAsia="楷体" w:hAnsi="楷体" w:cs="宋体"/>
          <w:b/>
          <w:kern w:val="0"/>
          <w:sz w:val="32"/>
          <w:szCs w:val="32"/>
        </w:rPr>
        <w:t>）</w:t>
      </w:r>
      <w:r w:rsidR="00762FDB">
        <w:rPr>
          <w:rFonts w:ascii="楷体" w:eastAsia="楷体" w:hAnsi="楷体" w:cs="宋体"/>
          <w:b/>
          <w:kern w:val="0"/>
          <w:sz w:val="32"/>
          <w:szCs w:val="32"/>
        </w:rPr>
        <w:t>构建水产养殖领域产销链条</w:t>
      </w:r>
      <w:r>
        <w:rPr>
          <w:rFonts w:ascii="楷体" w:eastAsia="楷体" w:hAnsi="楷体" w:cs="宋体"/>
          <w:b/>
          <w:kern w:val="0"/>
          <w:sz w:val="32"/>
          <w:szCs w:val="32"/>
        </w:rPr>
        <w:t>。</w:t>
      </w:r>
      <w:r>
        <w:rPr>
          <w:rFonts w:ascii="仿宋" w:eastAsia="仿宋" w:hAnsi="仿宋" w:cs="宋体"/>
          <w:kern w:val="0"/>
          <w:sz w:val="32"/>
          <w:szCs w:val="32"/>
        </w:rPr>
        <w:t>应对饵料涨价</w:t>
      </w:r>
      <w:r>
        <w:rPr>
          <w:rFonts w:ascii="仿宋" w:eastAsia="仿宋" w:hAnsi="仿宋" w:cs="宋体" w:hint="eastAsia"/>
          <w:kern w:val="0"/>
          <w:sz w:val="32"/>
          <w:szCs w:val="32"/>
        </w:rPr>
        <w:t>和</w:t>
      </w:r>
      <w:r>
        <w:rPr>
          <w:rFonts w:ascii="仿宋" w:eastAsia="仿宋" w:hAnsi="仿宋" w:cs="宋体"/>
          <w:kern w:val="0"/>
          <w:sz w:val="32"/>
          <w:szCs w:val="32"/>
        </w:rPr>
        <w:t>市场波动风险，</w:t>
      </w:r>
      <w:r>
        <w:rPr>
          <w:rFonts w:ascii="仿宋" w:eastAsia="仿宋" w:hAnsi="仿宋" w:cs="宋体" w:hint="eastAsia"/>
          <w:kern w:val="0"/>
          <w:sz w:val="32"/>
          <w:szCs w:val="32"/>
        </w:rPr>
        <w:t>创新推出</w:t>
      </w:r>
      <w:r>
        <w:rPr>
          <w:rFonts w:ascii="仿宋" w:eastAsia="仿宋" w:hAnsi="仿宋" w:cs="宋体"/>
          <w:kern w:val="0"/>
          <w:sz w:val="32"/>
          <w:szCs w:val="32"/>
        </w:rPr>
        <w:t>“公司 + 农户”订单农业贷款，引入核心企业提供担保与收购兜底。已为 85 户养殖户授信 4729 万元，支持收购成品鲍约 500 吨，助力</w:t>
      </w:r>
      <w:r>
        <w:rPr>
          <w:rFonts w:ascii="仿宋" w:eastAsia="仿宋" w:hAnsi="仿宋" w:cs="宋体" w:hint="eastAsia"/>
          <w:kern w:val="0"/>
          <w:sz w:val="32"/>
          <w:szCs w:val="32"/>
        </w:rPr>
        <w:t>行内</w:t>
      </w:r>
      <w:r>
        <w:rPr>
          <w:rFonts w:ascii="仿宋" w:eastAsia="仿宋" w:hAnsi="仿宋" w:cs="宋体"/>
          <w:kern w:val="0"/>
          <w:sz w:val="32"/>
          <w:szCs w:val="32"/>
        </w:rPr>
        <w:t>行业不良率降至0.38%，推动鲍鱼价格企稳回升。</w:t>
      </w:r>
    </w:p>
    <w:p w14:paraId="6596C1CF" w14:textId="537975AC" w:rsidR="00174C63" w:rsidRDefault="00670A7A">
      <w:pPr>
        <w:widowControl/>
        <w:spacing w:line="560" w:lineRule="exact"/>
        <w:ind w:firstLineChars="200" w:firstLine="643"/>
        <w:rPr>
          <w:rFonts w:ascii="仿宋" w:eastAsia="仿宋" w:hAnsi="仿宋" w:cs="宋体"/>
          <w:kern w:val="0"/>
          <w:sz w:val="32"/>
          <w:szCs w:val="32"/>
        </w:rPr>
      </w:pPr>
      <w:r>
        <w:rPr>
          <w:rFonts w:ascii="楷体" w:eastAsia="楷体" w:hAnsi="楷体" w:cs="宋体" w:hint="eastAsia"/>
          <w:b/>
          <w:kern w:val="0"/>
          <w:sz w:val="32"/>
          <w:szCs w:val="32"/>
        </w:rPr>
        <w:t>（四）</w:t>
      </w:r>
      <w:r w:rsidR="00762FDB">
        <w:rPr>
          <w:rFonts w:ascii="楷体" w:eastAsia="楷体" w:hAnsi="楷体" w:cs="宋体" w:hint="eastAsia"/>
          <w:b/>
          <w:kern w:val="0"/>
          <w:sz w:val="32"/>
          <w:szCs w:val="32"/>
        </w:rPr>
        <w:t>创新</w:t>
      </w:r>
      <w:r>
        <w:rPr>
          <w:rFonts w:ascii="楷体" w:eastAsia="楷体" w:hAnsi="楷体" w:cs="宋体" w:hint="eastAsia"/>
          <w:b/>
          <w:kern w:val="0"/>
          <w:sz w:val="32"/>
          <w:szCs w:val="32"/>
        </w:rPr>
        <w:t>滨海文旅</w:t>
      </w:r>
      <w:r w:rsidR="00762FDB">
        <w:rPr>
          <w:rFonts w:ascii="楷体" w:eastAsia="楷体" w:hAnsi="楷体" w:cs="宋体" w:hint="eastAsia"/>
          <w:b/>
          <w:kern w:val="0"/>
          <w:sz w:val="32"/>
          <w:szCs w:val="32"/>
        </w:rPr>
        <w:t>个性化融资方案</w:t>
      </w:r>
      <w:r>
        <w:rPr>
          <w:rFonts w:ascii="楷体" w:eastAsia="楷体" w:hAnsi="楷体" w:cs="宋体" w:hint="eastAsia"/>
          <w:b/>
          <w:kern w:val="0"/>
          <w:sz w:val="32"/>
          <w:szCs w:val="32"/>
        </w:rPr>
        <w:t>。</w:t>
      </w:r>
      <w:r>
        <w:rPr>
          <w:rFonts w:ascii="仿宋" w:eastAsia="仿宋" w:hAnsi="仿宋" w:cs="宋体"/>
          <w:kern w:val="0"/>
          <w:sz w:val="32"/>
          <w:szCs w:val="32"/>
        </w:rPr>
        <w:t>为滨海文旅企业提供账户开立、收单系统搭建、数字人民币场景配套等综合</w:t>
      </w:r>
      <w:r>
        <w:rPr>
          <w:rFonts w:ascii="仿宋" w:eastAsia="仿宋" w:hAnsi="仿宋" w:cs="宋体"/>
          <w:kern w:val="0"/>
          <w:sz w:val="32"/>
          <w:szCs w:val="32"/>
        </w:rPr>
        <w:lastRenderedPageBreak/>
        <w:t>服务，创新门票收费权质押融资。截至 2026 年 1 月末，为平流尾地质公园授信 200 万元，搭建的门票收单系统 5 年累计实现交易 11.5 万笔、金额 1232.44 万元。</w:t>
      </w:r>
    </w:p>
    <w:p w14:paraId="1752E34E" w14:textId="77777777" w:rsidR="00174C63" w:rsidRDefault="00670A7A">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（四）绿色信贷案例</w:t>
      </w:r>
    </w:p>
    <w:p w14:paraId="7F2FFA03" w14:textId="3F719908" w:rsidR="00174C63" w:rsidRPr="00670A7A" w:rsidRDefault="00670A7A">
      <w:pPr>
        <w:pBdr>
          <w:bottom w:val="single" w:sz="4" w:space="31" w:color="FFFFFF"/>
        </w:pBdr>
        <w:adjustRightInd w:val="0"/>
        <w:spacing w:line="600" w:lineRule="exact"/>
        <w:ind w:firstLineChars="200" w:firstLine="640"/>
        <w:textAlignment w:val="baseline"/>
        <w:rPr>
          <w:rFonts w:ascii="仿宋" w:eastAsia="仿宋" w:hAnsi="仿宋" w:cs="宋体"/>
          <w:kern w:val="0"/>
          <w:sz w:val="32"/>
          <w:szCs w:val="32"/>
        </w:rPr>
      </w:pPr>
      <w:r w:rsidRPr="00670A7A">
        <w:rPr>
          <w:rFonts w:ascii="仿宋" w:eastAsia="仿宋" w:hAnsi="仿宋" w:cs="宋体" w:hint="eastAsia"/>
          <w:kern w:val="0"/>
          <w:sz w:val="32"/>
          <w:szCs w:val="32"/>
        </w:rPr>
        <w:t>连江农商银行紧跟沿海渔业产业转型升级步伐，围绕烘干船舶这一新兴生产力业态，以定制化信贷服务助推渔业加工生产线从陆地搬迁至作业船舶，通过海上就地加工破解陆上建厂占地等难题。截至2025年，我行先后为2艘烘干船舶提供3300万元造船授信，以金融力量护航绿色远洋渔业发展。</w:t>
      </w:r>
    </w:p>
    <w:p w14:paraId="0009C164" w14:textId="77777777" w:rsidR="00174C63" w:rsidRDefault="00670A7A">
      <w:pPr>
        <w:pBdr>
          <w:bottom w:val="single" w:sz="4" w:space="31" w:color="FFFFFF"/>
        </w:pBdr>
        <w:adjustRightInd w:val="0"/>
        <w:spacing w:line="60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六、经营活动对气候与环境的影响</w:t>
      </w:r>
    </w:p>
    <w:p w14:paraId="011B246C" w14:textId="77777777" w:rsidR="00174C63" w:rsidRDefault="00670A7A">
      <w:pPr>
        <w:pBdr>
          <w:bottom w:val="single" w:sz="4" w:space="31" w:color="FFFFFF"/>
        </w:pBdr>
        <w:adjustRightInd w:val="0"/>
        <w:spacing w:line="600" w:lineRule="exact"/>
        <w:ind w:firstLineChars="200" w:firstLine="643"/>
        <w:textAlignment w:val="baseline"/>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（一）经营活动产生的资源消耗</w:t>
      </w:r>
    </w:p>
    <w:p w14:paraId="476C1394" w14:textId="77777777" w:rsidR="00174C63" w:rsidRDefault="00670A7A">
      <w:pPr>
        <w:pBdr>
          <w:bottom w:val="single" w:sz="4" w:space="31" w:color="FFFFFF"/>
        </w:pBdr>
        <w:adjustRightInd w:val="0"/>
        <w:spacing w:line="60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报告期内，连江农商给银行总部及各营业网点经营活动产生的资源消耗主要集中在自有车辆油耗、营业办公用电、用水、纸张耗材等。</w:t>
      </w:r>
    </w:p>
    <w:p w14:paraId="6A19B96F" w14:textId="77777777" w:rsidR="00174C63" w:rsidRDefault="00670A7A">
      <w:pPr>
        <w:pBdr>
          <w:bottom w:val="single" w:sz="4" w:space="31" w:color="FFFFFF"/>
        </w:pBdr>
        <w:adjustRightInd w:val="0"/>
        <w:spacing w:line="560" w:lineRule="exact"/>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表2：经营活动产生的资源消耗</w:t>
      </w:r>
    </w:p>
    <w:tbl>
      <w:tblPr>
        <w:tblStyle w:val="a5"/>
        <w:tblW w:w="0" w:type="auto"/>
        <w:tblLook w:val="04A0" w:firstRow="1" w:lastRow="0" w:firstColumn="1" w:lastColumn="0" w:noHBand="0" w:noVBand="1"/>
      </w:tblPr>
      <w:tblGrid>
        <w:gridCol w:w="2074"/>
        <w:gridCol w:w="2074"/>
        <w:gridCol w:w="2074"/>
        <w:gridCol w:w="2074"/>
      </w:tblGrid>
      <w:tr w:rsidR="00174C63" w14:paraId="5E5044DB" w14:textId="77777777">
        <w:tc>
          <w:tcPr>
            <w:tcW w:w="2074" w:type="dxa"/>
          </w:tcPr>
          <w:p w14:paraId="3A83799A" w14:textId="77777777" w:rsidR="00174C63" w:rsidRPr="009A7B76" w:rsidRDefault="00670A7A">
            <w:pPr>
              <w:rPr>
                <w:rFonts w:ascii="仿宋_GB2312" w:eastAsia="仿宋_GB2312" w:hAnsi="仿宋_GB2312" w:cs="仿宋_GB2312"/>
                <w:szCs w:val="21"/>
              </w:rPr>
            </w:pPr>
            <w:r w:rsidRPr="009A7B76">
              <w:rPr>
                <w:rFonts w:ascii="仿宋_GB2312" w:eastAsia="仿宋_GB2312" w:hAnsi="仿宋_GB2312" w:cs="仿宋_GB2312" w:hint="eastAsia"/>
                <w:szCs w:val="21"/>
              </w:rPr>
              <w:t>指标名称</w:t>
            </w:r>
          </w:p>
        </w:tc>
        <w:tc>
          <w:tcPr>
            <w:tcW w:w="2074" w:type="dxa"/>
          </w:tcPr>
          <w:p w14:paraId="7B2E6CF0" w14:textId="77777777" w:rsidR="00174C63" w:rsidRPr="009A7B76" w:rsidRDefault="00670A7A">
            <w:pPr>
              <w:jc w:val="center"/>
              <w:rPr>
                <w:rFonts w:ascii="仿宋_GB2312" w:eastAsia="仿宋_GB2312" w:hAnsi="仿宋_GB2312" w:cs="仿宋_GB2312"/>
                <w:szCs w:val="21"/>
              </w:rPr>
            </w:pPr>
            <w:r w:rsidRPr="009A7B76">
              <w:rPr>
                <w:rFonts w:ascii="仿宋_GB2312" w:eastAsia="仿宋_GB2312" w:hAnsi="仿宋_GB2312" w:cs="仿宋_GB2312" w:hint="eastAsia"/>
                <w:szCs w:val="21"/>
              </w:rPr>
              <w:t>披露事项</w:t>
            </w:r>
          </w:p>
        </w:tc>
        <w:tc>
          <w:tcPr>
            <w:tcW w:w="2074" w:type="dxa"/>
          </w:tcPr>
          <w:p w14:paraId="289EB5F6" w14:textId="77777777" w:rsidR="00174C63" w:rsidRPr="009A7B76" w:rsidRDefault="00670A7A">
            <w:pPr>
              <w:rPr>
                <w:rFonts w:ascii="仿宋_GB2312" w:eastAsia="仿宋_GB2312" w:hAnsi="仿宋_GB2312" w:cs="仿宋_GB2312"/>
                <w:szCs w:val="21"/>
              </w:rPr>
            </w:pPr>
            <w:r w:rsidRPr="009A7B76">
              <w:rPr>
                <w:rFonts w:ascii="仿宋_GB2312" w:eastAsia="仿宋_GB2312" w:hAnsi="仿宋_GB2312" w:cs="仿宋_GB2312" w:hint="eastAsia"/>
                <w:szCs w:val="21"/>
              </w:rPr>
              <w:t>总量</w:t>
            </w:r>
          </w:p>
        </w:tc>
        <w:tc>
          <w:tcPr>
            <w:tcW w:w="2074" w:type="dxa"/>
          </w:tcPr>
          <w:p w14:paraId="48336482" w14:textId="77777777" w:rsidR="00174C63" w:rsidRDefault="00670A7A">
            <w:pPr>
              <w:rPr>
                <w:rFonts w:ascii="仿宋_GB2312" w:eastAsia="仿宋_GB2312" w:hAnsi="仿宋_GB2312" w:cs="仿宋_GB2312"/>
                <w:color w:val="FF0000"/>
                <w:szCs w:val="21"/>
              </w:rPr>
            </w:pPr>
            <w:r w:rsidRPr="009A7B76">
              <w:rPr>
                <w:rFonts w:ascii="仿宋_GB2312" w:eastAsia="仿宋_GB2312" w:hAnsi="仿宋_GB2312" w:cs="仿宋_GB2312" w:hint="eastAsia"/>
                <w:szCs w:val="21"/>
              </w:rPr>
              <w:t>人均</w:t>
            </w:r>
          </w:p>
        </w:tc>
      </w:tr>
      <w:tr w:rsidR="00174C63" w14:paraId="5D8BF29A" w14:textId="77777777">
        <w:tc>
          <w:tcPr>
            <w:tcW w:w="2074" w:type="dxa"/>
            <w:vMerge w:val="restart"/>
          </w:tcPr>
          <w:p w14:paraId="7E8523CB" w14:textId="77777777" w:rsidR="00174C63" w:rsidRPr="009A7B76" w:rsidRDefault="00670A7A">
            <w:pPr>
              <w:rPr>
                <w:rFonts w:ascii="仿宋_GB2312" w:eastAsia="仿宋_GB2312" w:hAnsi="仿宋_GB2312" w:cs="仿宋_GB2312"/>
                <w:szCs w:val="21"/>
              </w:rPr>
            </w:pPr>
            <w:r w:rsidRPr="009A7B76">
              <w:rPr>
                <w:rFonts w:ascii="仿宋_GB2312" w:eastAsia="仿宋_GB2312" w:hAnsi="仿宋_GB2312" w:cs="仿宋_GB2312" w:hint="eastAsia"/>
                <w:szCs w:val="21"/>
              </w:rPr>
              <w:t>报告年度内经营管理活动产生的资源消耗</w:t>
            </w:r>
          </w:p>
        </w:tc>
        <w:tc>
          <w:tcPr>
            <w:tcW w:w="2074" w:type="dxa"/>
          </w:tcPr>
          <w:p w14:paraId="64F7597E" w14:textId="77777777" w:rsidR="00174C63" w:rsidRPr="009A7B76" w:rsidRDefault="00670A7A">
            <w:pPr>
              <w:rPr>
                <w:rFonts w:ascii="仿宋_GB2312" w:eastAsia="仿宋_GB2312" w:hAnsi="仿宋_GB2312" w:cs="仿宋_GB2312"/>
                <w:szCs w:val="21"/>
              </w:rPr>
            </w:pPr>
            <w:r w:rsidRPr="009A7B76">
              <w:rPr>
                <w:rFonts w:ascii="仿宋_GB2312" w:eastAsia="仿宋_GB2312" w:hAnsi="仿宋_GB2312" w:cs="仿宋_GB2312" w:hint="eastAsia"/>
                <w:szCs w:val="21"/>
              </w:rPr>
              <w:t>自有交通运输工具消耗燃油（升）</w:t>
            </w:r>
          </w:p>
        </w:tc>
        <w:tc>
          <w:tcPr>
            <w:tcW w:w="2074" w:type="dxa"/>
          </w:tcPr>
          <w:p w14:paraId="059387FD" w14:textId="242CBCF3" w:rsidR="00174C63" w:rsidRPr="009A7B76" w:rsidRDefault="009A7B76">
            <w:pPr>
              <w:rPr>
                <w:rFonts w:ascii="仿宋_GB2312" w:eastAsia="仿宋_GB2312" w:hAnsi="仿宋_GB2312" w:cs="仿宋_GB2312"/>
                <w:szCs w:val="21"/>
              </w:rPr>
            </w:pPr>
            <w:r w:rsidRPr="009A7B76">
              <w:rPr>
                <w:rFonts w:ascii="仿宋_GB2312" w:eastAsia="仿宋_GB2312" w:hAnsi="仿宋_GB2312" w:cs="仿宋_GB2312"/>
                <w:szCs w:val="21"/>
              </w:rPr>
              <w:t>4236.1</w:t>
            </w:r>
          </w:p>
        </w:tc>
        <w:tc>
          <w:tcPr>
            <w:tcW w:w="2074" w:type="dxa"/>
          </w:tcPr>
          <w:p w14:paraId="7F232C3E" w14:textId="7C1C29A9" w:rsidR="00174C63" w:rsidRPr="009A7B76" w:rsidRDefault="009A7B76">
            <w:pPr>
              <w:rPr>
                <w:rFonts w:ascii="仿宋_GB2312" w:eastAsia="仿宋_GB2312" w:hAnsi="仿宋_GB2312" w:cs="仿宋_GB2312"/>
                <w:szCs w:val="21"/>
              </w:rPr>
            </w:pPr>
            <w:r w:rsidRPr="009A7B76">
              <w:rPr>
                <w:rFonts w:ascii="仿宋_GB2312" w:eastAsia="仿宋_GB2312" w:hAnsi="仿宋_GB2312" w:cs="仿宋_GB2312"/>
                <w:szCs w:val="21"/>
              </w:rPr>
              <w:t>14.12</w:t>
            </w:r>
          </w:p>
        </w:tc>
      </w:tr>
      <w:tr w:rsidR="00174C63" w14:paraId="1828FCED" w14:textId="77777777">
        <w:tc>
          <w:tcPr>
            <w:tcW w:w="2074" w:type="dxa"/>
            <w:vMerge/>
          </w:tcPr>
          <w:p w14:paraId="16B7020E" w14:textId="77777777" w:rsidR="00174C63" w:rsidRPr="009A7B76" w:rsidRDefault="00174C63">
            <w:pPr>
              <w:rPr>
                <w:rFonts w:ascii="仿宋_GB2312" w:eastAsia="仿宋_GB2312" w:hAnsi="仿宋_GB2312" w:cs="仿宋_GB2312"/>
                <w:szCs w:val="21"/>
              </w:rPr>
            </w:pPr>
          </w:p>
        </w:tc>
        <w:tc>
          <w:tcPr>
            <w:tcW w:w="2074" w:type="dxa"/>
          </w:tcPr>
          <w:p w14:paraId="2EA92514" w14:textId="77777777" w:rsidR="00174C63" w:rsidRPr="009A7B76" w:rsidRDefault="00670A7A">
            <w:pPr>
              <w:rPr>
                <w:rFonts w:ascii="仿宋_GB2312" w:eastAsia="仿宋_GB2312" w:hAnsi="仿宋_GB2312" w:cs="仿宋_GB2312"/>
                <w:szCs w:val="21"/>
              </w:rPr>
            </w:pPr>
            <w:r w:rsidRPr="009A7B76">
              <w:rPr>
                <w:rFonts w:ascii="仿宋_GB2312" w:eastAsia="仿宋_GB2312" w:hAnsi="仿宋_GB2312" w:cs="仿宋_GB2312" w:hint="eastAsia"/>
                <w:szCs w:val="21"/>
              </w:rPr>
              <w:t>营业办公消耗电力（万千瓦）</w:t>
            </w:r>
          </w:p>
        </w:tc>
        <w:tc>
          <w:tcPr>
            <w:tcW w:w="2074" w:type="dxa"/>
          </w:tcPr>
          <w:p w14:paraId="59259F96" w14:textId="7915CA97" w:rsidR="00174C63" w:rsidRPr="009A7B76" w:rsidRDefault="002A5A17">
            <w:pPr>
              <w:rPr>
                <w:rFonts w:ascii="仿宋_GB2312" w:eastAsia="仿宋_GB2312" w:hAnsi="仿宋_GB2312" w:cs="仿宋_GB2312"/>
                <w:szCs w:val="21"/>
              </w:rPr>
            </w:pPr>
            <w:r w:rsidRPr="009A7B76">
              <w:rPr>
                <w:rFonts w:ascii="仿宋_GB2312" w:eastAsia="仿宋_GB2312" w:hAnsi="仿宋_GB2312" w:cs="仿宋_GB2312"/>
                <w:szCs w:val="21"/>
              </w:rPr>
              <w:t>210.13</w:t>
            </w:r>
          </w:p>
        </w:tc>
        <w:tc>
          <w:tcPr>
            <w:tcW w:w="2074" w:type="dxa"/>
          </w:tcPr>
          <w:p w14:paraId="44093DCA" w14:textId="77777777" w:rsidR="00174C63" w:rsidRDefault="00670A7A">
            <w:pPr>
              <w:rPr>
                <w:rFonts w:ascii="仿宋_GB2312" w:eastAsia="仿宋_GB2312" w:hAnsi="仿宋_GB2312" w:cs="仿宋_GB2312"/>
                <w:color w:val="FF0000"/>
                <w:szCs w:val="21"/>
              </w:rPr>
            </w:pPr>
            <w:r w:rsidRPr="00291C3D">
              <w:rPr>
                <w:rFonts w:ascii="仿宋_GB2312" w:eastAsia="仿宋_GB2312" w:hAnsi="仿宋_GB2312" w:cs="仿宋_GB2312" w:hint="eastAsia"/>
                <w:szCs w:val="21"/>
              </w:rPr>
              <w:t>0.</w:t>
            </w:r>
            <w:r w:rsidRPr="00291C3D">
              <w:rPr>
                <w:rFonts w:ascii="仿宋_GB2312" w:eastAsia="仿宋_GB2312" w:hAnsi="仿宋_GB2312" w:cs="仿宋_GB2312"/>
                <w:szCs w:val="21"/>
              </w:rPr>
              <w:t>7</w:t>
            </w:r>
          </w:p>
        </w:tc>
      </w:tr>
      <w:tr w:rsidR="00174C63" w14:paraId="65600561" w14:textId="77777777">
        <w:tc>
          <w:tcPr>
            <w:tcW w:w="2074" w:type="dxa"/>
            <w:vMerge/>
          </w:tcPr>
          <w:p w14:paraId="2E198589" w14:textId="77777777" w:rsidR="00174C63" w:rsidRPr="009A7B76" w:rsidRDefault="00174C63">
            <w:pPr>
              <w:rPr>
                <w:rFonts w:ascii="仿宋_GB2312" w:eastAsia="仿宋_GB2312" w:hAnsi="仿宋_GB2312" w:cs="仿宋_GB2312"/>
                <w:szCs w:val="21"/>
              </w:rPr>
            </w:pPr>
          </w:p>
        </w:tc>
        <w:tc>
          <w:tcPr>
            <w:tcW w:w="2074" w:type="dxa"/>
          </w:tcPr>
          <w:p w14:paraId="68F1B227" w14:textId="77777777" w:rsidR="00174C63" w:rsidRPr="009A7B76" w:rsidRDefault="00670A7A">
            <w:pPr>
              <w:rPr>
                <w:rFonts w:ascii="仿宋_GB2312" w:eastAsia="仿宋_GB2312" w:hAnsi="仿宋_GB2312" w:cs="仿宋_GB2312"/>
                <w:szCs w:val="21"/>
              </w:rPr>
            </w:pPr>
            <w:r w:rsidRPr="009A7B76">
              <w:rPr>
                <w:rFonts w:ascii="仿宋_GB2312" w:eastAsia="仿宋_GB2312" w:hAnsi="仿宋_GB2312" w:cs="仿宋_GB2312" w:hint="eastAsia"/>
                <w:szCs w:val="21"/>
              </w:rPr>
              <w:t>营业办公消耗水（吨）</w:t>
            </w:r>
          </w:p>
        </w:tc>
        <w:tc>
          <w:tcPr>
            <w:tcW w:w="2074" w:type="dxa"/>
          </w:tcPr>
          <w:p w14:paraId="1A45B321" w14:textId="26AAD97E" w:rsidR="00174C63" w:rsidRPr="009A7B76" w:rsidRDefault="00BA4F08">
            <w:pPr>
              <w:rPr>
                <w:rFonts w:ascii="仿宋_GB2312" w:eastAsia="仿宋_GB2312" w:hAnsi="仿宋_GB2312" w:cs="仿宋_GB2312"/>
                <w:szCs w:val="21"/>
              </w:rPr>
            </w:pPr>
            <w:r w:rsidRPr="009A7B76">
              <w:rPr>
                <w:rFonts w:ascii="仿宋_GB2312" w:eastAsia="仿宋_GB2312" w:hAnsi="仿宋_GB2312" w:cs="仿宋_GB2312"/>
                <w:szCs w:val="21"/>
              </w:rPr>
              <w:t>7616</w:t>
            </w:r>
          </w:p>
        </w:tc>
        <w:tc>
          <w:tcPr>
            <w:tcW w:w="2074" w:type="dxa"/>
          </w:tcPr>
          <w:p w14:paraId="18B01902" w14:textId="03668A79" w:rsidR="00174C63" w:rsidRPr="00BA4F08" w:rsidRDefault="00670A7A">
            <w:pPr>
              <w:rPr>
                <w:rFonts w:ascii="仿宋_GB2312" w:eastAsia="仿宋_GB2312" w:hAnsi="仿宋_GB2312" w:cs="仿宋_GB2312"/>
                <w:szCs w:val="21"/>
              </w:rPr>
            </w:pPr>
            <w:r w:rsidRPr="00BA4F08">
              <w:rPr>
                <w:rFonts w:ascii="仿宋_GB2312" w:eastAsia="仿宋_GB2312" w:hAnsi="仿宋_GB2312" w:cs="仿宋_GB2312" w:hint="eastAsia"/>
                <w:szCs w:val="21"/>
              </w:rPr>
              <w:t>2</w:t>
            </w:r>
            <w:r w:rsidRPr="00BA4F08">
              <w:rPr>
                <w:rFonts w:ascii="仿宋_GB2312" w:eastAsia="仿宋_GB2312" w:hAnsi="仿宋_GB2312" w:cs="仿宋_GB2312"/>
                <w:szCs w:val="21"/>
              </w:rPr>
              <w:t>5</w:t>
            </w:r>
            <w:r w:rsidR="00BA4F08" w:rsidRPr="00BA4F08">
              <w:rPr>
                <w:rFonts w:ascii="仿宋_GB2312" w:eastAsia="仿宋_GB2312" w:hAnsi="仿宋_GB2312" w:cs="仿宋_GB2312"/>
                <w:szCs w:val="21"/>
              </w:rPr>
              <w:t>.39</w:t>
            </w:r>
          </w:p>
        </w:tc>
      </w:tr>
      <w:tr w:rsidR="00174C63" w14:paraId="488FF6AC" w14:textId="77777777">
        <w:tc>
          <w:tcPr>
            <w:tcW w:w="2074" w:type="dxa"/>
            <w:vMerge/>
          </w:tcPr>
          <w:p w14:paraId="36337A5D" w14:textId="77777777" w:rsidR="00174C63" w:rsidRPr="009A7B76" w:rsidRDefault="00174C63">
            <w:pPr>
              <w:rPr>
                <w:rFonts w:ascii="仿宋_GB2312" w:eastAsia="仿宋_GB2312" w:hAnsi="仿宋_GB2312" w:cs="仿宋_GB2312"/>
                <w:szCs w:val="21"/>
              </w:rPr>
            </w:pPr>
          </w:p>
        </w:tc>
        <w:tc>
          <w:tcPr>
            <w:tcW w:w="2074" w:type="dxa"/>
          </w:tcPr>
          <w:p w14:paraId="7DA822A6" w14:textId="77777777" w:rsidR="00174C63" w:rsidRPr="009A7B76" w:rsidRDefault="00670A7A">
            <w:pPr>
              <w:rPr>
                <w:rFonts w:ascii="仿宋_GB2312" w:eastAsia="仿宋_GB2312" w:hAnsi="仿宋_GB2312" w:cs="仿宋_GB2312"/>
                <w:szCs w:val="21"/>
              </w:rPr>
            </w:pPr>
            <w:r w:rsidRPr="009A7B76">
              <w:rPr>
                <w:rFonts w:ascii="仿宋_GB2312" w:eastAsia="仿宋_GB2312" w:hAnsi="仿宋_GB2312" w:cs="仿宋_GB2312" w:hint="eastAsia"/>
                <w:szCs w:val="21"/>
              </w:rPr>
              <w:t>营业办公消耗纸张（吨）</w:t>
            </w:r>
          </w:p>
        </w:tc>
        <w:tc>
          <w:tcPr>
            <w:tcW w:w="2074" w:type="dxa"/>
          </w:tcPr>
          <w:p w14:paraId="14FBCCB1" w14:textId="396E8B44" w:rsidR="00174C63" w:rsidRPr="009A7B76" w:rsidRDefault="00534E2E">
            <w:pPr>
              <w:rPr>
                <w:rFonts w:ascii="仿宋_GB2312" w:eastAsia="仿宋_GB2312" w:hAnsi="仿宋_GB2312" w:cs="仿宋_GB2312"/>
                <w:szCs w:val="21"/>
              </w:rPr>
            </w:pPr>
            <w:r w:rsidRPr="009A7B76">
              <w:rPr>
                <w:rFonts w:ascii="仿宋_GB2312" w:eastAsia="仿宋_GB2312" w:hAnsi="仿宋_GB2312" w:cs="仿宋_GB2312"/>
                <w:szCs w:val="21"/>
              </w:rPr>
              <w:t>14.38</w:t>
            </w:r>
          </w:p>
        </w:tc>
        <w:tc>
          <w:tcPr>
            <w:tcW w:w="2074" w:type="dxa"/>
          </w:tcPr>
          <w:p w14:paraId="2BFCB6D0" w14:textId="47078F70" w:rsidR="00174C63" w:rsidRPr="00534E2E" w:rsidRDefault="00670A7A">
            <w:pPr>
              <w:rPr>
                <w:rFonts w:ascii="仿宋_GB2312" w:eastAsia="仿宋_GB2312" w:hAnsi="仿宋_GB2312" w:cs="仿宋_GB2312"/>
                <w:szCs w:val="21"/>
              </w:rPr>
            </w:pPr>
            <w:r w:rsidRPr="00534E2E">
              <w:rPr>
                <w:rFonts w:ascii="仿宋_GB2312" w:eastAsia="仿宋_GB2312" w:hAnsi="仿宋_GB2312" w:cs="仿宋_GB2312" w:hint="eastAsia"/>
                <w:szCs w:val="21"/>
              </w:rPr>
              <w:t>0</w:t>
            </w:r>
            <w:r w:rsidR="00534E2E" w:rsidRPr="00534E2E">
              <w:rPr>
                <w:rFonts w:ascii="仿宋_GB2312" w:eastAsia="仿宋_GB2312" w:hAnsi="仿宋_GB2312" w:cs="仿宋_GB2312"/>
                <w:szCs w:val="21"/>
              </w:rPr>
              <w:t>.048</w:t>
            </w:r>
          </w:p>
        </w:tc>
      </w:tr>
    </w:tbl>
    <w:p w14:paraId="367C1904" w14:textId="77777777" w:rsidR="00174C63" w:rsidRDefault="00670A7A">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（二）环保措施及成果</w:t>
      </w:r>
    </w:p>
    <w:p w14:paraId="633D06D4"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积极打造节能降耗办公氛围。提高能源利用效率，实现节能降耗、保护环境、降本增效的可持续发展目标，倡导全体员工在办公活动中节约资源，减少水、电、纸、油等能源的直接和间接损耗，提高能源效率和保护环境严格遵守环境保护相关法律法规。</w:t>
      </w:r>
    </w:p>
    <w:p w14:paraId="6746A117" w14:textId="77777777" w:rsidR="00174C63" w:rsidRDefault="00670A7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表3：环保措施及成果</w:t>
      </w:r>
    </w:p>
    <w:tbl>
      <w:tblPr>
        <w:tblStyle w:val="a5"/>
        <w:tblpPr w:leftFromText="180" w:rightFromText="180" w:vertAnchor="text" w:horzAnchor="page" w:tblpX="1763" w:tblpY="591"/>
        <w:tblOverlap w:val="never"/>
        <w:tblW w:w="0" w:type="auto"/>
        <w:tblLook w:val="04A0" w:firstRow="1" w:lastRow="0" w:firstColumn="1" w:lastColumn="0" w:noHBand="0" w:noVBand="1"/>
      </w:tblPr>
      <w:tblGrid>
        <w:gridCol w:w="2765"/>
        <w:gridCol w:w="2765"/>
        <w:gridCol w:w="2766"/>
      </w:tblGrid>
      <w:tr w:rsidR="00174C63" w14:paraId="1D314A55" w14:textId="77777777">
        <w:tc>
          <w:tcPr>
            <w:tcW w:w="2765" w:type="dxa"/>
          </w:tcPr>
          <w:p w14:paraId="1BA134EB"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管理内容</w:t>
            </w:r>
          </w:p>
        </w:tc>
        <w:tc>
          <w:tcPr>
            <w:tcW w:w="2765" w:type="dxa"/>
          </w:tcPr>
          <w:p w14:paraId="749249D6"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管理措施</w:t>
            </w:r>
          </w:p>
        </w:tc>
        <w:tc>
          <w:tcPr>
            <w:tcW w:w="2766" w:type="dxa"/>
          </w:tcPr>
          <w:p w14:paraId="5C84DE0B"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执行效果</w:t>
            </w:r>
          </w:p>
        </w:tc>
      </w:tr>
      <w:tr w:rsidR="00174C63" w14:paraId="60B92718" w14:textId="77777777">
        <w:tc>
          <w:tcPr>
            <w:tcW w:w="2765" w:type="dxa"/>
          </w:tcPr>
          <w:p w14:paraId="699C18CF"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节电管理</w:t>
            </w:r>
          </w:p>
        </w:tc>
        <w:tc>
          <w:tcPr>
            <w:tcW w:w="2765" w:type="dxa"/>
          </w:tcPr>
          <w:p w14:paraId="67F54FB0"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加强对照明设备、空调、办公室设备、电梯等电器设备的管理，要求本行全体员工根据实际内外部情况按需使用，及时对各设施更新换代，积极使用节电设备</w:t>
            </w:r>
          </w:p>
        </w:tc>
        <w:tc>
          <w:tcPr>
            <w:tcW w:w="2766" w:type="dxa"/>
          </w:tcPr>
          <w:p w14:paraId="75F7071D"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提高能源使用效率</w:t>
            </w:r>
          </w:p>
        </w:tc>
      </w:tr>
      <w:tr w:rsidR="00174C63" w14:paraId="6D93703A" w14:textId="77777777">
        <w:tc>
          <w:tcPr>
            <w:tcW w:w="2765" w:type="dxa"/>
          </w:tcPr>
          <w:p w14:paraId="72A0EEFD"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节水管理</w:t>
            </w:r>
          </w:p>
        </w:tc>
        <w:tc>
          <w:tcPr>
            <w:tcW w:w="2765" w:type="dxa"/>
          </w:tcPr>
          <w:p w14:paraId="31AB36EC"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通过制定对水龙头、饮用水、用水设 备等设施的使用规范，加强水资源管 理，对行内员工提出合理用水的要求</w:t>
            </w:r>
          </w:p>
        </w:tc>
        <w:tc>
          <w:tcPr>
            <w:tcW w:w="2766" w:type="dxa"/>
          </w:tcPr>
          <w:p w14:paraId="648EC149"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减少水资源使用效率</w:t>
            </w:r>
          </w:p>
        </w:tc>
      </w:tr>
      <w:tr w:rsidR="00174C63" w14:paraId="53C45C77" w14:textId="77777777">
        <w:tc>
          <w:tcPr>
            <w:tcW w:w="2765" w:type="dxa"/>
          </w:tcPr>
          <w:p w14:paraId="6FC25EE6"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节材管理</w:t>
            </w:r>
          </w:p>
        </w:tc>
        <w:tc>
          <w:tcPr>
            <w:tcW w:w="2765" w:type="dxa"/>
          </w:tcPr>
          <w:p w14:paraId="2268FF91"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积极响应垃圾分类、可回收资源再利 用等政策号召，在行内推广无纸化办公，倡导员工合理规划，节约用纸， 减少纸张使用频率，提高纸张使用效率。</w:t>
            </w:r>
          </w:p>
        </w:tc>
        <w:tc>
          <w:tcPr>
            <w:tcW w:w="2766" w:type="dxa"/>
          </w:tcPr>
          <w:p w14:paraId="77CA5432"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提高低值易耗品使用率</w:t>
            </w:r>
          </w:p>
        </w:tc>
      </w:tr>
      <w:tr w:rsidR="00174C63" w14:paraId="40111E10" w14:textId="77777777">
        <w:tc>
          <w:tcPr>
            <w:tcW w:w="2765" w:type="dxa"/>
          </w:tcPr>
          <w:p w14:paraId="7213C453"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节油管理</w:t>
            </w:r>
          </w:p>
        </w:tc>
        <w:tc>
          <w:tcPr>
            <w:tcW w:w="2765" w:type="dxa"/>
          </w:tcPr>
          <w:p w14:paraId="1D285706"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严格执行国家相关规定，加强全行范 围内的车辆管理及燃油管理，同时加强员工宣传教育，倡导绿色出行。</w:t>
            </w:r>
          </w:p>
        </w:tc>
        <w:tc>
          <w:tcPr>
            <w:tcW w:w="2766" w:type="dxa"/>
          </w:tcPr>
          <w:p w14:paraId="697DD947"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提高节能减排成效</w:t>
            </w:r>
          </w:p>
        </w:tc>
      </w:tr>
      <w:tr w:rsidR="00174C63" w14:paraId="586E0B6C" w14:textId="77777777">
        <w:tc>
          <w:tcPr>
            <w:tcW w:w="2765" w:type="dxa"/>
          </w:tcPr>
          <w:p w14:paraId="7E003967"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节粮管理</w:t>
            </w:r>
          </w:p>
        </w:tc>
        <w:tc>
          <w:tcPr>
            <w:tcW w:w="2765" w:type="dxa"/>
          </w:tcPr>
          <w:p w14:paraId="6C5A8B62"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鼓励员工文明餐饮，树牢节约意识， 开展光盘行动，自觉践行绿色健康生活方式，在办公及日常生活中节约能 源、保护环境，弘扬崇俭抑奢的正能量。</w:t>
            </w:r>
          </w:p>
        </w:tc>
        <w:tc>
          <w:tcPr>
            <w:tcW w:w="2766" w:type="dxa"/>
          </w:tcPr>
          <w:p w14:paraId="7B0F8948" w14:textId="77777777" w:rsidR="00174C63" w:rsidRDefault="00670A7A">
            <w:pPr>
              <w:rPr>
                <w:rFonts w:ascii="仿宋_GB2312" w:eastAsia="仿宋_GB2312" w:hAnsi="仿宋_GB2312" w:cs="仿宋_GB2312"/>
                <w:szCs w:val="21"/>
              </w:rPr>
            </w:pPr>
            <w:r>
              <w:rPr>
                <w:rFonts w:ascii="仿宋_GB2312" w:eastAsia="仿宋_GB2312" w:hAnsi="仿宋_GB2312" w:cs="仿宋_GB2312" w:hint="eastAsia"/>
                <w:szCs w:val="21"/>
              </w:rPr>
              <w:t>提升节约意识</w:t>
            </w:r>
          </w:p>
        </w:tc>
      </w:tr>
    </w:tbl>
    <w:p w14:paraId="2B5797CC" w14:textId="77777777" w:rsidR="00762FDB" w:rsidRDefault="00762FDB">
      <w:pPr>
        <w:ind w:firstLineChars="200" w:firstLine="640"/>
        <w:rPr>
          <w:rFonts w:ascii="仿宋_GB2312" w:eastAsia="仿宋_GB2312" w:hAnsi="仿宋_GB2312" w:cs="仿宋_GB2312"/>
          <w:sz w:val="32"/>
          <w:szCs w:val="32"/>
        </w:rPr>
      </w:pPr>
    </w:p>
    <w:p w14:paraId="674D257C" w14:textId="77777777" w:rsidR="00174C63" w:rsidRDefault="00670A7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2.持续开展绿色金融宣传教育。高度重视绿色金融宣传</w:t>
      </w:r>
      <w:r>
        <w:rPr>
          <w:rFonts w:ascii="仿宋_GB2312" w:eastAsia="仿宋_GB2312" w:hAnsi="仿宋_GB2312" w:cs="仿宋_GB2312" w:hint="eastAsia"/>
          <w:sz w:val="32"/>
          <w:szCs w:val="32"/>
        </w:rPr>
        <w:lastRenderedPageBreak/>
        <w:t>工作，充分利用网点 LED、巨幕电视以及绿色金融专柜、绿色金融窗口开展本行绿色金融文化宣传，深入开展进社区、街道、园区、企业等形式多样的绿色金融宣传活动，多视角、多层次、多渠道向社会公众介绍本行绿色金融发展成效，推介绿色金融产品和特色经验。</w:t>
      </w:r>
    </w:p>
    <w:p w14:paraId="43C2AF97" w14:textId="77777777" w:rsidR="00174C63" w:rsidRDefault="00670A7A">
      <w:pPr>
        <w:ind w:firstLineChars="200" w:firstLine="640"/>
        <w:rPr>
          <w:rFonts w:ascii="黑体" w:eastAsia="黑体" w:hAnsi="黑体" w:cs="黑体"/>
          <w:sz w:val="32"/>
          <w:szCs w:val="32"/>
        </w:rPr>
      </w:pPr>
      <w:r>
        <w:rPr>
          <w:rFonts w:ascii="黑体" w:eastAsia="黑体" w:hAnsi="黑体" w:cs="黑体" w:hint="eastAsia"/>
          <w:sz w:val="32"/>
          <w:szCs w:val="32"/>
        </w:rPr>
        <w:t>七、投融资活动对气候与环境的影响</w:t>
      </w:r>
    </w:p>
    <w:p w14:paraId="6596753B" w14:textId="2871A870" w:rsidR="00174C63" w:rsidRDefault="00670A7A">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作为长期服务“海洋强县”建设的地方金融机构，连江农商银行</w:t>
      </w:r>
      <w:r>
        <w:rPr>
          <w:rFonts w:ascii="仿宋_GB2312" w:eastAsia="仿宋_GB2312" w:hAnsi="仿宋_GB2312" w:cs="仿宋_GB2312" w:hint="eastAsia"/>
          <w:color w:val="000000" w:themeColor="text1"/>
          <w:sz w:val="32"/>
          <w:szCs w:val="32"/>
        </w:rPr>
        <w:t>积极融入海洋经济发展战略布局，与政府部门、县海洋与渔业局、鲍鱼协会、海洋电商协会、沿海乡镇深度融合，持续丰富海洋金融产品矩阵，构建海产品全产业链、供应链金融服务模式，创新绿色金融产品和模式，奋力推进海洋经济高质量发展。至202</w:t>
      </w:r>
      <w:r>
        <w:rPr>
          <w:rFonts w:ascii="仿宋_GB2312" w:eastAsia="仿宋_GB2312" w:hAnsi="仿宋_GB2312" w:cs="仿宋_GB2312"/>
          <w:color w:val="000000" w:themeColor="text1"/>
          <w:sz w:val="32"/>
          <w:szCs w:val="32"/>
        </w:rPr>
        <w:t>5</w:t>
      </w:r>
      <w:r>
        <w:rPr>
          <w:rFonts w:ascii="仿宋_GB2312" w:eastAsia="仿宋_GB2312" w:hAnsi="仿宋_GB2312" w:cs="仿宋_GB2312" w:hint="eastAsia"/>
          <w:color w:val="000000" w:themeColor="text1"/>
          <w:sz w:val="32"/>
          <w:szCs w:val="32"/>
        </w:rPr>
        <w:t>年末，绿色信贷余额</w:t>
      </w:r>
      <w:r>
        <w:rPr>
          <w:rFonts w:ascii="仿宋_GB2312" w:eastAsia="仿宋_GB2312" w:hAnsi="仿宋_GB2312" w:cs="仿宋_GB2312"/>
          <w:color w:val="000000" w:themeColor="text1"/>
          <w:sz w:val="32"/>
          <w:szCs w:val="32"/>
        </w:rPr>
        <w:t>47547.26</w:t>
      </w:r>
      <w:r>
        <w:rPr>
          <w:rFonts w:ascii="仿宋_GB2312" w:eastAsia="仿宋_GB2312" w:hAnsi="仿宋_GB2312" w:cs="仿宋_GB2312" w:hint="eastAsia"/>
          <w:color w:val="000000" w:themeColor="text1"/>
          <w:sz w:val="32"/>
          <w:szCs w:val="32"/>
        </w:rPr>
        <w:t>万元，近三年绿色信贷增量</w:t>
      </w:r>
      <w:r>
        <w:rPr>
          <w:rFonts w:ascii="仿宋_GB2312" w:eastAsia="仿宋_GB2312" w:hAnsi="仿宋_GB2312" w:cs="仿宋_GB2312"/>
          <w:color w:val="000000" w:themeColor="text1"/>
          <w:sz w:val="32"/>
          <w:szCs w:val="32"/>
        </w:rPr>
        <w:t>45334.76</w:t>
      </w:r>
      <w:r>
        <w:rPr>
          <w:rFonts w:ascii="仿宋_GB2312" w:eastAsia="仿宋_GB2312" w:hAnsi="仿宋_GB2312" w:cs="仿宋_GB2312" w:hint="eastAsia"/>
          <w:color w:val="000000" w:themeColor="text1"/>
          <w:sz w:val="32"/>
          <w:szCs w:val="32"/>
        </w:rPr>
        <w:t>万元；绿色信贷户数1</w:t>
      </w:r>
      <w:r>
        <w:rPr>
          <w:rFonts w:ascii="仿宋_GB2312" w:eastAsia="仿宋_GB2312" w:hAnsi="仿宋_GB2312" w:cs="仿宋_GB2312"/>
          <w:color w:val="000000" w:themeColor="text1"/>
          <w:sz w:val="32"/>
          <w:szCs w:val="32"/>
        </w:rPr>
        <w:t>88</w:t>
      </w:r>
      <w:r>
        <w:rPr>
          <w:rFonts w:ascii="仿宋_GB2312" w:eastAsia="仿宋_GB2312" w:hAnsi="仿宋_GB2312" w:cs="仿宋_GB2312" w:hint="eastAsia"/>
          <w:color w:val="000000" w:themeColor="text1"/>
          <w:sz w:val="32"/>
          <w:szCs w:val="32"/>
        </w:rPr>
        <w:t>户，近三年绿色信贷户数增量</w:t>
      </w:r>
      <w:r>
        <w:rPr>
          <w:rFonts w:ascii="仿宋_GB2312" w:eastAsia="仿宋_GB2312" w:hAnsi="仿宋_GB2312" w:cs="仿宋_GB2312"/>
          <w:color w:val="000000" w:themeColor="text1"/>
          <w:sz w:val="32"/>
          <w:szCs w:val="32"/>
        </w:rPr>
        <w:t>168</w:t>
      </w:r>
      <w:r>
        <w:rPr>
          <w:rFonts w:ascii="仿宋_GB2312" w:eastAsia="仿宋_GB2312" w:hAnsi="仿宋_GB2312" w:cs="仿宋_GB2312" w:hint="eastAsia"/>
          <w:color w:val="000000" w:themeColor="text1"/>
          <w:sz w:val="32"/>
          <w:szCs w:val="32"/>
        </w:rPr>
        <w:t>户。</w:t>
      </w:r>
      <w:r>
        <w:rPr>
          <w:rFonts w:ascii="仿宋_GB2312" w:eastAsia="仿宋_GB2312" w:hAnsi="仿宋_GB2312" w:cs="仿宋_GB2312"/>
          <w:color w:val="000000" w:themeColor="text1"/>
          <w:sz w:val="32"/>
          <w:szCs w:val="32"/>
        </w:rPr>
        <w:cr/>
        <w:t xml:space="preserve">         </w:t>
      </w:r>
      <w:r>
        <w:rPr>
          <w:rFonts w:ascii="仿宋_GB2312" w:eastAsia="仿宋_GB2312" w:hAnsi="仿宋_GB2312" w:cs="仿宋_GB2312" w:hint="eastAsia"/>
          <w:color w:val="000000" w:themeColor="text1"/>
          <w:sz w:val="32"/>
          <w:szCs w:val="32"/>
        </w:rPr>
        <w:t>表</w:t>
      </w:r>
      <w:r w:rsidR="00762FDB">
        <w:rPr>
          <w:rFonts w:ascii="仿宋_GB2312" w:eastAsia="仿宋_GB2312" w:hAnsi="仿宋_GB2312" w:cs="仿宋_GB2312"/>
          <w:color w:val="000000" w:themeColor="text1"/>
          <w:sz w:val="32"/>
          <w:szCs w:val="32"/>
        </w:rPr>
        <w:t>4</w:t>
      </w:r>
      <w:r>
        <w:rPr>
          <w:rFonts w:ascii="仿宋_GB2312" w:eastAsia="仿宋_GB2312" w:hAnsi="仿宋_GB2312" w:cs="仿宋_GB2312" w:hint="eastAsia"/>
          <w:color w:val="000000" w:themeColor="text1"/>
          <w:sz w:val="32"/>
          <w:szCs w:val="32"/>
        </w:rPr>
        <w:t>：投融资活动对气候与环境的影响</w:t>
      </w:r>
    </w:p>
    <w:tbl>
      <w:tblPr>
        <w:tblStyle w:val="a5"/>
        <w:tblW w:w="0" w:type="auto"/>
        <w:tblLook w:val="04A0" w:firstRow="1" w:lastRow="0" w:firstColumn="1" w:lastColumn="0" w:noHBand="0" w:noVBand="1"/>
      </w:tblPr>
      <w:tblGrid>
        <w:gridCol w:w="2074"/>
        <w:gridCol w:w="2074"/>
        <w:gridCol w:w="2074"/>
        <w:gridCol w:w="2074"/>
      </w:tblGrid>
      <w:tr w:rsidR="00174C63" w14:paraId="6ECE2144" w14:textId="77777777">
        <w:tc>
          <w:tcPr>
            <w:tcW w:w="2074" w:type="dxa"/>
          </w:tcPr>
          <w:p w14:paraId="2471CA39"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指标名称</w:t>
            </w:r>
          </w:p>
        </w:tc>
        <w:tc>
          <w:tcPr>
            <w:tcW w:w="2074" w:type="dxa"/>
          </w:tcPr>
          <w:p w14:paraId="6174A1AF"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披露事项</w:t>
            </w:r>
          </w:p>
        </w:tc>
        <w:tc>
          <w:tcPr>
            <w:tcW w:w="2074" w:type="dxa"/>
          </w:tcPr>
          <w:p w14:paraId="373E2111"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披露数据</w:t>
            </w:r>
          </w:p>
        </w:tc>
        <w:tc>
          <w:tcPr>
            <w:tcW w:w="2074" w:type="dxa"/>
          </w:tcPr>
          <w:p w14:paraId="6A4D946D"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备注</w:t>
            </w:r>
          </w:p>
        </w:tc>
      </w:tr>
      <w:tr w:rsidR="00174C63" w14:paraId="2C433C33" w14:textId="77777777">
        <w:tc>
          <w:tcPr>
            <w:tcW w:w="2074" w:type="dxa"/>
            <w:vMerge w:val="restart"/>
          </w:tcPr>
          <w:p w14:paraId="15BBB60E"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绿色贷款余额及占比</w:t>
            </w:r>
          </w:p>
        </w:tc>
        <w:tc>
          <w:tcPr>
            <w:tcW w:w="2074" w:type="dxa"/>
          </w:tcPr>
          <w:p w14:paraId="76A411D4"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绿色信贷余额（万元）</w:t>
            </w:r>
          </w:p>
        </w:tc>
        <w:tc>
          <w:tcPr>
            <w:tcW w:w="2074" w:type="dxa"/>
          </w:tcPr>
          <w:p w14:paraId="23500177"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color w:val="000000" w:themeColor="text1"/>
                <w:szCs w:val="21"/>
              </w:rPr>
              <w:t>47547.26</w:t>
            </w:r>
          </w:p>
        </w:tc>
        <w:tc>
          <w:tcPr>
            <w:tcW w:w="2074" w:type="dxa"/>
          </w:tcPr>
          <w:p w14:paraId="25EE344C" w14:textId="77777777" w:rsidR="00174C63" w:rsidRDefault="00174C63">
            <w:pPr>
              <w:rPr>
                <w:rFonts w:ascii="仿宋_GB2312" w:eastAsia="仿宋_GB2312" w:hAnsi="仿宋_GB2312" w:cs="仿宋_GB2312"/>
                <w:color w:val="000000" w:themeColor="text1"/>
                <w:szCs w:val="21"/>
              </w:rPr>
            </w:pPr>
          </w:p>
        </w:tc>
      </w:tr>
      <w:tr w:rsidR="00174C63" w14:paraId="4164FD5E" w14:textId="77777777">
        <w:tc>
          <w:tcPr>
            <w:tcW w:w="2074" w:type="dxa"/>
            <w:vMerge/>
          </w:tcPr>
          <w:p w14:paraId="5F70AAF4" w14:textId="77777777" w:rsidR="00174C63" w:rsidRDefault="00174C63">
            <w:pPr>
              <w:rPr>
                <w:rFonts w:ascii="仿宋_GB2312" w:eastAsia="仿宋_GB2312" w:hAnsi="仿宋_GB2312" w:cs="仿宋_GB2312"/>
                <w:color w:val="000000" w:themeColor="text1"/>
                <w:szCs w:val="21"/>
              </w:rPr>
            </w:pPr>
          </w:p>
        </w:tc>
        <w:tc>
          <w:tcPr>
            <w:tcW w:w="2074" w:type="dxa"/>
          </w:tcPr>
          <w:p w14:paraId="7ADEB570"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各项贷款余额（万元）</w:t>
            </w:r>
          </w:p>
        </w:tc>
        <w:tc>
          <w:tcPr>
            <w:tcW w:w="2074" w:type="dxa"/>
          </w:tcPr>
          <w:p w14:paraId="45B31CC7"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color w:val="000000" w:themeColor="text1"/>
                <w:szCs w:val="21"/>
              </w:rPr>
              <w:t>1327364.54</w:t>
            </w:r>
          </w:p>
        </w:tc>
        <w:tc>
          <w:tcPr>
            <w:tcW w:w="2074" w:type="dxa"/>
          </w:tcPr>
          <w:p w14:paraId="706F8AFF" w14:textId="77777777" w:rsidR="00174C63" w:rsidRDefault="00174C63">
            <w:pPr>
              <w:rPr>
                <w:rFonts w:ascii="仿宋_GB2312" w:eastAsia="仿宋_GB2312" w:hAnsi="仿宋_GB2312" w:cs="仿宋_GB2312"/>
                <w:color w:val="000000" w:themeColor="text1"/>
                <w:szCs w:val="21"/>
              </w:rPr>
            </w:pPr>
          </w:p>
        </w:tc>
      </w:tr>
      <w:tr w:rsidR="00174C63" w14:paraId="244E2AA0" w14:textId="77777777">
        <w:tc>
          <w:tcPr>
            <w:tcW w:w="2074" w:type="dxa"/>
            <w:vMerge/>
          </w:tcPr>
          <w:p w14:paraId="79281765" w14:textId="77777777" w:rsidR="00174C63" w:rsidRDefault="00174C63">
            <w:pPr>
              <w:rPr>
                <w:rFonts w:ascii="仿宋_GB2312" w:eastAsia="仿宋_GB2312" w:hAnsi="仿宋_GB2312" w:cs="仿宋_GB2312"/>
                <w:color w:val="000000" w:themeColor="text1"/>
                <w:szCs w:val="21"/>
              </w:rPr>
            </w:pPr>
          </w:p>
        </w:tc>
        <w:tc>
          <w:tcPr>
            <w:tcW w:w="2074" w:type="dxa"/>
          </w:tcPr>
          <w:p w14:paraId="59853B02"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绿色贷款占比（%）</w:t>
            </w:r>
          </w:p>
        </w:tc>
        <w:tc>
          <w:tcPr>
            <w:tcW w:w="2074" w:type="dxa"/>
          </w:tcPr>
          <w:p w14:paraId="39F762EE" w14:textId="77777777" w:rsidR="00174C63" w:rsidRDefault="00670A7A">
            <w:pPr>
              <w:rPr>
                <w:rFonts w:ascii="宋体" w:eastAsia="宋体" w:hAnsi="宋体" w:cs="宋体"/>
                <w:color w:val="000000" w:themeColor="text1"/>
                <w:kern w:val="0"/>
                <w:sz w:val="24"/>
                <w:szCs w:val="24"/>
              </w:rPr>
            </w:pPr>
            <w:r>
              <w:rPr>
                <w:rFonts w:ascii="仿宋_GB2312" w:eastAsia="仿宋_GB2312" w:hAnsi="仿宋_GB2312" w:cs="仿宋_GB2312"/>
                <w:color w:val="000000" w:themeColor="text1"/>
                <w:szCs w:val="21"/>
              </w:rPr>
              <w:t>3.58</w:t>
            </w:r>
          </w:p>
        </w:tc>
        <w:tc>
          <w:tcPr>
            <w:tcW w:w="2074" w:type="dxa"/>
          </w:tcPr>
          <w:p w14:paraId="612114A4" w14:textId="77777777" w:rsidR="00174C63" w:rsidRDefault="00174C63">
            <w:pPr>
              <w:rPr>
                <w:rFonts w:ascii="仿宋_GB2312" w:eastAsia="仿宋_GB2312" w:hAnsi="仿宋_GB2312" w:cs="仿宋_GB2312"/>
                <w:color w:val="000000" w:themeColor="text1"/>
                <w:szCs w:val="21"/>
              </w:rPr>
            </w:pPr>
          </w:p>
        </w:tc>
      </w:tr>
      <w:tr w:rsidR="00174C63" w14:paraId="10B904E5" w14:textId="77777777">
        <w:tc>
          <w:tcPr>
            <w:tcW w:w="2074" w:type="dxa"/>
          </w:tcPr>
          <w:p w14:paraId="4B25780A"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持有绿色债券余额及折合减排情况</w:t>
            </w:r>
          </w:p>
        </w:tc>
        <w:tc>
          <w:tcPr>
            <w:tcW w:w="2074" w:type="dxa"/>
          </w:tcPr>
          <w:p w14:paraId="48F3B6D8"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持有绿色债券余额（万元）</w:t>
            </w:r>
          </w:p>
        </w:tc>
        <w:tc>
          <w:tcPr>
            <w:tcW w:w="2074" w:type="dxa"/>
          </w:tcPr>
          <w:p w14:paraId="7F8D102F" w14:textId="77777777" w:rsidR="00174C63" w:rsidRDefault="00670A7A">
            <w:pP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0</w:t>
            </w:r>
          </w:p>
        </w:tc>
        <w:tc>
          <w:tcPr>
            <w:tcW w:w="2074" w:type="dxa"/>
          </w:tcPr>
          <w:p w14:paraId="7229B729" w14:textId="77777777" w:rsidR="00174C63" w:rsidRDefault="00174C63">
            <w:pPr>
              <w:rPr>
                <w:rFonts w:ascii="仿宋_GB2312" w:eastAsia="仿宋_GB2312" w:hAnsi="仿宋_GB2312" w:cs="仿宋_GB2312"/>
                <w:color w:val="000000" w:themeColor="text1"/>
                <w:szCs w:val="21"/>
              </w:rPr>
            </w:pPr>
          </w:p>
        </w:tc>
      </w:tr>
    </w:tbl>
    <w:p w14:paraId="5F41C40E" w14:textId="77777777" w:rsidR="00174C63" w:rsidRDefault="00670A7A">
      <w:pPr>
        <w:ind w:firstLineChars="200" w:firstLine="640"/>
        <w:rPr>
          <w:rFonts w:ascii="黑体" w:eastAsia="黑体" w:hAnsi="黑体" w:cs="黑体"/>
          <w:sz w:val="32"/>
          <w:szCs w:val="32"/>
        </w:rPr>
      </w:pPr>
      <w:r>
        <w:rPr>
          <w:rFonts w:ascii="黑体" w:eastAsia="黑体" w:hAnsi="黑体" w:cs="黑体" w:hint="eastAsia"/>
          <w:sz w:val="32"/>
          <w:szCs w:val="32"/>
        </w:rPr>
        <w:t>八、未来展望</w:t>
      </w:r>
    </w:p>
    <w:p w14:paraId="2C571D9E" w14:textId="77777777" w:rsidR="00174C63" w:rsidRDefault="00670A7A">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下一步，连江农商银行将坚守支农支小定位，以党建引领业务发展，聚焦海洋产业、绿色低碳等重点领域，充分发</w:t>
      </w:r>
      <w:r>
        <w:rPr>
          <w:rFonts w:ascii="仿宋_GB2312" w:eastAsia="仿宋_GB2312" w:hAnsi="仿宋_GB2312" w:cs="仿宋_GB2312" w:hint="eastAsia"/>
          <w:color w:val="000000" w:themeColor="text1"/>
          <w:sz w:val="32"/>
          <w:szCs w:val="32"/>
        </w:rPr>
        <w:lastRenderedPageBreak/>
        <w:t>挥地方法人机构决策高效、服务便捷的优势，持续优化 “党建 + 金融助理 + 多社融合” 服务模式，加大绿色金融与海洋经济信贷投放，创新产品服务、提升服务质效，以金融力量助力连江建设 “海上福州” 桥头堡，推动海洋经济绿色高质量发展。</w:t>
      </w:r>
      <w:r>
        <w:rPr>
          <w:rFonts w:ascii="仿宋_GB2312" w:eastAsia="仿宋_GB2312" w:hAnsi="仿宋_GB2312" w:cs="仿宋_GB2312" w:hint="eastAsia"/>
          <w:color w:val="000000" w:themeColor="text1"/>
          <w:sz w:val="32"/>
          <w:szCs w:val="32"/>
        </w:rPr>
        <w:cr/>
      </w:r>
    </w:p>
    <w:p w14:paraId="1A56B7D6" w14:textId="77777777" w:rsidR="00174C63" w:rsidRDefault="00174C63">
      <w:pPr>
        <w:ind w:firstLineChars="200" w:firstLine="640"/>
        <w:rPr>
          <w:sz w:val="32"/>
          <w:szCs w:val="32"/>
        </w:rPr>
      </w:pPr>
    </w:p>
    <w:sectPr w:rsidR="00174C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E77D0" w14:textId="77777777" w:rsidR="00E534AA" w:rsidRDefault="00E534AA" w:rsidP="002A5A17">
      <w:r>
        <w:separator/>
      </w:r>
    </w:p>
  </w:endnote>
  <w:endnote w:type="continuationSeparator" w:id="0">
    <w:p w14:paraId="0BC34814" w14:textId="77777777" w:rsidR="00E534AA" w:rsidRDefault="00E534AA" w:rsidP="002A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9D75D" w14:textId="77777777" w:rsidR="00E534AA" w:rsidRDefault="00E534AA" w:rsidP="002A5A17">
      <w:r>
        <w:separator/>
      </w:r>
    </w:p>
  </w:footnote>
  <w:footnote w:type="continuationSeparator" w:id="0">
    <w:p w14:paraId="1BEC1B16" w14:textId="77777777" w:rsidR="00E534AA" w:rsidRDefault="00E534AA" w:rsidP="002A5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YTBkNjcyZjExNWZhZGVjZmFiNGM2ZjEwMWYzMmYifQ=="/>
  </w:docVars>
  <w:rsids>
    <w:rsidRoot w:val="00150228"/>
    <w:rsid w:val="0002446A"/>
    <w:rsid w:val="00037B93"/>
    <w:rsid w:val="00060BC9"/>
    <w:rsid w:val="000656D8"/>
    <w:rsid w:val="000E60DA"/>
    <w:rsid w:val="0010241A"/>
    <w:rsid w:val="0012561C"/>
    <w:rsid w:val="00150228"/>
    <w:rsid w:val="001516DF"/>
    <w:rsid w:val="00156758"/>
    <w:rsid w:val="00174C63"/>
    <w:rsid w:val="001B2E1C"/>
    <w:rsid w:val="001E4E57"/>
    <w:rsid w:val="001F42C6"/>
    <w:rsid w:val="0021722D"/>
    <w:rsid w:val="00242963"/>
    <w:rsid w:val="00255761"/>
    <w:rsid w:val="00266FE1"/>
    <w:rsid w:val="00291C3D"/>
    <w:rsid w:val="00295D6A"/>
    <w:rsid w:val="00297CC5"/>
    <w:rsid w:val="002A5A17"/>
    <w:rsid w:val="002A659E"/>
    <w:rsid w:val="002F2937"/>
    <w:rsid w:val="00314B0F"/>
    <w:rsid w:val="00314EA5"/>
    <w:rsid w:val="00316FDE"/>
    <w:rsid w:val="0031782C"/>
    <w:rsid w:val="00322329"/>
    <w:rsid w:val="003276CB"/>
    <w:rsid w:val="00376E87"/>
    <w:rsid w:val="00380A5D"/>
    <w:rsid w:val="00393181"/>
    <w:rsid w:val="003A69AB"/>
    <w:rsid w:val="003B2252"/>
    <w:rsid w:val="003D7D6E"/>
    <w:rsid w:val="00405342"/>
    <w:rsid w:val="00481084"/>
    <w:rsid w:val="00487751"/>
    <w:rsid w:val="004A30ED"/>
    <w:rsid w:val="004A522A"/>
    <w:rsid w:val="004D49CB"/>
    <w:rsid w:val="004E24FC"/>
    <w:rsid w:val="004E4020"/>
    <w:rsid w:val="00534E2E"/>
    <w:rsid w:val="00537410"/>
    <w:rsid w:val="005752A6"/>
    <w:rsid w:val="00595879"/>
    <w:rsid w:val="005A7B51"/>
    <w:rsid w:val="005F4E2F"/>
    <w:rsid w:val="00617045"/>
    <w:rsid w:val="006203E6"/>
    <w:rsid w:val="00670A7A"/>
    <w:rsid w:val="00690932"/>
    <w:rsid w:val="006967B7"/>
    <w:rsid w:val="00716DD8"/>
    <w:rsid w:val="007305F4"/>
    <w:rsid w:val="00735770"/>
    <w:rsid w:val="00754314"/>
    <w:rsid w:val="00762FDB"/>
    <w:rsid w:val="00772741"/>
    <w:rsid w:val="00781C3E"/>
    <w:rsid w:val="007D4518"/>
    <w:rsid w:val="008207B0"/>
    <w:rsid w:val="00823E25"/>
    <w:rsid w:val="0087400F"/>
    <w:rsid w:val="008C0E47"/>
    <w:rsid w:val="008C1BEE"/>
    <w:rsid w:val="009345DF"/>
    <w:rsid w:val="009A7B76"/>
    <w:rsid w:val="009B5257"/>
    <w:rsid w:val="009C142D"/>
    <w:rsid w:val="009D421B"/>
    <w:rsid w:val="00A20824"/>
    <w:rsid w:val="00A42415"/>
    <w:rsid w:val="00A451B2"/>
    <w:rsid w:val="00AF6C05"/>
    <w:rsid w:val="00B00AD4"/>
    <w:rsid w:val="00B05054"/>
    <w:rsid w:val="00B34061"/>
    <w:rsid w:val="00B418B5"/>
    <w:rsid w:val="00BA4F08"/>
    <w:rsid w:val="00BB3CCF"/>
    <w:rsid w:val="00C05793"/>
    <w:rsid w:val="00C41903"/>
    <w:rsid w:val="00C53AD7"/>
    <w:rsid w:val="00C81764"/>
    <w:rsid w:val="00CA2994"/>
    <w:rsid w:val="00CB4349"/>
    <w:rsid w:val="00CC11FB"/>
    <w:rsid w:val="00CF45C3"/>
    <w:rsid w:val="00CF65B8"/>
    <w:rsid w:val="00D21D3A"/>
    <w:rsid w:val="00D82BB4"/>
    <w:rsid w:val="00DB16C8"/>
    <w:rsid w:val="00DE1F5D"/>
    <w:rsid w:val="00DF331B"/>
    <w:rsid w:val="00DF7B9A"/>
    <w:rsid w:val="00E0140F"/>
    <w:rsid w:val="00E30A75"/>
    <w:rsid w:val="00E534AA"/>
    <w:rsid w:val="00E710A9"/>
    <w:rsid w:val="00EA26A2"/>
    <w:rsid w:val="00EB4B63"/>
    <w:rsid w:val="00EC0E38"/>
    <w:rsid w:val="00EE2A12"/>
    <w:rsid w:val="00F77495"/>
    <w:rsid w:val="00F8510D"/>
    <w:rsid w:val="00FE433E"/>
    <w:rsid w:val="0C3A4922"/>
    <w:rsid w:val="19A9633B"/>
    <w:rsid w:val="4B21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B4702B-933D-43FA-A8D8-345B0C18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Pr>
      <w:b/>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10</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2025-05-22T12:53:00Z</dcterms:created>
  <dcterms:modified xsi:type="dcterms:W3CDTF">2026-06-05T02:11:00Z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0DF1EF228F8245218163238014C7BD35_12</vt:lpwstr>
  </property>
  <property fmtid="{D5CDD505-2E9C-101B-9397-08002B2CF9AE}" pid="4" name="KSOTemplateDocerSaveRecord">
    <vt:lpwstr>eyJoZGlkIjoiMzZiZDlmOWQwZjNjY2M3ZGIzMzdjZjg4Nzc0NGYxMjgiLCJ1c2VySWQiOiIyNDM1MjM1NjQifQ==</vt:lpwstr>
  </property>
</Properties>
</file>