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宋体"/>
          <w:lang w:eastAsia="zh-CN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  <w:bookmarkStart w:id="142" w:name="_GoBack"/>
      <w:bookmarkEnd w:id="142"/>
      <w:bookmarkStart w:id="0" w:name="_Toc5689"/>
      <w:bookmarkStart w:id="1" w:name="_Toc32079"/>
      <w:bookmarkStart w:id="2" w:name="_Toc1008"/>
      <w:r>
        <w:rPr>
          <w:rFonts w:hint="eastAsia" w:eastAsia="宋体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2381250</wp:posOffset>
            </wp:positionH>
            <wp:positionV relativeFrom="paragraph">
              <wp:posOffset>-760730</wp:posOffset>
            </wp:positionV>
            <wp:extent cx="3966210" cy="788035"/>
            <wp:effectExtent l="0" t="0" r="15240" b="12065"/>
            <wp:wrapNone/>
            <wp:docPr id="2" name="图片 2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66210" cy="788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eastAsia="宋体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-1118235</wp:posOffset>
            </wp:positionH>
            <wp:positionV relativeFrom="paragraph">
              <wp:posOffset>-793750</wp:posOffset>
            </wp:positionV>
            <wp:extent cx="7555230" cy="10226040"/>
            <wp:effectExtent l="0" t="0" r="7620" b="3810"/>
            <wp:wrapNone/>
            <wp:docPr id="1" name="图片 1" descr="封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封面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226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560" w:lineRule="exact"/>
        <w:jc w:val="center"/>
        <w:outlineLvl w:val="0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将乐县农村信用合作联社202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5</w:t>
      </w:r>
      <w:r>
        <w:rPr>
          <w:rFonts w:hint="eastAsia" w:ascii="黑体" w:hAnsi="黑体" w:eastAsia="黑体" w:cs="黑体"/>
          <w:sz w:val="44"/>
          <w:szCs w:val="44"/>
        </w:rPr>
        <w:t>年度</w:t>
      </w:r>
      <w:bookmarkEnd w:id="0"/>
      <w:bookmarkEnd w:id="1"/>
      <w:bookmarkEnd w:id="2"/>
    </w:p>
    <w:p>
      <w:pPr>
        <w:spacing w:line="560" w:lineRule="exact"/>
        <w:jc w:val="center"/>
        <w:outlineLvl w:val="0"/>
        <w:rPr>
          <w:rFonts w:hint="eastAsia" w:ascii="黑体" w:hAnsi="黑体" w:eastAsia="黑体" w:cs="黑体"/>
          <w:sz w:val="36"/>
          <w:szCs w:val="36"/>
        </w:rPr>
      </w:pPr>
      <w:bookmarkStart w:id="3" w:name="_Toc29913"/>
      <w:bookmarkStart w:id="4" w:name="_Toc13192"/>
      <w:bookmarkStart w:id="5" w:name="_Toc14567"/>
      <w:r>
        <w:rPr>
          <w:rFonts w:hint="eastAsia" w:ascii="黑体" w:hAnsi="黑体" w:eastAsia="黑体" w:cs="黑体"/>
          <w:sz w:val="44"/>
          <w:szCs w:val="44"/>
          <w:lang w:eastAsia="zh-CN"/>
        </w:rPr>
        <w:t>可持续</w:t>
      </w:r>
      <w:r>
        <w:rPr>
          <w:rFonts w:hint="eastAsia" w:ascii="黑体" w:hAnsi="黑体" w:eastAsia="黑体" w:cs="黑体"/>
          <w:sz w:val="44"/>
          <w:szCs w:val="44"/>
        </w:rPr>
        <w:t>信息披露报告</w:t>
      </w:r>
      <w:bookmarkEnd w:id="3"/>
      <w:bookmarkEnd w:id="4"/>
      <w:bookmarkEnd w:id="5"/>
    </w:p>
    <w:p>
      <w:pPr>
        <w:spacing w:line="560" w:lineRule="exact"/>
        <w:ind w:firstLine="640" w:firstLineChars="200"/>
        <w:outlineLvl w:val="9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560" w:lineRule="exact"/>
        <w:ind w:firstLine="640" w:firstLineChars="200"/>
        <w:outlineLvl w:val="0"/>
        <w:rPr>
          <w:rFonts w:ascii="黑体" w:hAnsi="黑体" w:eastAsia="黑体" w:cs="黑体"/>
          <w:sz w:val="32"/>
          <w:szCs w:val="32"/>
        </w:rPr>
      </w:pPr>
      <w:bookmarkStart w:id="6" w:name="_Toc9214"/>
      <w:bookmarkStart w:id="7" w:name="_Toc2963"/>
      <w:bookmarkStart w:id="8" w:name="_Toc14187"/>
      <w:r>
        <w:rPr>
          <w:rFonts w:hint="eastAsia" w:ascii="黑体" w:hAnsi="黑体" w:eastAsia="黑体" w:cs="黑体"/>
          <w:sz w:val="32"/>
          <w:szCs w:val="32"/>
        </w:rPr>
        <w:t>关于本报告</w:t>
      </w:r>
      <w:bookmarkEnd w:id="6"/>
      <w:bookmarkEnd w:id="7"/>
      <w:bookmarkEnd w:id="8"/>
      <w:r>
        <w:rPr>
          <w:rFonts w:hint="eastAsia" w:ascii="黑体" w:hAnsi="黑体" w:eastAsia="黑体" w:cs="黑体"/>
          <w:sz w:val="32"/>
          <w:szCs w:val="32"/>
        </w:rPr>
        <w:t xml:space="preserve"> 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本报告旨在披露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将乐</w:t>
      </w:r>
      <w:r>
        <w:rPr>
          <w:rFonts w:hint="eastAsia" w:ascii="仿宋_GB2312" w:hAnsi="仿宋_GB2312" w:eastAsia="仿宋_GB2312" w:cs="仿宋_GB2312"/>
          <w:sz w:val="32"/>
          <w:szCs w:val="32"/>
        </w:rPr>
        <w:t>县农村信用合作联社（以下简称“本社”）202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在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环境（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E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社会责任（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S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公司治理（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G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，展现本社在绿色金融发展、环境管理等方面的实践与成果，为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公众</w:t>
      </w:r>
      <w:r>
        <w:rPr>
          <w:rFonts w:hint="eastAsia" w:ascii="仿宋_GB2312" w:hAnsi="仿宋_GB2312" w:eastAsia="仿宋_GB2312" w:cs="仿宋_GB2312"/>
          <w:sz w:val="32"/>
          <w:szCs w:val="32"/>
        </w:rPr>
        <w:t>提供全面、准确的环境信息参考。</w:t>
      </w:r>
    </w:p>
    <w:p>
      <w:pPr>
        <w:spacing w:line="560" w:lineRule="exact"/>
        <w:ind w:firstLine="643" w:firstLineChars="200"/>
        <w:outlineLvl w:val="0"/>
        <w:rPr>
          <w:rFonts w:ascii="楷体" w:hAnsi="楷体" w:eastAsia="楷体" w:cs="楷体"/>
          <w:b/>
          <w:bCs/>
          <w:sz w:val="32"/>
          <w:szCs w:val="32"/>
        </w:rPr>
      </w:pPr>
      <w:bookmarkStart w:id="9" w:name="_Toc2262"/>
      <w:bookmarkStart w:id="10" w:name="_Toc22579"/>
      <w:bookmarkStart w:id="11" w:name="_Toc29822"/>
      <w:bookmarkStart w:id="12" w:name="_Toc14012"/>
      <w:r>
        <w:rPr>
          <w:rFonts w:hint="eastAsia" w:ascii="楷体" w:hAnsi="楷体" w:eastAsia="楷体" w:cs="楷体"/>
          <w:b/>
          <w:bCs/>
          <w:sz w:val="32"/>
          <w:szCs w:val="32"/>
        </w:rPr>
        <w:t>(一)涵盖期间</w:t>
      </w:r>
      <w:bookmarkEnd w:id="9"/>
      <w:bookmarkEnd w:id="10"/>
      <w:bookmarkEnd w:id="11"/>
      <w:bookmarkEnd w:id="12"/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本报告涵盖期限为202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年1月1日至202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年12月31日。</w:t>
      </w:r>
    </w:p>
    <w:p>
      <w:pPr>
        <w:spacing w:line="560" w:lineRule="exact"/>
        <w:ind w:firstLine="643" w:firstLineChars="200"/>
        <w:outlineLvl w:val="0"/>
        <w:rPr>
          <w:rFonts w:ascii="楷体" w:hAnsi="楷体" w:eastAsia="楷体" w:cs="楷体"/>
          <w:b/>
          <w:bCs/>
          <w:sz w:val="32"/>
          <w:szCs w:val="32"/>
        </w:rPr>
      </w:pPr>
      <w:bookmarkStart w:id="13" w:name="_Toc11737"/>
      <w:bookmarkStart w:id="14" w:name="_Toc32282"/>
      <w:bookmarkStart w:id="15" w:name="_Toc19273"/>
      <w:bookmarkStart w:id="16" w:name="_Toc4560"/>
      <w:r>
        <w:rPr>
          <w:rFonts w:hint="eastAsia" w:ascii="楷体" w:hAnsi="楷体" w:eastAsia="楷体" w:cs="楷体"/>
          <w:b/>
          <w:bCs/>
          <w:sz w:val="32"/>
          <w:szCs w:val="32"/>
        </w:rPr>
        <w:t>(二)报告周期</w:t>
      </w:r>
      <w:bookmarkEnd w:id="13"/>
      <w:bookmarkEnd w:id="14"/>
      <w:bookmarkEnd w:id="15"/>
      <w:bookmarkEnd w:id="16"/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本报告为年度报告。</w:t>
      </w:r>
    </w:p>
    <w:p>
      <w:pPr>
        <w:spacing w:line="560" w:lineRule="exact"/>
        <w:ind w:firstLine="643" w:firstLineChars="200"/>
        <w:outlineLvl w:val="0"/>
        <w:rPr>
          <w:rFonts w:ascii="楷体" w:hAnsi="楷体" w:eastAsia="楷体" w:cs="楷体"/>
          <w:b/>
          <w:bCs/>
          <w:sz w:val="32"/>
          <w:szCs w:val="32"/>
        </w:rPr>
      </w:pPr>
      <w:bookmarkStart w:id="17" w:name="_Toc12404"/>
      <w:bookmarkStart w:id="18" w:name="_Toc18326"/>
      <w:bookmarkStart w:id="19" w:name="_Toc28811"/>
      <w:bookmarkStart w:id="20" w:name="_Toc11761"/>
      <w:r>
        <w:rPr>
          <w:rFonts w:hint="eastAsia" w:ascii="楷体" w:hAnsi="楷体" w:eastAsia="楷体" w:cs="楷体"/>
          <w:b/>
          <w:bCs/>
          <w:sz w:val="32"/>
          <w:szCs w:val="32"/>
        </w:rPr>
        <w:t>(三)报告范围</w:t>
      </w:r>
      <w:bookmarkEnd w:id="17"/>
      <w:bookmarkEnd w:id="18"/>
      <w:bookmarkEnd w:id="19"/>
      <w:bookmarkEnd w:id="20"/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本报告披露范围包含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将乐</w:t>
      </w:r>
      <w:r>
        <w:rPr>
          <w:rFonts w:hint="eastAsia" w:ascii="仿宋_GB2312" w:hAnsi="仿宋_GB2312" w:eastAsia="仿宋_GB2312" w:cs="仿宋_GB2312"/>
          <w:sz w:val="32"/>
          <w:szCs w:val="32"/>
        </w:rPr>
        <w:t>县农村信用合作联社及所辖分支机构。</w:t>
      </w:r>
    </w:p>
    <w:p>
      <w:pPr>
        <w:spacing w:line="560" w:lineRule="exact"/>
        <w:ind w:firstLine="643" w:firstLineChars="200"/>
        <w:outlineLvl w:val="0"/>
        <w:rPr>
          <w:rFonts w:ascii="楷体" w:hAnsi="楷体" w:eastAsia="楷体" w:cs="楷体"/>
          <w:b/>
          <w:bCs/>
          <w:sz w:val="32"/>
          <w:szCs w:val="32"/>
        </w:rPr>
      </w:pPr>
      <w:bookmarkStart w:id="21" w:name="_Toc14057"/>
      <w:bookmarkStart w:id="22" w:name="_Toc20022"/>
      <w:bookmarkStart w:id="23" w:name="_Toc20180"/>
      <w:bookmarkStart w:id="24" w:name="_Toc9171"/>
      <w:r>
        <w:rPr>
          <w:rFonts w:hint="eastAsia" w:ascii="楷体" w:hAnsi="楷体" w:eastAsia="楷体" w:cs="楷体"/>
          <w:b/>
          <w:bCs/>
          <w:sz w:val="32"/>
          <w:szCs w:val="32"/>
        </w:rPr>
        <w:t>(四)报告数据说明</w:t>
      </w:r>
      <w:bookmarkEnd w:id="21"/>
      <w:bookmarkEnd w:id="22"/>
      <w:bookmarkEnd w:id="23"/>
      <w:bookmarkEnd w:id="24"/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报告中财务数据以202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年度为主，主要来源于本社内部统计数据。本报告所涉及货币金额均以人民币为计量单位。</w:t>
      </w:r>
    </w:p>
    <w:p>
      <w:pPr>
        <w:spacing w:line="560" w:lineRule="exact"/>
        <w:ind w:firstLine="643" w:firstLineChars="200"/>
        <w:outlineLvl w:val="0"/>
        <w:rPr>
          <w:rFonts w:ascii="楷体" w:hAnsi="楷体" w:eastAsia="楷体" w:cs="楷体"/>
          <w:b/>
          <w:bCs/>
          <w:sz w:val="32"/>
          <w:szCs w:val="32"/>
        </w:rPr>
      </w:pPr>
      <w:bookmarkStart w:id="25" w:name="_Toc12766"/>
      <w:bookmarkStart w:id="26" w:name="_Toc3888"/>
      <w:bookmarkStart w:id="27" w:name="_Toc22470"/>
      <w:bookmarkStart w:id="28" w:name="_Toc22795"/>
      <w:r>
        <w:rPr>
          <w:rFonts w:hint="eastAsia" w:ascii="楷体" w:hAnsi="楷体" w:eastAsia="楷体" w:cs="楷体"/>
          <w:b/>
          <w:bCs/>
          <w:sz w:val="32"/>
          <w:szCs w:val="32"/>
        </w:rPr>
        <w:t>(五)编制依据</w:t>
      </w:r>
      <w:bookmarkEnd w:id="25"/>
      <w:bookmarkEnd w:id="26"/>
      <w:bookmarkEnd w:id="27"/>
      <w:bookmarkEnd w:id="28"/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为贯彻落实国务院办公厅《关于做好金融“五篇大文章”的指导意见》，提升金融机构可持续信息披露水平，并参考中国人民银行《金融机构可持续信息披露指南(试用稿)》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，结</w:t>
      </w:r>
      <w:r>
        <w:rPr>
          <w:rFonts w:hint="eastAsia" w:ascii="仿宋_GB2312" w:hAnsi="仿宋_GB2312" w:eastAsia="仿宋_GB2312" w:cs="仿宋_GB2312"/>
          <w:sz w:val="32"/>
          <w:szCs w:val="32"/>
        </w:rPr>
        <w:t>合本社实际经营情况，秉持真实性、及时性、一致性和连贯性原则编制披露。</w:t>
      </w:r>
    </w:p>
    <w:p>
      <w:pPr>
        <w:spacing w:line="560" w:lineRule="exact"/>
        <w:ind w:firstLine="0" w:firstLineChars="0"/>
        <w:outlineLvl w:val="9"/>
        <w:rPr>
          <w:rFonts w:hint="eastAsia" w:ascii="黑体" w:hAnsi="黑体" w:eastAsia="黑体" w:cs="黑体"/>
          <w:sz w:val="32"/>
          <w:szCs w:val="32"/>
        </w:rPr>
      </w:pPr>
    </w:p>
    <w:p>
      <w:pPr>
        <w:bidi w:val="0"/>
        <w:rPr>
          <w:rFonts w:hint="eastAsia" w:ascii="Calibri" w:hAnsi="Calibri" w:eastAsia="宋体" w:cs="Arial"/>
          <w:kern w:val="2"/>
          <w:sz w:val="21"/>
          <w:szCs w:val="22"/>
          <w:lang w:val="en-US" w:eastAsia="zh-CN" w:bidi="ar-SA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pStyle w:val="2"/>
        <w:ind w:left="0" w:leftChars="0" w:firstLine="0" w:firstLineChars="0"/>
        <w:rPr>
          <w:rFonts w:hint="eastAsia"/>
          <w:lang w:val="en-US" w:eastAsia="zh-CN"/>
        </w:rPr>
        <w:sectPr>
          <w:headerReference r:id="rId5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</w:p>
    <w:p>
      <w:pPr>
        <w:spacing w:line="560" w:lineRule="exact"/>
        <w:ind w:firstLine="640" w:firstLineChars="200"/>
        <w:outlineLvl w:val="0"/>
        <w:rPr>
          <w:rFonts w:ascii="黑体" w:hAnsi="黑体" w:eastAsia="黑体" w:cs="黑体"/>
          <w:sz w:val="32"/>
          <w:szCs w:val="32"/>
        </w:rPr>
      </w:pPr>
      <w:bookmarkStart w:id="29" w:name="_Toc7683"/>
      <w:bookmarkStart w:id="30" w:name="_Toc27317"/>
      <w:bookmarkStart w:id="31" w:name="_Toc26507"/>
      <w:bookmarkStart w:id="32" w:name="_Toc32688"/>
      <w:bookmarkStart w:id="33" w:name="_Toc14041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</w:t>
      </w:r>
      <w:r>
        <w:rPr>
          <w:rFonts w:hint="eastAsia" w:ascii="黑体" w:hAnsi="黑体" w:eastAsia="黑体" w:cs="黑体"/>
          <w:sz w:val="32"/>
          <w:szCs w:val="32"/>
        </w:rPr>
        <w:t>、总体概况</w:t>
      </w:r>
      <w:bookmarkEnd w:id="29"/>
      <w:bookmarkEnd w:id="30"/>
      <w:bookmarkEnd w:id="31"/>
      <w:bookmarkEnd w:id="32"/>
      <w:bookmarkEnd w:id="33"/>
    </w:p>
    <w:p>
      <w:pPr>
        <w:spacing w:line="560" w:lineRule="exact"/>
        <w:ind w:firstLine="643" w:firstLineChars="200"/>
        <w:outlineLvl w:val="1"/>
        <w:rPr>
          <w:rFonts w:ascii="楷体" w:hAnsi="楷体" w:eastAsia="楷体" w:cs="楷体"/>
          <w:b/>
          <w:bCs/>
          <w:sz w:val="32"/>
          <w:szCs w:val="32"/>
        </w:rPr>
      </w:pPr>
      <w:bookmarkStart w:id="34" w:name="_Toc5140"/>
      <w:bookmarkStart w:id="35" w:name="_Toc12317"/>
      <w:bookmarkStart w:id="36" w:name="_Toc11092"/>
      <w:bookmarkStart w:id="37" w:name="_Toc23037"/>
      <w:bookmarkStart w:id="38" w:name="_Toc32203"/>
      <w:r>
        <w:rPr>
          <w:rFonts w:hint="eastAsia" w:ascii="楷体" w:hAnsi="楷体" w:eastAsia="楷体" w:cs="楷体"/>
          <w:b/>
          <w:bCs/>
          <w:sz w:val="32"/>
          <w:szCs w:val="32"/>
        </w:rPr>
        <w:t>(一)整体概况</w:t>
      </w:r>
      <w:bookmarkEnd w:id="34"/>
      <w:bookmarkEnd w:id="35"/>
      <w:bookmarkEnd w:id="36"/>
      <w:bookmarkEnd w:id="37"/>
      <w:bookmarkEnd w:id="38"/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将乐</w:t>
      </w:r>
      <w:r>
        <w:rPr>
          <w:rFonts w:hint="eastAsia" w:ascii="仿宋_GB2312" w:hAnsi="仿宋_GB2312" w:eastAsia="仿宋_GB2312" w:cs="仿宋_GB2312"/>
          <w:sz w:val="32"/>
          <w:szCs w:val="32"/>
        </w:rPr>
        <w:t>县农村信用合作联社成立于2006年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 w:val="32"/>
          <w:szCs w:val="32"/>
        </w:rPr>
        <w:t>月，是由自然人、法人和其他经济组织入股的地方性法人农村金融机构，注册地位于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将乐</w:t>
      </w:r>
      <w:r>
        <w:rPr>
          <w:rFonts w:hint="eastAsia" w:ascii="仿宋_GB2312" w:hAnsi="仿宋_GB2312" w:eastAsia="仿宋_GB2312" w:cs="仿宋_GB2312"/>
          <w:sz w:val="32"/>
          <w:szCs w:val="32"/>
        </w:rPr>
        <w:t>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三华南路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27号</w:t>
      </w:r>
      <w:r>
        <w:rPr>
          <w:rFonts w:hint="eastAsia" w:ascii="仿宋_GB2312" w:hAnsi="仿宋_GB2312" w:eastAsia="仿宋_GB2312" w:cs="仿宋_GB2312"/>
          <w:sz w:val="32"/>
          <w:szCs w:val="32"/>
        </w:rPr>
        <w:t>，注册资金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23934.4486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万元。内设综合管理部、普惠金融部、合规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与</w:t>
      </w:r>
      <w:r>
        <w:rPr>
          <w:rFonts w:hint="eastAsia" w:ascii="仿宋_GB2312" w:hAnsi="仿宋_GB2312" w:eastAsia="仿宋_GB2312" w:cs="仿宋_GB2312"/>
          <w:sz w:val="32"/>
          <w:szCs w:val="32"/>
        </w:rPr>
        <w:t>风险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管理</w:t>
      </w:r>
      <w:r>
        <w:rPr>
          <w:rFonts w:hint="eastAsia" w:ascii="仿宋_GB2312" w:hAnsi="仿宋_GB2312" w:eastAsia="仿宋_GB2312" w:cs="仿宋_GB2312"/>
          <w:sz w:val="32"/>
          <w:szCs w:val="32"/>
        </w:rPr>
        <w:t>部、财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会</w:t>
      </w:r>
      <w:r>
        <w:rPr>
          <w:rFonts w:hint="eastAsia" w:ascii="仿宋_GB2312" w:hAnsi="仿宋_GB2312" w:eastAsia="仿宋_GB2312" w:cs="仿宋_GB2312"/>
          <w:sz w:val="32"/>
          <w:szCs w:val="32"/>
        </w:rPr>
        <w:t>运营部、安全保卫部、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信息科技</w:t>
      </w:r>
      <w:r>
        <w:rPr>
          <w:rFonts w:hint="eastAsia" w:ascii="仿宋_GB2312" w:hAnsi="仿宋_GB2312" w:eastAsia="仿宋_GB2312" w:cs="仿宋_GB2312"/>
          <w:sz w:val="32"/>
          <w:szCs w:val="32"/>
        </w:rPr>
        <w:t>部、审计部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、金融市场部</w:t>
      </w:r>
      <w:r>
        <w:rPr>
          <w:rFonts w:hint="eastAsia" w:ascii="仿宋_GB2312" w:hAnsi="仿宋_GB2312" w:eastAsia="仿宋_GB2312" w:cs="仿宋_GB2312"/>
          <w:sz w:val="32"/>
          <w:szCs w:val="32"/>
        </w:rPr>
        <w:t>等8个职能部门，下辖1个营业部、1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个信用社，共1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个营业网点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金融服务覆盖全县乡镇，实现普惠金融服务全域覆盖。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截至202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年12月末，本社资产总额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64.08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亿元，各项存款余额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54.86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亿元，各项贷款余额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30.35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亿元。</w:t>
      </w:r>
      <w:r>
        <w:rPr>
          <w:rFonts w:hint="eastAsia" w:ascii="仿宋_GB2312" w:hAnsi="仿宋_GB2312" w:eastAsia="仿宋_GB2312" w:cs="仿宋_GB2312"/>
          <w:sz w:val="32"/>
          <w:szCs w:val="32"/>
        </w:rPr>
        <w:t>作为扎根县域的“三农”金融主力军，本社持续深化普惠金融服务，紧扣“服务乡村振兴、服务实体经济、服务三农和小微企业”核心工作，推动各项业务经营指标稳步增长，连续多年荣获县“纳税大户”“金融工作先进单位”等荣誉称号，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将乐</w:t>
      </w:r>
      <w:r>
        <w:rPr>
          <w:rFonts w:hint="eastAsia" w:ascii="仿宋_GB2312" w:hAnsi="仿宋_GB2312" w:eastAsia="仿宋_GB2312" w:cs="仿宋_GB2312"/>
          <w:sz w:val="32"/>
          <w:szCs w:val="32"/>
        </w:rPr>
        <w:t>县域经济高质量发展注入强劲动力。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highlight w:val="yellow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本社始终将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可持续性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作为核心发展理念，全面融入企业愿景、战略规划、信贷文化、政策制度、管理流程及产品服务各环节，立足三明绿色金融改革试验区建设契机，深耕县域生态优势。年度授信政策聚焦绿色文旅、低碳乡村与生态农业，创新推出“绿链贷”“福农·零碳贷”等特色产品，构建适配地方需求的绿色金融服务体系，截至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年末绿色信贷余额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19767.61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万元。践行绿色办公理念，推进节能减排，同步打造智慧文旅支付场景，持续完善“双标杆、九特色”绿色银行体系，助力生态和谐共生。</w:t>
      </w:r>
    </w:p>
    <w:p>
      <w:pPr>
        <w:spacing w:line="560" w:lineRule="exact"/>
        <w:ind w:firstLine="643" w:firstLineChars="200"/>
        <w:outlineLvl w:val="1"/>
        <w:rPr>
          <w:rFonts w:ascii="仿宋_GB2312" w:hAnsi="仿宋_GB2312" w:eastAsia="仿宋_GB2312" w:cs="仿宋_GB2312"/>
          <w:sz w:val="32"/>
          <w:szCs w:val="32"/>
        </w:rPr>
      </w:pPr>
      <w:bookmarkStart w:id="39" w:name="_Toc5547"/>
      <w:bookmarkStart w:id="40" w:name="_Toc18355"/>
      <w:bookmarkStart w:id="41" w:name="_Toc7817"/>
      <w:bookmarkStart w:id="42" w:name="_Toc3758"/>
      <w:bookmarkStart w:id="43" w:name="_Toc28564"/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二、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下一年度规划与目标</w:t>
      </w:r>
      <w:bookmarkEnd w:id="39"/>
      <w:bookmarkEnd w:id="40"/>
      <w:bookmarkEnd w:id="41"/>
      <w:bookmarkEnd w:id="42"/>
      <w:bookmarkEnd w:id="43"/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bookmarkStart w:id="44" w:name="_Toc2297"/>
      <w:bookmarkStart w:id="45" w:name="_Toc31536"/>
      <w:bookmarkStart w:id="46" w:name="_Toc10740"/>
      <w:bookmarkStart w:id="47" w:name="_Toc22414"/>
      <w:bookmarkStart w:id="48" w:name="_Toc20702"/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202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年，将乐农信联社将严格遵循监管部门绿色金融发展要求，结合县域生态优势与自身经营实际，以践行运营“碳中和”与投融资“碳中和”的“双中和”银行为核心愿景，从总量扩容、体系完善、产品创新三大维度精准发力，稳步推进年度绿色金融发展目标落地：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绿色信贷总量全面提升。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持续优化信贷总量结构与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投向布局，深耕生态农业、低碳文旅、循环经济、林下经济等县域重点绿色产业，细化任务分解与责任落实，确保达成“十四五”绿色信贷总量规划目标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。主动对接县域新开工绿色项目、中小微绿色经营主体，提升融资对接覆盖率与精准度，强化绿色金融普惠属性，推动绿色信贷规模与占比同步稳步增长。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建立健全绿色金融服务体系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（1）健全绿色金融长效机制。将绿色金融深度融入公司治理、发展战略、信贷文化与管理流程，构建“党建+金融助理+绿色金融”协同模式。逐步培育专业化绿色金融专营团队、专项统计人才队伍，完善人才培养与激励机制，为绿色金融高质量发展提供坚实人才支撑。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（2）优化经营绩效考核体系。将绿色金融业务纳入年度核心经营绩效考核，增设绿色信贷投放规模、产品创新成效、客户服务质量等加分指标，加大考核权重与正向激励力度，引导全员聚焦绿色金融业务发展。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（3）完善全流程管理机制。按行业、客户类型细分绿色信贷服务场景，针对县域生态农业、绿色林业、生态旅游等细分领域客户定制专属信贷方案。在风险可控前提下，开辟绿色信贷审批绿色通道，简化办贷流程、压缩审批时限，提升服务效率，增强绿色产业客户融资获得感。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（4）强化绿色投向前瞻管控。严格对标国家产业政策与绿色金融标准体系，实行差别化、动态化授信管理，确保合规展业。严格落实贷款“三查”制度，细化贷前绿色资质审核、贷中资金用途监管、贷后生态风险监测，提升绿色信贷风险管理精细化水平。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3.坚持创新驱动，增强发展动能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持续拓展“农耕保姆贷”“林下空间经营权抵押贷款”的客群、丰富产品内涵，推出农村要素流转配套的融资举措；深化与林业局的战略合作，在林业局搭建的“森林保姆点”中融入金融要素，为林竹产业全流程提供金融服务；探索“福林·林票贷”，为金森公司与各村合作造林的“林票”实现市场化价值转换提供金融工具。</w:t>
      </w:r>
    </w:p>
    <w:p>
      <w:pPr>
        <w:spacing w:line="560" w:lineRule="exact"/>
        <w:ind w:firstLine="640" w:firstLineChars="200"/>
        <w:outlineLvl w:val="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可持续</w:t>
      </w:r>
      <w:r>
        <w:rPr>
          <w:rFonts w:hint="eastAsia" w:ascii="黑体" w:hAnsi="黑体" w:eastAsia="黑体" w:cs="黑体"/>
          <w:sz w:val="32"/>
          <w:szCs w:val="32"/>
        </w:rPr>
        <w:t>治理结构</w:t>
      </w:r>
      <w:bookmarkEnd w:id="44"/>
      <w:bookmarkEnd w:id="45"/>
      <w:bookmarkEnd w:id="46"/>
      <w:bookmarkEnd w:id="47"/>
      <w:bookmarkEnd w:id="48"/>
    </w:p>
    <w:p>
      <w:pPr>
        <w:spacing w:line="560" w:lineRule="exact"/>
        <w:ind w:firstLine="640" w:firstLineChars="200"/>
        <w:rPr>
          <w:rFonts w:ascii="楷体" w:hAnsi="楷体" w:eastAsia="楷体" w:cs="楷体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本社积极响应中国人民银行、中国银行业协会及省市县政府机构工作要求，构建由理事会领导、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监事会监督、</w:t>
      </w:r>
      <w:r>
        <w:rPr>
          <w:rFonts w:hint="eastAsia" w:ascii="仿宋_GB2312" w:hAnsi="仿宋_GB2312" w:eastAsia="仿宋_GB2312" w:cs="仿宋_GB2312"/>
          <w:sz w:val="32"/>
          <w:szCs w:val="32"/>
        </w:rPr>
        <w:t>高级管理层统筹管理、执行机构具体落实的管理机制，切实管理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可持续发展</w:t>
      </w:r>
      <w:r>
        <w:rPr>
          <w:rFonts w:hint="eastAsia" w:ascii="仿宋_GB2312" w:hAnsi="仿宋_GB2312" w:eastAsia="仿宋_GB2312" w:cs="仿宋_GB2312"/>
          <w:sz w:val="32"/>
          <w:szCs w:val="32"/>
        </w:rPr>
        <w:t>的风险与机遇，加大绿色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可持续</w:t>
      </w:r>
      <w:r>
        <w:rPr>
          <w:rFonts w:hint="eastAsia" w:ascii="仿宋_GB2312" w:hAnsi="仿宋_GB2312" w:eastAsia="仿宋_GB2312" w:cs="仿宋_GB2312"/>
          <w:sz w:val="32"/>
          <w:szCs w:val="32"/>
        </w:rPr>
        <w:t>业务推动力度，将绿色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可持续</w:t>
      </w:r>
      <w:r>
        <w:rPr>
          <w:rFonts w:hint="eastAsia" w:ascii="仿宋_GB2312" w:hAnsi="仿宋_GB2312" w:eastAsia="仿宋_GB2312" w:cs="仿宋_GB2312"/>
          <w:sz w:val="32"/>
          <w:szCs w:val="32"/>
        </w:rPr>
        <w:t>理念贯穿于全社日常经营。</w:t>
      </w:r>
    </w:p>
    <w:p>
      <w:pPr>
        <w:spacing w:line="560" w:lineRule="exact"/>
        <w:ind w:firstLine="643" w:firstLineChars="200"/>
        <w:outlineLvl w:val="1"/>
        <w:rPr>
          <w:rFonts w:hint="eastAsia" w:ascii="仿宋_GB2312" w:hAnsi="仿宋_GB2312" w:eastAsia="宋体" w:cs="仿宋_GB2312"/>
          <w:sz w:val="32"/>
          <w:szCs w:val="32"/>
          <w:lang w:eastAsia="zh-CN"/>
        </w:rPr>
      </w:pPr>
      <w:bookmarkStart w:id="49" w:name="_Toc18989"/>
      <w:bookmarkStart w:id="50" w:name="_Toc1745"/>
      <w:bookmarkStart w:id="51" w:name="_Toc31665"/>
      <w:bookmarkStart w:id="52" w:name="_Toc10030"/>
      <w:bookmarkStart w:id="53" w:name="_Toc21875"/>
      <w:r>
        <w:rPr>
          <w:rFonts w:hint="eastAsia" w:ascii="楷体" w:hAnsi="楷体" w:eastAsia="楷体" w:cs="楷体"/>
          <w:b/>
          <w:bCs/>
          <w:sz w:val="32"/>
          <w:szCs w:val="32"/>
        </w:rPr>
        <w:t>(一)</w:t>
      </w:r>
      <w:r>
        <w:rPr>
          <w:rFonts w:hint="eastAsia"/>
        </w:rPr>
        <w:t xml:space="preserve"> </w:t>
      </w:r>
      <w:bookmarkEnd w:id="49"/>
      <w:bookmarkEnd w:id="50"/>
      <w:bookmarkEnd w:id="51"/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理事会层面</w:t>
      </w:r>
      <w:bookmarkEnd w:id="52"/>
      <w:bookmarkEnd w:id="53"/>
    </w:p>
    <w:p>
      <w:pPr>
        <w:spacing w:line="560" w:lineRule="exact"/>
        <w:ind w:firstLine="640" w:firstLineChars="200"/>
        <w:outlineLvl w:val="1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bookmarkStart w:id="54" w:name="_Toc14111"/>
      <w:bookmarkStart w:id="55" w:name="_Toc31577"/>
      <w:bookmarkStart w:id="56" w:name="_Toc12506"/>
      <w:bookmarkStart w:id="57" w:name="_Toc22728"/>
      <w:bookmarkStart w:id="58" w:name="_Toc15091"/>
      <w:bookmarkStart w:id="59" w:name="_Toc8669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理事会作为绿色金融最高决策机构，负责审定本社绿色金融发展战略、中长期规划及年度目标，审议绿色金融业务工作报告，评估环境相关风险与机遇对本社经营发展的影响，对绿色金融工作开展情况进行监督指导，确保绿色金融战略落地见效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理事会下设绿色金融委员会，协调推动制定加大对绿色产业、节能减排、生态环保等领域的金融支持。</w:t>
      </w:r>
      <w:bookmarkEnd w:id="54"/>
      <w:bookmarkEnd w:id="55"/>
      <w:bookmarkEnd w:id="56"/>
    </w:p>
    <w:p>
      <w:pPr>
        <w:spacing w:line="560" w:lineRule="exact"/>
        <w:ind w:firstLine="643" w:firstLineChars="200"/>
        <w:outlineLvl w:val="1"/>
        <w:rPr>
          <w:rFonts w:hint="eastAsia" w:ascii="仿宋_GB2312" w:hAnsi="仿宋_GB2312" w:eastAsia="楷体" w:cs="仿宋_GB2312"/>
          <w:sz w:val="32"/>
          <w:szCs w:val="32"/>
          <w:lang w:eastAsia="zh-CN"/>
        </w:rPr>
      </w:pPr>
      <w:bookmarkStart w:id="60" w:name="_Toc12373"/>
      <w:bookmarkStart w:id="61" w:name="_Toc28560"/>
      <w:r>
        <w:rPr>
          <w:rFonts w:hint="eastAsia" w:ascii="楷体" w:hAnsi="楷体" w:eastAsia="楷体" w:cs="楷体"/>
          <w:b/>
          <w:bCs/>
          <w:sz w:val="32"/>
          <w:szCs w:val="32"/>
        </w:rPr>
        <w:t>(二)</w:t>
      </w:r>
      <w:bookmarkEnd w:id="57"/>
      <w:bookmarkEnd w:id="58"/>
      <w:bookmarkEnd w:id="59"/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联社部门层面</w:t>
      </w:r>
      <w:bookmarkEnd w:id="60"/>
      <w:bookmarkEnd w:id="61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  <w14:ligatures w14:val="standardContextual"/>
        </w:rPr>
      </w:pPr>
      <w:bookmarkStart w:id="62" w:name="_Toc8815"/>
      <w:bookmarkStart w:id="63" w:name="_Toc5597"/>
      <w:bookmarkStart w:id="64" w:name="_Toc7016"/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  <w14:ligatures w14:val="standardContextual"/>
        </w:rPr>
        <w:t>本社设立绿色金融领导小组，并在普惠金融部设立领导小组办公室，承担绿色金融日常工作推进职能。</w:t>
      </w: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领导小组负责统筹指导和协调管理全县的绿色金融业务，优化绿色信贷业务流程和制度体系建设，积极研究和创新绿色金融产品和服务，加强与外部相关部门进行协调及沟通，推进基础配套设施建设。</w:t>
      </w:r>
      <w:r>
        <w:rPr>
          <w:rFonts w:hint="eastAsia" w:ascii="仿宋_GB2312" w:hAnsi="Calibri" w:eastAsia="仿宋_GB2312" w:cs="仿宋_GB2312"/>
          <w:kern w:val="2"/>
          <w:sz w:val="32"/>
          <w:szCs w:val="32"/>
          <w:highlight w:val="none"/>
          <w:lang w:val="en-US" w:eastAsia="zh-CN" w:bidi="ar"/>
        </w:rPr>
        <w:t>同时，在联社普惠金融部下设3个绿色金融服务中心，绿色金融事业部与联社普惠金融部合署办公</w:t>
      </w:r>
      <w:r>
        <w:rPr>
          <w:rFonts w:hint="eastAsia" w:ascii="仿宋_GB2312" w:eastAsia="仿宋_GB2312" w:cs="仿宋_GB2312"/>
          <w:kern w:val="2"/>
          <w:sz w:val="32"/>
          <w:szCs w:val="32"/>
          <w:highlight w:val="none"/>
          <w:lang w:val="en-US" w:eastAsia="zh-CN" w:bidi="ar"/>
        </w:rPr>
        <w:t>。</w:t>
      </w:r>
    </w:p>
    <w:p>
      <w:pPr>
        <w:spacing w:line="560" w:lineRule="exact"/>
        <w:ind w:firstLine="643" w:firstLineChars="200"/>
        <w:outlineLvl w:val="1"/>
        <w:rPr>
          <w:rFonts w:hint="eastAsia" w:ascii="仿宋_GB2312" w:hAnsi="仿宋_GB2312" w:eastAsia="楷体" w:cs="仿宋_GB2312"/>
          <w:sz w:val="32"/>
          <w:szCs w:val="32"/>
          <w:lang w:eastAsia="zh-CN"/>
        </w:rPr>
      </w:pPr>
      <w:bookmarkStart w:id="65" w:name="_Toc4119"/>
      <w:bookmarkStart w:id="66" w:name="_Toc3863"/>
      <w:r>
        <w:rPr>
          <w:rFonts w:hint="eastAsia" w:ascii="楷体" w:hAnsi="楷体" w:eastAsia="楷体" w:cs="楷体"/>
          <w:b/>
          <w:bCs/>
          <w:sz w:val="32"/>
          <w:szCs w:val="32"/>
        </w:rPr>
        <w:t>(三)</w:t>
      </w:r>
      <w:bookmarkEnd w:id="62"/>
      <w:bookmarkEnd w:id="63"/>
      <w:bookmarkEnd w:id="64"/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基层网点层面</w:t>
      </w:r>
      <w:bookmarkEnd w:id="65"/>
      <w:bookmarkEnd w:id="66"/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各营业网点作为绿色金融服务前沿阵地，负责辖区内绿色客户挖掘、业务营销、政策宣传及贷后管理等工作，聚焦区域绿色产业特色，精准对接融资需求，确保绿色金融服务直达基层、惠及实体。</w:t>
      </w:r>
      <w:r>
        <w:rPr>
          <w:rFonts w:hint="eastAsia" w:ascii="仿宋_GB2312" w:hAnsi="Calibri" w:eastAsia="仿宋_GB2312" w:cs="仿宋_GB2312"/>
          <w:kern w:val="2"/>
          <w:sz w:val="32"/>
          <w:szCs w:val="32"/>
          <w:highlight w:val="none"/>
          <w:lang w:val="en-US" w:eastAsia="zh-CN" w:bidi="ar"/>
        </w:rPr>
        <w:t>在13个网点设立绿色金融服务窗口，实现绿色金融服务乡镇全覆盖。</w:t>
      </w:r>
    </w:p>
    <w:p>
      <w:pPr>
        <w:spacing w:line="560" w:lineRule="exact"/>
        <w:ind w:firstLine="640" w:firstLineChars="200"/>
        <w:outlineLvl w:val="0"/>
        <w:rPr>
          <w:rFonts w:ascii="仿宋_GB2312" w:hAnsi="仿宋_GB2312" w:eastAsia="仿宋_GB2312" w:cs="仿宋_GB2312"/>
          <w:sz w:val="32"/>
          <w:szCs w:val="32"/>
        </w:rPr>
      </w:pPr>
      <w:bookmarkStart w:id="67" w:name="_Toc2724"/>
      <w:bookmarkStart w:id="68" w:name="_Toc24128"/>
      <w:bookmarkStart w:id="69" w:name="_Toc27192"/>
      <w:bookmarkStart w:id="70" w:name="_Toc23369"/>
      <w:bookmarkStart w:id="71" w:name="_Toc806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</w:t>
      </w:r>
      <w:r>
        <w:rPr>
          <w:rFonts w:hint="eastAsia" w:ascii="黑体" w:hAnsi="黑体" w:eastAsia="黑体" w:cs="黑体"/>
          <w:sz w:val="32"/>
          <w:szCs w:val="32"/>
        </w:rPr>
        <w:t>政策制度</w:t>
      </w:r>
      <w:bookmarkEnd w:id="67"/>
      <w:bookmarkEnd w:id="68"/>
      <w:bookmarkEnd w:id="69"/>
      <w:bookmarkEnd w:id="70"/>
      <w:bookmarkEnd w:id="71"/>
    </w:p>
    <w:p>
      <w:pPr>
        <w:spacing w:line="560" w:lineRule="exact"/>
        <w:ind w:firstLine="643" w:firstLineChars="200"/>
        <w:outlineLvl w:val="1"/>
        <w:rPr>
          <w:rFonts w:ascii="仿宋_GB2312" w:hAnsi="仿宋_GB2312" w:eastAsia="仿宋_GB2312" w:cs="仿宋_GB2312"/>
          <w:sz w:val="32"/>
          <w:szCs w:val="32"/>
        </w:rPr>
      </w:pPr>
      <w:bookmarkStart w:id="72" w:name="_Toc20512"/>
      <w:bookmarkStart w:id="73" w:name="_Toc29604"/>
      <w:bookmarkStart w:id="74" w:name="_Toc20553"/>
      <w:bookmarkStart w:id="75" w:name="_Toc12792"/>
      <w:bookmarkStart w:id="76" w:name="_Toc6568"/>
      <w:r>
        <w:rPr>
          <w:rFonts w:hint="eastAsia" w:ascii="楷体" w:hAnsi="楷体" w:eastAsia="楷体" w:cs="楷体"/>
          <w:b/>
          <w:bCs/>
          <w:sz w:val="32"/>
          <w:szCs w:val="32"/>
        </w:rPr>
        <w:t>(一)外部政策制度</w:t>
      </w:r>
      <w:bookmarkEnd w:id="72"/>
      <w:bookmarkEnd w:id="73"/>
      <w:bookmarkEnd w:id="74"/>
      <w:bookmarkEnd w:id="75"/>
      <w:bookmarkEnd w:id="76"/>
    </w:p>
    <w:p>
      <w:pPr>
        <w:spacing w:line="560" w:lineRule="exact"/>
        <w:ind w:firstLine="640" w:firstLineChars="200"/>
        <w:outlineLvl w:val="1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bookmarkStart w:id="77" w:name="_Toc21249"/>
      <w:bookmarkStart w:id="78" w:name="_Toc28454"/>
      <w:bookmarkStart w:id="79" w:name="_Toc30593"/>
      <w:bookmarkStart w:id="80" w:name="_Toc4223"/>
      <w:bookmarkStart w:id="81" w:name="_Toc8741"/>
      <w:bookmarkStart w:id="82" w:name="_Toc22041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严格遵守《中华人民共和国环境保护法》《中华人民共和国节约能源法》等法律法规，积极贯彻落实《关于构建绿色金融体系的指导意见》《福建省“十四五”绿色金融发展规划》等政策要求，将国家产业政策和环保政策贯穿信贷决策全过程，严禁信贷资金流入“两高”行业及环保不达标企业，助力产业结构优化升级。</w:t>
      </w:r>
      <w:bookmarkEnd w:id="77"/>
      <w:bookmarkEnd w:id="78"/>
      <w:bookmarkEnd w:id="79"/>
    </w:p>
    <w:p>
      <w:pPr>
        <w:spacing w:line="560" w:lineRule="exact"/>
        <w:ind w:firstLine="643" w:firstLineChars="200"/>
        <w:outlineLvl w:val="1"/>
        <w:rPr>
          <w:rFonts w:hint="eastAsia" w:ascii="楷体" w:hAnsi="楷体" w:eastAsia="楷体" w:cs="楷体"/>
          <w:b/>
          <w:bCs/>
          <w:sz w:val="32"/>
          <w:szCs w:val="32"/>
        </w:rPr>
      </w:pPr>
      <w:bookmarkStart w:id="83" w:name="_Toc22464"/>
      <w:bookmarkStart w:id="84" w:name="_Toc29065"/>
      <w:r>
        <w:rPr>
          <w:rFonts w:hint="eastAsia" w:ascii="楷体" w:hAnsi="楷体" w:eastAsia="楷体" w:cs="楷体"/>
          <w:b/>
          <w:bCs/>
          <w:sz w:val="32"/>
          <w:szCs w:val="32"/>
        </w:rPr>
        <w:t>(二)内部政策制度</w:t>
      </w:r>
      <w:bookmarkEnd w:id="80"/>
      <w:bookmarkEnd w:id="81"/>
      <w:bookmarkEnd w:id="82"/>
      <w:bookmarkEnd w:id="83"/>
      <w:bookmarkEnd w:id="84"/>
    </w:p>
    <w:p>
      <w:pPr>
        <w:spacing w:line="560" w:lineRule="exact"/>
        <w:ind w:firstLine="643" w:firstLineChars="200"/>
        <w:outlineLvl w:val="2"/>
        <w:rPr>
          <w:rFonts w:ascii="仿宋_GB2312" w:hAnsi="仿宋_GB2312" w:eastAsia="仿宋_GB2312" w:cs="仿宋_GB2312"/>
          <w:b/>
          <w:bCs/>
          <w:sz w:val="32"/>
          <w:szCs w:val="32"/>
        </w:rPr>
      </w:pPr>
      <w:bookmarkStart w:id="85" w:name="_Toc31454"/>
      <w:bookmarkStart w:id="86" w:name="_Toc15185"/>
      <w:bookmarkStart w:id="87" w:name="_Toc19747"/>
      <w:bookmarkStart w:id="88" w:name="_Toc25926"/>
      <w:bookmarkStart w:id="89" w:name="_Toc12965"/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1.建立健全绿色金融体系</w:t>
      </w:r>
      <w:bookmarkEnd w:id="85"/>
      <w:bookmarkEnd w:id="86"/>
      <w:bookmarkEnd w:id="87"/>
      <w:bookmarkEnd w:id="88"/>
      <w:bookmarkEnd w:id="89"/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本社制定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将乐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县农村信用合作联社绿色金融工作实施方案》</w:t>
      </w:r>
      <w:r>
        <w:rPr>
          <w:rFonts w:hint="eastAsia" w:ascii="仿宋_GB2312" w:hAnsi="仿宋_GB2312" w:eastAsia="仿宋_GB2312" w:cs="仿宋_GB2312"/>
          <w:sz w:val="32"/>
          <w:szCs w:val="32"/>
        </w:rPr>
        <w:t>等文件，从组织保障、职能分工、政策支持、认定标准、管理原则、准入机制、风险措施、绩效管理等方面明确具体工作措施，多措并举推动绿色金融业务发展，健全绿色金融体系。</w:t>
      </w:r>
    </w:p>
    <w:p>
      <w:pPr>
        <w:spacing w:line="560" w:lineRule="exact"/>
        <w:ind w:firstLine="643" w:firstLineChars="200"/>
        <w:outlineLvl w:val="2"/>
        <w:rPr>
          <w:rFonts w:ascii="仿宋_GB2312" w:hAnsi="仿宋_GB2312" w:eastAsia="仿宋_GB2312" w:cs="仿宋_GB2312"/>
          <w:sz w:val="32"/>
          <w:szCs w:val="32"/>
        </w:rPr>
      </w:pPr>
      <w:bookmarkStart w:id="90" w:name="_Toc7332"/>
      <w:bookmarkStart w:id="91" w:name="_Toc4355"/>
      <w:bookmarkStart w:id="92" w:name="_Toc18545"/>
      <w:bookmarkStart w:id="93" w:name="_Toc24428"/>
      <w:bookmarkStart w:id="94" w:name="_Toc25578"/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2.全面支持绿色金融发展</w:t>
      </w:r>
      <w:bookmarkEnd w:id="90"/>
      <w:bookmarkEnd w:id="91"/>
      <w:bookmarkEnd w:id="92"/>
      <w:bookmarkEnd w:id="93"/>
      <w:bookmarkEnd w:id="94"/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深化推广“福林贷”产品，创新“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林下空间经营权</w:t>
      </w:r>
      <w:r>
        <w:rPr>
          <w:rFonts w:hint="eastAsia" w:ascii="仿宋_GB2312" w:hAnsi="仿宋_GB2312" w:eastAsia="仿宋_GB2312" w:cs="仿宋_GB2312"/>
          <w:sz w:val="32"/>
          <w:szCs w:val="32"/>
        </w:rPr>
        <w:t>”质押贷款。我社积极践行习总书记“绿水青山就是金山银山”的发展理念，以“绿色金融”为抓手，重点支持林业经济、绿色产业等重点领域、行业，将我社打造成绿色特征明显、绿色产品丰富的金融机构，充分发挥农村金融主力军作用。为深化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将乐</w:t>
      </w:r>
      <w:r>
        <w:rPr>
          <w:rFonts w:hint="eastAsia" w:ascii="仿宋_GB2312" w:hAnsi="仿宋_GB2312" w:eastAsia="仿宋_GB2312" w:cs="仿宋_GB2312"/>
          <w:sz w:val="32"/>
          <w:szCs w:val="32"/>
        </w:rPr>
        <w:t>县绿色金融改革创新工作，激活农村要素市场，更好地支持和促进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将乐</w:t>
      </w:r>
      <w:r>
        <w:rPr>
          <w:rFonts w:hint="eastAsia" w:ascii="仿宋_GB2312" w:hAnsi="仿宋_GB2312" w:eastAsia="仿宋_GB2312" w:cs="仿宋_GB2312"/>
          <w:sz w:val="32"/>
          <w:szCs w:val="32"/>
        </w:rPr>
        <w:t>县生态文明建设。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健全信贷管理制度：制定绿色信贷专项管理办法，明确绿色贷款认定标准、授信流程、风险管控要求，建立绿色信贷优先审批通道，对符合条件的绿色项目实行“优先受理、优先审查、优先审批、优先放款”，提高办贷效率。</w:t>
      </w:r>
    </w:p>
    <w:p>
      <w:pPr>
        <w:spacing w:line="560" w:lineRule="exact"/>
        <w:ind w:firstLine="643" w:firstLineChars="200"/>
        <w:outlineLvl w:val="2"/>
        <w:rPr>
          <w:rFonts w:ascii="仿宋_GB2312" w:hAnsi="仿宋_GB2312" w:eastAsia="仿宋_GB2312" w:cs="仿宋_GB2312"/>
          <w:sz w:val="32"/>
          <w:szCs w:val="32"/>
        </w:rPr>
      </w:pPr>
      <w:bookmarkStart w:id="95" w:name="_Toc4228"/>
      <w:bookmarkStart w:id="96" w:name="_Toc6318"/>
      <w:bookmarkStart w:id="97" w:name="_Toc29927"/>
      <w:bookmarkStart w:id="98" w:name="_Toc17451"/>
      <w:bookmarkStart w:id="99" w:name="_Toc21061"/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3.打造绿色低碳办公氛围</w:t>
      </w:r>
      <w:bookmarkEnd w:id="95"/>
      <w:bookmarkEnd w:id="96"/>
      <w:bookmarkEnd w:id="97"/>
      <w:bookmarkEnd w:id="98"/>
      <w:bookmarkEnd w:id="99"/>
    </w:p>
    <w:p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社严格遵守环境保护相关法律法规，制定节能减排制度措施：加强日常照明管理，鼓励员工随手关灯，杜绝长明灯；安排专人巡查电器使用情况，及时关闭闲置电器；对公务车实行统一管理，提高使用效率；定时维护用水设备；推行无纸化办公，鼓励双面打印；将绿色环保意识融入办公场所建设与装修；在办公区域张贴节能节水标语，提升员工节能减排意识。同时，鼓励员工文明餐饮，开展光盘行动，践行绿色健康生活方式，在办公及日常生活中节约能源、保护环境，弘扬崇俭抑奢正能量。</w:t>
      </w:r>
    </w:p>
    <w:p>
      <w:pPr>
        <w:numPr>
          <w:ilvl w:val="0"/>
          <w:numId w:val="0"/>
        </w:numPr>
        <w:spacing w:line="560" w:lineRule="exact"/>
        <w:ind w:firstLine="640" w:firstLineChars="200"/>
        <w:outlineLvl w:val="0"/>
        <w:rPr>
          <w:rFonts w:hint="eastAsia" w:ascii="黑体" w:hAnsi="黑体" w:eastAsia="黑体" w:cs="黑体"/>
          <w:sz w:val="32"/>
          <w:szCs w:val="32"/>
          <w:highlight w:val="none"/>
        </w:rPr>
      </w:pPr>
      <w:bookmarkStart w:id="100" w:name="_Toc8420"/>
      <w:bookmarkStart w:id="101" w:name="_Toc9107"/>
      <w:bookmarkStart w:id="102" w:name="_Toc7009"/>
      <w:bookmarkStart w:id="103" w:name="_Toc595"/>
      <w:bookmarkStart w:id="104" w:name="_Toc22142"/>
      <w:r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  <w:t>五、可持续相关风险与机遇</w:t>
      </w:r>
    </w:p>
    <w:p>
      <w:pPr>
        <w:pStyle w:val="2"/>
        <w:numPr>
          <w:ilvl w:val="0"/>
          <w:numId w:val="0"/>
        </w:numPr>
        <w:ind w:leftChars="0"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（一）主要风险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1.环境风险：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部分传统高耗能、高污染行业客户面临政策调整与环保约束，可能导致信贷资产质量波动。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2.社会风险：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县域人口老龄化、农村空心化对普惠金融服务能力提出更高要求，金融知识普及不足易引发消费者权益纠纷。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3.治理风险：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数字化转型过程中，信息科技风险与数据安全风险需持续防范。</w:t>
      </w:r>
    </w:p>
    <w:p>
      <w:pPr>
        <w:pStyle w:val="2"/>
        <w:numPr>
          <w:ilvl w:val="0"/>
          <w:numId w:val="0"/>
        </w:numPr>
        <w:ind w:leftChars="0"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（二）发展机遇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1.政策机遇：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国家乡村振兴战略、绿色发展政策与普惠金融导向，为联社拓展涉农、绿色信贷业务提供广阔空间。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2.市场机遇：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将乐县生态农业、文旅产业快速发展，催生大量绿色融资与普惠金融需求。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3.本土优势：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将乐联社深耕本土市场多年且全乡镇覆盖网点，拥有深厚的客户基础与地缘优势，更易精准对接县域可持续发展需求。</w:t>
      </w:r>
    </w:p>
    <w:p>
      <w:pPr>
        <w:spacing w:line="560" w:lineRule="exact"/>
        <w:ind w:firstLine="640" w:firstLineChars="200"/>
        <w:outlineLvl w:val="0"/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六</w:t>
      </w:r>
      <w:r>
        <w:rPr>
          <w:rFonts w:hint="eastAsia" w:ascii="黑体" w:hAnsi="黑体" w:eastAsia="黑体" w:cs="黑体"/>
          <w:sz w:val="32"/>
          <w:szCs w:val="32"/>
          <w:highlight w:val="none"/>
        </w:rPr>
        <w:t>、</w:t>
      </w:r>
      <w:r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  <w:t>可持续相关风险和机遇</w:t>
      </w:r>
    </w:p>
    <w:p>
      <w:pPr>
        <w:pStyle w:val="2"/>
        <w:numPr>
          <w:ilvl w:val="0"/>
          <w:numId w:val="0"/>
        </w:numPr>
        <w:ind w:leftChars="0"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（一）应对气候变化</w:t>
      </w:r>
    </w:p>
    <w:p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1.信贷支持气候适应性提升：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针对县域农业易受极端天气影响的特点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，2025年发放贷款60万元，支持2户种植合作社改造排灌设施，增强抗旱防涝能力，减少气候灾害导致的损失约5万元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2.自身运营适应措施：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汛期前完成14个网点防汛物资储备及电路防雷改造，高温时段优化营业安排并推广节能设备，保障极端天气下服务连续。</w:t>
      </w:r>
    </w:p>
    <w:p>
      <w:pPr>
        <w:pStyle w:val="2"/>
        <w:numPr>
          <w:ilvl w:val="0"/>
          <w:numId w:val="0"/>
        </w:numPr>
        <w:ind w:leftChars="0"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（二）生物多样性保护</w:t>
      </w:r>
    </w:p>
    <w:p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1.支持生态友好型产业：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发放贷款100万元支持涉林企业发展林下中草药种植，采用“不砍树、低干扰”模式保护林地生态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spacing w:line="560" w:lineRule="exact"/>
        <w:ind w:firstLine="643" w:firstLineChars="200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2.严守生态红线：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对自然保护区、饮用水源地周边的违规开发项目实行授信否决，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2025年否决1笔涉林地违规贷款，金额90万元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bookmarkEnd w:id="100"/>
    <w:bookmarkEnd w:id="101"/>
    <w:bookmarkEnd w:id="102"/>
    <w:bookmarkEnd w:id="103"/>
    <w:bookmarkEnd w:id="104"/>
    <w:p>
      <w:pPr>
        <w:spacing w:line="560" w:lineRule="exact"/>
        <w:ind w:firstLine="640" w:firstLineChars="200"/>
        <w:outlineLvl w:val="0"/>
        <w:rPr>
          <w:rFonts w:hint="eastAsia" w:ascii="仿宋_GB2312" w:hAnsi="仿宋_GB2312" w:eastAsia="黑体" w:cs="仿宋_GB2312"/>
          <w:sz w:val="32"/>
          <w:szCs w:val="32"/>
          <w:highlight w:val="none"/>
          <w:lang w:eastAsia="zh-CN"/>
        </w:rPr>
      </w:pPr>
      <w:bookmarkStart w:id="105" w:name="_Toc24149"/>
      <w:bookmarkStart w:id="106" w:name="_Toc14598"/>
      <w:bookmarkStart w:id="107" w:name="_Toc3954"/>
      <w:bookmarkStart w:id="108" w:name="_Toc5504"/>
      <w:bookmarkStart w:id="109" w:name="_Toc18312"/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七</w:t>
      </w:r>
      <w:r>
        <w:rPr>
          <w:rFonts w:hint="eastAsia" w:ascii="黑体" w:hAnsi="黑体" w:eastAsia="黑体" w:cs="黑体"/>
          <w:sz w:val="32"/>
          <w:szCs w:val="32"/>
          <w:highlight w:val="none"/>
        </w:rPr>
        <w:t>、投融资活动</w:t>
      </w:r>
      <w:bookmarkEnd w:id="105"/>
      <w:bookmarkEnd w:id="106"/>
      <w:bookmarkEnd w:id="107"/>
      <w:bookmarkEnd w:id="108"/>
      <w:bookmarkEnd w:id="109"/>
      <w:r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  <w:t>可持续信息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自2024年起，本社在顶层设计、产品体系、管理配套与运营优化等核心领域加速推进布局，持续优化各项制度机制的构建，大力拓展业务规模并提升客户数量，同时显著增加绿色金融贷款的占比。截至202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年末，本社绿色信贷余额达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19767.61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万元。</w:t>
      </w:r>
    </w:p>
    <w:p>
      <w:pPr>
        <w:pStyle w:val="2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420" w:leftChars="200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0"/>
          <w:sz w:val="28"/>
          <w:szCs w:val="28"/>
          <w:highlight w:val="none"/>
          <w:u w:color="000000"/>
          <w:lang w:val="zh-TW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28"/>
          <w:szCs w:val="28"/>
          <w:highlight w:val="none"/>
          <w:u w:color="000000"/>
          <w:lang w:val="zh-TW" w:eastAsia="zh-CN" w:bidi="ar-SA"/>
        </w:rPr>
        <w:t>投融资活动对气候与环境的影响（银行业金融机构参考）</w:t>
      </w:r>
    </w:p>
    <w:tbl>
      <w:tblPr>
        <w:tblStyle w:val="8"/>
        <w:tblW w:w="500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906"/>
        <w:gridCol w:w="3399"/>
        <w:gridCol w:w="1760"/>
        <w:gridCol w:w="10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1598" w:type="pct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lang w:eastAsia="zh-TW"/>
              </w:rPr>
              <w:t>指标名称</w:t>
            </w:r>
          </w:p>
        </w:tc>
        <w:tc>
          <w:tcPr>
            <w:tcW w:w="1869" w:type="pct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lang w:eastAsia="zh-TW"/>
              </w:rPr>
              <w:t>披露细项</w:t>
            </w:r>
          </w:p>
        </w:tc>
        <w:tc>
          <w:tcPr>
            <w:tcW w:w="968" w:type="pct"/>
            <w:tcBorders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</w:rPr>
              <w:t>披露数据</w:t>
            </w:r>
          </w:p>
        </w:tc>
        <w:tc>
          <w:tcPr>
            <w:tcW w:w="562" w:type="pct"/>
            <w:tcBorders>
              <w:left w:val="nil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lang w:eastAsia="zh-TW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1598" w:type="pct"/>
            <w:vMerge w:val="restart"/>
            <w:tcBorders>
              <w:top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TW"/>
              </w:rPr>
              <w:t>绿色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贷款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TW"/>
              </w:rPr>
              <w:t>余额及占比</w:t>
            </w:r>
          </w:p>
        </w:tc>
        <w:tc>
          <w:tcPr>
            <w:tcW w:w="18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TW"/>
              </w:rPr>
              <w:t>绿色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贷款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TW"/>
              </w:rPr>
              <w:t>余额（万元）</w:t>
            </w:r>
          </w:p>
        </w:tc>
        <w:tc>
          <w:tcPr>
            <w:tcW w:w="96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19767.61</w:t>
            </w:r>
          </w:p>
        </w:tc>
        <w:tc>
          <w:tcPr>
            <w:tcW w:w="562" w:type="pct"/>
            <w:tcBorders>
              <w:top w:val="nil"/>
              <w:left w:val="nil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1598" w:type="pct"/>
            <w:vMerge w:val="continue"/>
            <w:tcBorders>
              <w:top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各项贷款余额（万元）</w:t>
            </w:r>
          </w:p>
        </w:tc>
        <w:tc>
          <w:tcPr>
            <w:tcW w:w="96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317153.27</w:t>
            </w:r>
          </w:p>
        </w:tc>
        <w:tc>
          <w:tcPr>
            <w:tcW w:w="562" w:type="pct"/>
            <w:tcBorders>
              <w:top w:val="nil"/>
              <w:left w:val="nil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1598" w:type="pct"/>
            <w:vMerge w:val="continue"/>
            <w:tcBorders>
              <w:top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8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TW"/>
              </w:rPr>
              <w:t>绿色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贷款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TW"/>
              </w:rPr>
              <w:t>占比（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%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TW"/>
              </w:rPr>
              <w:t>）</w:t>
            </w:r>
          </w:p>
        </w:tc>
        <w:tc>
          <w:tcPr>
            <w:tcW w:w="96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6.23</w:t>
            </w:r>
          </w:p>
        </w:tc>
        <w:tc>
          <w:tcPr>
            <w:tcW w:w="562" w:type="pct"/>
            <w:tcBorders>
              <w:top w:val="nil"/>
              <w:left w:val="nil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exact"/>
        </w:trPr>
        <w:tc>
          <w:tcPr>
            <w:tcW w:w="1598" w:type="pct"/>
            <w:tcBorders>
              <w:top w:val="nil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TW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持有绿色债券余额及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TW"/>
              </w:rPr>
              <w:t>折合减排情况</w:t>
            </w:r>
          </w:p>
        </w:tc>
        <w:tc>
          <w:tcPr>
            <w:tcW w:w="18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持有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TW"/>
              </w:rPr>
              <w:t>绿色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债券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TW"/>
              </w:rPr>
              <w:t>余额（万元）</w:t>
            </w:r>
          </w:p>
        </w:tc>
        <w:tc>
          <w:tcPr>
            <w:tcW w:w="96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0</w:t>
            </w:r>
          </w:p>
        </w:tc>
        <w:tc>
          <w:tcPr>
            <w:tcW w:w="562" w:type="pct"/>
            <w:tcBorders>
              <w:top w:val="nil"/>
              <w:left w:val="nil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</w:tbl>
    <w:p>
      <w:pPr>
        <w:spacing w:line="560" w:lineRule="exact"/>
        <w:ind w:firstLine="640" w:firstLineChars="200"/>
        <w:outlineLvl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本社积极响应国家政策及相关监管要求，坚持企业融资与可持续发展相结合的基本思路，</w:t>
      </w:r>
      <w:bookmarkStart w:id="110" w:name="title"/>
      <w:r>
        <w:rPr>
          <w:rFonts w:hint="eastAsia" w:ascii="仿宋_GB2312" w:hAnsi="仿宋_GB2312" w:eastAsia="仿宋_GB2312" w:cs="仿宋_GB2312"/>
          <w:sz w:val="32"/>
          <w:szCs w:val="32"/>
        </w:rPr>
        <w:t>本社制定了《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将乐</w:t>
      </w:r>
      <w:r>
        <w:rPr>
          <w:rFonts w:hint="eastAsia" w:ascii="仿宋_GB2312" w:hAnsi="仿宋_GB2312" w:eastAsia="仿宋_GB2312" w:cs="仿宋_GB2312"/>
          <w:sz w:val="32"/>
          <w:szCs w:val="32"/>
        </w:rPr>
        <w:t>县农村信用合作联社关于加快推进绿色金融发展的实施意见</w:t>
      </w:r>
      <w:bookmarkEnd w:id="110"/>
      <w:r>
        <w:rPr>
          <w:rFonts w:hint="eastAsia" w:ascii="仿宋_GB2312" w:hAnsi="仿宋_GB2312" w:eastAsia="仿宋_GB2312" w:cs="仿宋_GB2312"/>
          <w:sz w:val="32"/>
          <w:szCs w:val="32"/>
        </w:rPr>
        <w:t>》，明确绿色信贷贷前、贷中、贷后操作流程，对绿色信贷审批流程进行优化，将绿色产业定为本社鼓励支持类行业，进一步构建绿色金融服务体系，促进绿色金融发展，提升本社环境和社会表现。本社将绿色产业列为鼓励支持类行业，主要包括节能环保、清洁生产、清洁能源、生态环境保护、基础设施绿色升级和绿色服务等六大类产业及其下属行业。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年，本社继续将“两高一剩”行业列为退出限制类行业，今年来持续保持“两高一剩”行业贷款零余额，同时严格控制违规新增产能的信贷投入。截至202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年末，本社绿色信贷余额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1.98</w:t>
      </w:r>
      <w:r>
        <w:rPr>
          <w:rFonts w:hint="eastAsia" w:ascii="仿宋_GB2312" w:hAnsi="仿宋_GB2312" w:eastAsia="仿宋_GB2312" w:cs="仿宋_GB2312"/>
          <w:sz w:val="32"/>
          <w:szCs w:val="32"/>
        </w:rPr>
        <w:t>亿元，主要是支持企业进行绿色养殖、绿色苗木、林下经济等。</w:t>
      </w:r>
    </w:p>
    <w:p>
      <w:pPr>
        <w:spacing w:line="560" w:lineRule="exact"/>
        <w:ind w:firstLine="640" w:firstLineChars="200"/>
        <w:outlineLvl w:val="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八</w:t>
      </w:r>
      <w:r>
        <w:rPr>
          <w:rFonts w:hint="eastAsia" w:ascii="黑体" w:hAnsi="黑体" w:eastAsia="黑体" w:cs="黑体"/>
          <w:sz w:val="32"/>
          <w:szCs w:val="32"/>
        </w:rPr>
        <w:t>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自身运营可持续相关信息</w:t>
      </w:r>
      <w:r>
        <w:rPr>
          <w:rFonts w:hint="eastAsia" w:ascii="黑体" w:hAnsi="黑体" w:eastAsia="黑体" w:cs="黑体"/>
          <w:sz w:val="32"/>
          <w:szCs w:val="32"/>
        </w:rPr>
        <w:t xml:space="preserve"> </w:t>
      </w:r>
    </w:p>
    <w:p>
      <w:pPr>
        <w:spacing w:line="560" w:lineRule="exact"/>
        <w:ind w:firstLine="643" w:firstLineChars="200"/>
        <w:outlineLvl w:val="1"/>
        <w:rPr>
          <w:rFonts w:ascii="仿宋_GB2312" w:hAnsi="仿宋_GB2312" w:eastAsia="仿宋_GB2312" w:cs="仿宋_GB2312"/>
          <w:sz w:val="32"/>
          <w:szCs w:val="32"/>
        </w:rPr>
      </w:pPr>
      <w:bookmarkStart w:id="111" w:name="_Toc7726"/>
      <w:bookmarkStart w:id="112" w:name="_Toc2756"/>
      <w:bookmarkStart w:id="113" w:name="_Toc17248"/>
      <w:bookmarkStart w:id="114" w:name="_Toc17931"/>
      <w:bookmarkStart w:id="115" w:name="_Toc16003"/>
      <w:r>
        <w:rPr>
          <w:rFonts w:hint="eastAsia" w:ascii="楷体" w:hAnsi="楷体" w:eastAsia="楷体" w:cs="楷体"/>
          <w:b/>
          <w:bCs/>
          <w:sz w:val="32"/>
          <w:szCs w:val="32"/>
        </w:rPr>
        <w:t>(一)经营活动产生的资源消耗</w:t>
      </w:r>
      <w:bookmarkEnd w:id="111"/>
      <w:bookmarkEnd w:id="112"/>
      <w:bookmarkEnd w:id="113"/>
      <w:bookmarkEnd w:id="114"/>
      <w:bookmarkEnd w:id="115"/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本社结合经营过程中的资源消耗实际，区分直接碳排放与间接碳排放，具体如下：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直接碳排放（Scope 1）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主要来源于自有交通运输工具的燃油消耗，按汽油碳排放因子（约2.3千克CO₂/升）测算：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自有交通运输工具消耗燃油3699.5升，直接碳排放约8508.85千克（3699.5升×2.3千克CO₂/升），人均直接碳排放约62.8千克（8508.85千克÷132人，按燃油消耗对应人均数据推算）。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间接碳排放（Scope 2）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主要来源于营业办公电力消耗，参考福建省区域电网平均碳排放因子（约0.58吨CO₂/兆瓦时）测算：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营业办公消耗电力61.57万千瓦时（即61.57兆瓦时），间接碳排放约35.71吨（61.57兆瓦时×0.58吨CO₂/兆瓦时），人均间接碳排放约0.27吨（35.71吨÷132人，按电力消耗对应人均数据推算）。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注：目前本社暂未将水资源消耗、纸张消耗等纳入碳排放统计范围，后续将逐步完善核算体系，持续优化节能减排措施。</w:t>
      </w:r>
      <w:bookmarkStart w:id="116" w:name="_Toc11352"/>
      <w:bookmarkStart w:id="117" w:name="_Toc31205"/>
      <w:bookmarkStart w:id="118" w:name="_Toc29761"/>
      <w:bookmarkStart w:id="119" w:name="_Toc11234"/>
      <w:bookmarkStart w:id="120" w:name="_Toc16866"/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(二)环保措施及成果</w:t>
      </w:r>
      <w:bookmarkEnd w:id="116"/>
      <w:bookmarkEnd w:id="117"/>
      <w:bookmarkEnd w:id="118"/>
      <w:bookmarkEnd w:id="119"/>
      <w:bookmarkEnd w:id="120"/>
    </w:p>
    <w:p>
      <w:pPr>
        <w:pStyle w:val="12"/>
        <w:spacing w:line="540" w:lineRule="exact"/>
        <w:ind w:firstLine="440"/>
        <w:outlineLvl w:val="2"/>
        <w:rPr>
          <w:rFonts w:ascii="仿宋" w:hAnsi="仿宋" w:eastAsia="仿宋" w:cs="Times New Roman"/>
          <w:b/>
          <w:color w:val="auto"/>
          <w:kern w:val="2"/>
          <w:sz w:val="32"/>
          <w:szCs w:val="32"/>
        </w:rPr>
      </w:pPr>
      <w:bookmarkStart w:id="121" w:name="_Toc20674"/>
      <w:bookmarkStart w:id="122" w:name="_Toc12498"/>
      <w:bookmarkStart w:id="123" w:name="_Toc28910"/>
      <w:bookmarkStart w:id="124" w:name="_Toc8491"/>
      <w:bookmarkStart w:id="125" w:name="_Toc10911"/>
      <w:r>
        <w:rPr>
          <w:rFonts w:hint="eastAsia" w:ascii="仿宋" w:hAnsi="仿宋" w:eastAsia="仿宋" w:cs="Times New Roman"/>
          <w:b/>
          <w:color w:val="auto"/>
          <w:kern w:val="2"/>
          <w:sz w:val="32"/>
          <w:szCs w:val="32"/>
        </w:rPr>
        <w:t>1.绿色办公</w:t>
      </w:r>
      <w:bookmarkEnd w:id="121"/>
      <w:bookmarkEnd w:id="122"/>
      <w:bookmarkEnd w:id="123"/>
      <w:bookmarkEnd w:id="124"/>
      <w:bookmarkEnd w:id="125"/>
    </w:p>
    <w:p>
      <w:pPr>
        <w:pStyle w:val="12"/>
        <w:spacing w:line="540" w:lineRule="exact"/>
        <w:ind w:firstLine="440"/>
        <w:rPr>
          <w:rFonts w:ascii="仿宋" w:hAnsi="仿宋" w:eastAsia="仿宋" w:cs="Times New Roman"/>
          <w:color w:val="auto"/>
          <w:kern w:val="2"/>
          <w:sz w:val="32"/>
          <w:szCs w:val="32"/>
        </w:rPr>
      </w:pPr>
      <w:r>
        <w:rPr>
          <w:rFonts w:hint="eastAsia" w:ascii="仿宋" w:hAnsi="仿宋" w:eastAsia="仿宋" w:cs="Times New Roman"/>
          <w:color w:val="auto"/>
          <w:kern w:val="2"/>
          <w:sz w:val="32"/>
          <w:szCs w:val="32"/>
        </w:rPr>
        <w:t>为加强节能降耗管理，提高能源利用效率，实现节能降耗、保护环境、降本增效的可持续发展目标，本社倡导全体员工在办公活动中节约资源，减少水、电、纸、油等能源的直接和间接损耗，提高能源效率和保护环境。</w:t>
      </w:r>
    </w:p>
    <w:p>
      <w:pPr>
        <w:pStyle w:val="12"/>
        <w:spacing w:line="540" w:lineRule="exact"/>
        <w:ind w:firstLine="440"/>
        <w:rPr>
          <w:rFonts w:ascii="仿宋" w:hAnsi="仿宋" w:eastAsia="仿宋" w:cs="Times New Roman"/>
          <w:b/>
          <w:color w:val="auto"/>
          <w:kern w:val="2"/>
          <w:sz w:val="32"/>
          <w:szCs w:val="32"/>
        </w:rPr>
      </w:pPr>
      <w:r>
        <w:rPr>
          <w:rFonts w:hint="eastAsia" w:ascii="仿宋" w:hAnsi="仿宋" w:eastAsia="仿宋" w:cs="Times New Roman"/>
          <w:b/>
          <w:color w:val="auto"/>
          <w:kern w:val="2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Times New Roman"/>
          <w:b/>
          <w:color w:val="auto"/>
          <w:kern w:val="2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Times New Roman"/>
          <w:b/>
          <w:color w:val="auto"/>
          <w:kern w:val="2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Times New Roman"/>
          <w:b/>
          <w:color w:val="auto"/>
          <w:kern w:val="2"/>
          <w:sz w:val="32"/>
          <w:szCs w:val="32"/>
        </w:rPr>
        <w:t>节电管理</w:t>
      </w:r>
    </w:p>
    <w:p>
      <w:pPr>
        <w:pStyle w:val="12"/>
        <w:spacing w:line="540" w:lineRule="exact"/>
        <w:ind w:firstLine="440"/>
        <w:rPr>
          <w:rFonts w:hint="eastAsia" w:ascii="仿宋" w:hAnsi="仿宋" w:eastAsia="仿宋" w:cs="Times New Roman"/>
          <w:color w:val="auto"/>
          <w:kern w:val="2"/>
          <w:sz w:val="32"/>
          <w:szCs w:val="32"/>
        </w:rPr>
      </w:pPr>
      <w:r>
        <w:rPr>
          <w:rFonts w:hint="eastAsia" w:ascii="仿宋" w:hAnsi="仿宋" w:eastAsia="仿宋" w:cs="Times New Roman"/>
          <w:color w:val="auto"/>
          <w:kern w:val="2"/>
          <w:sz w:val="32"/>
          <w:szCs w:val="32"/>
        </w:rPr>
        <w:t>我社通过加强对照明设备、空调、办公室设备、电梯等电器设备的管理，要求本社全体员工根据实际内、外部情况按需使用，及时对各个设施更新换代，积极使用节电设备，倡导本社低耗能的工作日常。</w:t>
      </w:r>
    </w:p>
    <w:p>
      <w:pPr>
        <w:pStyle w:val="12"/>
        <w:spacing w:line="540" w:lineRule="exact"/>
        <w:ind w:firstLine="440"/>
        <w:rPr>
          <w:rFonts w:hint="eastAsia" w:ascii="仿宋" w:hAnsi="仿宋" w:eastAsia="仿宋" w:cs="Times New Roman"/>
          <w:color w:val="auto"/>
          <w:kern w:val="2"/>
          <w:sz w:val="32"/>
          <w:szCs w:val="32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61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>
            <w:pPr>
              <w:pStyle w:val="12"/>
              <w:spacing w:line="540" w:lineRule="exact"/>
              <w:jc w:val="center"/>
              <w:rPr>
                <w:b/>
                <w:color w:val="auto"/>
                <w:sz w:val="30"/>
                <w:szCs w:val="30"/>
              </w:rPr>
            </w:pPr>
            <w:r>
              <w:rPr>
                <w:rFonts w:hint="eastAsia"/>
                <w:b/>
                <w:color w:val="auto"/>
                <w:sz w:val="30"/>
                <w:szCs w:val="30"/>
              </w:rPr>
              <w:t>管理措施</w:t>
            </w:r>
          </w:p>
        </w:tc>
        <w:tc>
          <w:tcPr>
            <w:tcW w:w="6146" w:type="dxa"/>
          </w:tcPr>
          <w:p>
            <w:pPr>
              <w:pStyle w:val="12"/>
              <w:spacing w:line="540" w:lineRule="exact"/>
              <w:jc w:val="center"/>
              <w:rPr>
                <w:b/>
                <w:color w:val="auto"/>
                <w:sz w:val="30"/>
                <w:szCs w:val="30"/>
              </w:rPr>
            </w:pPr>
            <w:r>
              <w:rPr>
                <w:rFonts w:hint="eastAsia"/>
                <w:b/>
                <w:color w:val="auto"/>
                <w:sz w:val="30"/>
                <w:szCs w:val="30"/>
              </w:rPr>
              <w:t>执行项目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>
            <w:pPr>
              <w:pStyle w:val="12"/>
              <w:spacing w:line="540" w:lineRule="exact"/>
              <w:jc w:val="center"/>
              <w:rPr>
                <w:color w:val="auto"/>
                <w:sz w:val="30"/>
                <w:szCs w:val="30"/>
              </w:rPr>
            </w:pPr>
          </w:p>
          <w:p>
            <w:pPr>
              <w:pStyle w:val="12"/>
              <w:spacing w:line="540" w:lineRule="exact"/>
              <w:jc w:val="center"/>
              <w:rPr>
                <w:color w:val="auto"/>
                <w:sz w:val="30"/>
                <w:szCs w:val="30"/>
              </w:rPr>
            </w:pPr>
          </w:p>
          <w:p>
            <w:pPr>
              <w:pStyle w:val="12"/>
              <w:spacing w:line="540" w:lineRule="exact"/>
              <w:jc w:val="center"/>
              <w:rPr>
                <w:color w:val="auto"/>
                <w:sz w:val="30"/>
                <w:szCs w:val="30"/>
              </w:rPr>
            </w:pPr>
          </w:p>
          <w:p>
            <w:pPr>
              <w:pStyle w:val="12"/>
              <w:spacing w:line="540" w:lineRule="exact"/>
              <w:jc w:val="center"/>
              <w:rPr>
                <w:color w:val="auto"/>
                <w:sz w:val="30"/>
                <w:szCs w:val="30"/>
              </w:rPr>
            </w:pPr>
          </w:p>
          <w:p>
            <w:pPr>
              <w:pStyle w:val="12"/>
              <w:spacing w:line="540" w:lineRule="exact"/>
              <w:rPr>
                <w:color w:val="auto"/>
                <w:sz w:val="30"/>
                <w:szCs w:val="30"/>
              </w:rPr>
            </w:pPr>
          </w:p>
          <w:p>
            <w:pPr>
              <w:pStyle w:val="12"/>
              <w:spacing w:line="540" w:lineRule="exact"/>
              <w:jc w:val="center"/>
              <w:rPr>
                <w:color w:val="auto"/>
                <w:sz w:val="30"/>
                <w:szCs w:val="30"/>
              </w:rPr>
            </w:pPr>
            <w:r>
              <w:rPr>
                <w:rFonts w:hint="eastAsia"/>
                <w:color w:val="auto"/>
                <w:sz w:val="30"/>
                <w:szCs w:val="30"/>
              </w:rPr>
              <w:t>照明管理</w:t>
            </w:r>
          </w:p>
        </w:tc>
        <w:tc>
          <w:tcPr>
            <w:tcW w:w="6146" w:type="dxa"/>
          </w:tcPr>
          <w:p>
            <w:pPr>
              <w:pStyle w:val="12"/>
              <w:spacing w:line="540" w:lineRule="exact"/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2"/>
                <w:sz w:val="30"/>
                <w:szCs w:val="30"/>
              </w:rPr>
              <w:t>◆</w:t>
            </w:r>
            <w:r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 w:cs="Times New Roman"/>
                <w:color w:val="auto"/>
                <w:kern w:val="2"/>
                <w:sz w:val="30"/>
                <w:szCs w:val="30"/>
              </w:rPr>
              <w:t>根据实际情况按需开灯：光线充足、自然光照较好时不开灯；长时间离开办公室或下班后及时关灯；严禁拉窗帘遮光开灯；人少时少开灯。</w:t>
            </w:r>
            <w:r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  <w:t xml:space="preserve"> </w:t>
            </w:r>
          </w:p>
          <w:p>
            <w:pPr>
              <w:pStyle w:val="12"/>
              <w:spacing w:line="540" w:lineRule="exact"/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2"/>
                <w:sz w:val="30"/>
                <w:szCs w:val="30"/>
              </w:rPr>
              <w:t>◆</w:t>
            </w:r>
            <w:r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 w:cs="Times New Roman"/>
                <w:color w:val="auto"/>
                <w:kern w:val="2"/>
                <w:sz w:val="30"/>
                <w:szCs w:val="30"/>
              </w:rPr>
              <w:t>会议室、接待室等场所使用管理：应在使用前半小时以内开启；会议准备期间尽量少开灯，会议结束后人离灯熄；无会时不开灯，杜绝长明灯。</w:t>
            </w:r>
            <w:r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  <w:t xml:space="preserve"> </w:t>
            </w:r>
          </w:p>
          <w:p>
            <w:pPr>
              <w:pStyle w:val="12"/>
              <w:spacing w:line="540" w:lineRule="exact"/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2"/>
                <w:sz w:val="30"/>
                <w:szCs w:val="30"/>
              </w:rPr>
              <w:t>◆</w:t>
            </w:r>
            <w:r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 w:cs="Times New Roman"/>
                <w:color w:val="auto"/>
                <w:kern w:val="2"/>
                <w:sz w:val="30"/>
                <w:szCs w:val="30"/>
              </w:rPr>
              <w:t>节能灯具管理：积极使用节能照明灯具；及时更换非节能灯具；严禁使用已淘汰的高耗能照明设备。</w:t>
            </w:r>
            <w:r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>
            <w:pPr>
              <w:pStyle w:val="12"/>
              <w:spacing w:line="540" w:lineRule="exact"/>
              <w:jc w:val="center"/>
              <w:rPr>
                <w:color w:val="auto"/>
                <w:sz w:val="30"/>
                <w:szCs w:val="30"/>
              </w:rPr>
            </w:pPr>
          </w:p>
          <w:p>
            <w:pPr>
              <w:pStyle w:val="12"/>
              <w:spacing w:line="540" w:lineRule="exact"/>
              <w:jc w:val="center"/>
              <w:rPr>
                <w:color w:val="auto"/>
                <w:sz w:val="30"/>
                <w:szCs w:val="30"/>
              </w:rPr>
            </w:pPr>
          </w:p>
          <w:p>
            <w:pPr>
              <w:pStyle w:val="12"/>
              <w:spacing w:line="540" w:lineRule="exact"/>
              <w:rPr>
                <w:color w:val="auto"/>
                <w:sz w:val="30"/>
                <w:szCs w:val="30"/>
              </w:rPr>
            </w:pPr>
          </w:p>
          <w:p>
            <w:pPr>
              <w:pStyle w:val="12"/>
              <w:spacing w:line="540" w:lineRule="exact"/>
              <w:ind w:firstLine="600" w:firstLineChars="200"/>
              <w:rPr>
                <w:color w:val="auto"/>
                <w:sz w:val="30"/>
                <w:szCs w:val="30"/>
              </w:rPr>
            </w:pPr>
            <w:r>
              <w:rPr>
                <w:rFonts w:hint="eastAsia"/>
                <w:color w:val="auto"/>
                <w:sz w:val="30"/>
                <w:szCs w:val="30"/>
              </w:rPr>
              <w:t>空调管理</w:t>
            </w:r>
          </w:p>
        </w:tc>
        <w:tc>
          <w:tcPr>
            <w:tcW w:w="6146" w:type="dxa"/>
          </w:tcPr>
          <w:p>
            <w:pPr>
              <w:pStyle w:val="12"/>
              <w:spacing w:line="540" w:lineRule="exact"/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2"/>
                <w:sz w:val="30"/>
                <w:szCs w:val="30"/>
              </w:rPr>
              <w:t>◆</w:t>
            </w:r>
            <w:r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 w:cs="Times New Roman"/>
                <w:color w:val="auto"/>
                <w:kern w:val="2"/>
                <w:sz w:val="30"/>
                <w:szCs w:val="30"/>
              </w:rPr>
              <w:t>温度管理：夏季室内空调温度设置不得低于</w:t>
            </w:r>
            <w:r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  <w:t>26</w:t>
            </w:r>
            <w:r>
              <w:rPr>
                <w:rFonts w:hint="eastAsia" w:ascii="仿宋" w:hAnsi="仿宋" w:eastAsia="仿宋" w:cs="Times New Roman"/>
                <w:color w:val="auto"/>
                <w:kern w:val="2"/>
                <w:sz w:val="30"/>
                <w:szCs w:val="30"/>
              </w:rPr>
              <w:t>℃；冬季室内空调温度设置不得高</w:t>
            </w:r>
            <w:r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  <w:t>18</w:t>
            </w:r>
            <w:r>
              <w:rPr>
                <w:rFonts w:hint="eastAsia" w:ascii="仿宋" w:hAnsi="仿宋" w:eastAsia="仿宋" w:cs="Times New Roman"/>
                <w:color w:val="auto"/>
                <w:kern w:val="2"/>
                <w:sz w:val="30"/>
                <w:szCs w:val="30"/>
              </w:rPr>
              <w:t>℃。</w:t>
            </w:r>
            <w:r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  <w:t xml:space="preserve"> </w:t>
            </w:r>
          </w:p>
          <w:p>
            <w:pPr>
              <w:pStyle w:val="12"/>
              <w:spacing w:line="540" w:lineRule="exact"/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2"/>
                <w:sz w:val="30"/>
                <w:szCs w:val="30"/>
              </w:rPr>
              <w:t>◆</w:t>
            </w:r>
            <w:r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 w:cs="Times New Roman"/>
                <w:color w:val="auto"/>
                <w:kern w:val="2"/>
                <w:sz w:val="30"/>
                <w:szCs w:val="30"/>
              </w:rPr>
              <w:t>根据实际情况按需使用：除工作需要外，严格禁止开启空调时打开门窗或室内长时间无人；下班应提前半小时关闭。</w:t>
            </w:r>
            <w:r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  <w:t xml:space="preserve"> </w:t>
            </w:r>
          </w:p>
          <w:p>
            <w:pPr>
              <w:pStyle w:val="12"/>
              <w:spacing w:line="540" w:lineRule="exact"/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2"/>
                <w:sz w:val="30"/>
                <w:szCs w:val="30"/>
              </w:rPr>
              <w:t>◆</w:t>
            </w:r>
            <w:r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 w:cs="Times New Roman"/>
                <w:color w:val="auto"/>
                <w:kern w:val="2"/>
                <w:sz w:val="30"/>
                <w:szCs w:val="30"/>
              </w:rPr>
              <w:t>会议室、接待室等场所使用管理：前开启时间不得超过半小时；使用完毕及时关闭。</w:t>
            </w:r>
            <w:r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  <w:t xml:space="preserve"> </w:t>
            </w:r>
          </w:p>
          <w:p>
            <w:pPr>
              <w:pStyle w:val="12"/>
              <w:spacing w:line="540" w:lineRule="exact"/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2"/>
                <w:sz w:val="30"/>
                <w:szCs w:val="30"/>
              </w:rPr>
              <w:t>◆</w:t>
            </w:r>
            <w:r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 w:cs="Times New Roman"/>
                <w:color w:val="auto"/>
                <w:kern w:val="2"/>
                <w:sz w:val="30"/>
                <w:szCs w:val="30"/>
              </w:rPr>
              <w:t>中央空调的管理：建立维修和保养台帐。</w:t>
            </w:r>
            <w:r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>
            <w:pPr>
              <w:pStyle w:val="12"/>
              <w:spacing w:line="540" w:lineRule="exact"/>
              <w:ind w:firstLine="900" w:firstLineChars="300"/>
              <w:rPr>
                <w:color w:val="auto"/>
                <w:sz w:val="30"/>
                <w:szCs w:val="30"/>
              </w:rPr>
            </w:pPr>
          </w:p>
          <w:p>
            <w:pPr>
              <w:pStyle w:val="12"/>
              <w:spacing w:line="540" w:lineRule="exact"/>
              <w:rPr>
                <w:color w:val="auto"/>
                <w:sz w:val="30"/>
                <w:szCs w:val="30"/>
              </w:rPr>
            </w:pPr>
          </w:p>
          <w:p>
            <w:pPr>
              <w:pStyle w:val="12"/>
              <w:spacing w:line="540" w:lineRule="exact"/>
              <w:rPr>
                <w:color w:val="auto"/>
                <w:sz w:val="30"/>
                <w:szCs w:val="30"/>
              </w:rPr>
            </w:pPr>
          </w:p>
          <w:p>
            <w:pPr>
              <w:pStyle w:val="12"/>
              <w:spacing w:line="540" w:lineRule="exact"/>
              <w:ind w:firstLine="300" w:firstLineChars="100"/>
              <w:rPr>
                <w:color w:val="auto"/>
                <w:sz w:val="30"/>
                <w:szCs w:val="30"/>
              </w:rPr>
            </w:pPr>
            <w:r>
              <w:rPr>
                <w:rFonts w:hint="eastAsia"/>
                <w:color w:val="auto"/>
                <w:sz w:val="30"/>
                <w:szCs w:val="30"/>
              </w:rPr>
              <w:t>办公设备管理</w:t>
            </w:r>
          </w:p>
        </w:tc>
        <w:tc>
          <w:tcPr>
            <w:tcW w:w="6146" w:type="dxa"/>
          </w:tcPr>
          <w:p>
            <w:pPr>
              <w:pStyle w:val="12"/>
              <w:spacing w:line="540" w:lineRule="exact"/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2"/>
                <w:sz w:val="30"/>
                <w:szCs w:val="30"/>
              </w:rPr>
              <w:t>◆</w:t>
            </w:r>
            <w:r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 w:cs="Times New Roman"/>
                <w:color w:val="auto"/>
                <w:kern w:val="2"/>
                <w:sz w:val="30"/>
                <w:szCs w:val="30"/>
              </w:rPr>
              <w:t>电脑、打印机、复印机等设备使用：长时间不用时应及时关闭电源；暂时不用时应将设备调到低能耗状态；尽量调低显示器亮度，减少显示器休眠时间；下班关机的同时关闭显示器和接线板电源。</w:t>
            </w:r>
            <w:r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  <w:t xml:space="preserve"> </w:t>
            </w:r>
          </w:p>
          <w:p>
            <w:pPr>
              <w:pStyle w:val="12"/>
              <w:spacing w:line="540" w:lineRule="exact"/>
              <w:rPr>
                <w:rFonts w:hint="eastAsia" w:eastAsia="仿宋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2"/>
                <w:sz w:val="30"/>
                <w:szCs w:val="30"/>
              </w:rPr>
              <w:t>◆</w:t>
            </w:r>
            <w:r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 w:cs="Times New Roman"/>
                <w:color w:val="auto"/>
                <w:kern w:val="2"/>
                <w:sz w:val="30"/>
                <w:szCs w:val="30"/>
              </w:rPr>
              <w:t>选购节能环保产品</w:t>
            </w:r>
            <w:r>
              <w:rPr>
                <w:rFonts w:hint="eastAsia" w:ascii="仿宋" w:hAnsi="仿宋" w:eastAsia="仿宋" w:cs="Times New Roman"/>
                <w:color w:val="auto"/>
                <w:kern w:val="2"/>
                <w:sz w:val="30"/>
                <w:szCs w:val="30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vAlign w:val="center"/>
          </w:tcPr>
          <w:p>
            <w:pPr>
              <w:pStyle w:val="12"/>
              <w:spacing w:line="540" w:lineRule="exact"/>
              <w:jc w:val="center"/>
              <w:rPr>
                <w:color w:val="auto"/>
                <w:sz w:val="30"/>
                <w:szCs w:val="30"/>
              </w:rPr>
            </w:pPr>
          </w:p>
          <w:p>
            <w:pPr>
              <w:pStyle w:val="12"/>
              <w:spacing w:line="540" w:lineRule="exact"/>
              <w:jc w:val="center"/>
              <w:rPr>
                <w:color w:val="auto"/>
                <w:sz w:val="30"/>
                <w:szCs w:val="30"/>
              </w:rPr>
            </w:pPr>
            <w:r>
              <w:rPr>
                <w:rFonts w:hint="eastAsia"/>
                <w:color w:val="auto"/>
                <w:sz w:val="30"/>
                <w:szCs w:val="30"/>
              </w:rPr>
              <w:t>电梯使用</w:t>
            </w:r>
          </w:p>
        </w:tc>
        <w:tc>
          <w:tcPr>
            <w:tcW w:w="6146" w:type="dxa"/>
          </w:tcPr>
          <w:p>
            <w:pPr>
              <w:pStyle w:val="12"/>
              <w:spacing w:line="540" w:lineRule="exact"/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2"/>
                <w:sz w:val="30"/>
                <w:szCs w:val="30"/>
              </w:rPr>
              <w:t>◆</w:t>
            </w:r>
            <w:r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 w:cs="Times New Roman"/>
                <w:color w:val="auto"/>
                <w:kern w:val="2"/>
                <w:sz w:val="30"/>
                <w:szCs w:val="30"/>
              </w:rPr>
              <w:t>尽量减少电梯使用，</w:t>
            </w:r>
            <w:r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  <w:t>4</w:t>
            </w:r>
            <w:r>
              <w:rPr>
                <w:rFonts w:hint="eastAsia" w:ascii="仿宋" w:hAnsi="仿宋" w:eastAsia="仿宋" w:cs="Times New Roman"/>
                <w:color w:val="auto"/>
                <w:kern w:val="2"/>
                <w:sz w:val="30"/>
                <w:szCs w:val="30"/>
              </w:rPr>
              <w:t>层以下上下楼梯提倡走楼梯。</w:t>
            </w:r>
            <w:r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  <w:t xml:space="preserve"> </w:t>
            </w:r>
          </w:p>
        </w:tc>
      </w:tr>
    </w:tbl>
    <w:p>
      <w:pPr>
        <w:pStyle w:val="12"/>
        <w:spacing w:line="540" w:lineRule="exact"/>
        <w:ind w:firstLine="482" w:firstLineChars="150"/>
        <w:rPr>
          <w:rFonts w:ascii="仿宋" w:hAnsi="仿宋" w:eastAsia="仿宋" w:cs="Times New Roman"/>
          <w:b/>
          <w:color w:val="auto"/>
          <w:kern w:val="2"/>
          <w:sz w:val="32"/>
          <w:szCs w:val="32"/>
        </w:rPr>
      </w:pPr>
      <w:r>
        <w:rPr>
          <w:rFonts w:hint="eastAsia" w:ascii="仿宋" w:hAnsi="仿宋" w:eastAsia="仿宋" w:cs="Times New Roman"/>
          <w:b/>
          <w:color w:val="auto"/>
          <w:kern w:val="2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Times New Roman"/>
          <w:b/>
          <w:color w:val="auto"/>
          <w:kern w:val="2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Times New Roman"/>
          <w:b/>
          <w:color w:val="auto"/>
          <w:kern w:val="2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Times New Roman"/>
          <w:b/>
          <w:color w:val="auto"/>
          <w:kern w:val="2"/>
          <w:sz w:val="32"/>
          <w:szCs w:val="32"/>
        </w:rPr>
        <w:t>节水管理</w:t>
      </w:r>
    </w:p>
    <w:p>
      <w:pPr>
        <w:pStyle w:val="12"/>
        <w:spacing w:line="540" w:lineRule="exact"/>
        <w:ind w:firstLine="440"/>
        <w:rPr>
          <w:rFonts w:ascii="仿宋" w:hAnsi="仿宋" w:eastAsia="仿宋" w:cs="Times New Roman"/>
          <w:color w:val="auto"/>
          <w:kern w:val="2"/>
          <w:sz w:val="32"/>
          <w:szCs w:val="32"/>
        </w:rPr>
      </w:pPr>
      <w:r>
        <w:rPr>
          <w:rFonts w:hint="eastAsia" w:ascii="仿宋" w:hAnsi="仿宋" w:eastAsia="仿宋" w:cs="Times New Roman"/>
          <w:color w:val="auto"/>
          <w:kern w:val="2"/>
          <w:sz w:val="32"/>
          <w:szCs w:val="32"/>
        </w:rPr>
        <w:t>我社通过制定对水龙头、饮用水、用水设备等设施的使用规范，加强水资源管理，对行内员工提出合理用水的要求，减少水资源的不需要消耗。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0"/>
        <w:gridCol w:w="58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</w:tcPr>
          <w:p>
            <w:pPr>
              <w:pStyle w:val="12"/>
              <w:spacing w:line="540" w:lineRule="exact"/>
              <w:jc w:val="center"/>
              <w:rPr>
                <w:rFonts w:ascii="仿宋" w:hAnsi="仿宋" w:eastAsia="仿宋" w:cs="Times New Roman"/>
                <w:b/>
                <w:color w:val="auto"/>
                <w:kern w:val="2"/>
                <w:sz w:val="30"/>
                <w:szCs w:val="30"/>
              </w:rPr>
            </w:pPr>
            <w:r>
              <w:rPr>
                <w:rFonts w:hint="eastAsia"/>
                <w:b/>
                <w:color w:val="auto"/>
                <w:sz w:val="30"/>
                <w:szCs w:val="30"/>
              </w:rPr>
              <w:t>管理措施</w:t>
            </w:r>
          </w:p>
        </w:tc>
        <w:tc>
          <w:tcPr>
            <w:tcW w:w="5862" w:type="dxa"/>
          </w:tcPr>
          <w:p>
            <w:pPr>
              <w:pStyle w:val="12"/>
              <w:spacing w:line="540" w:lineRule="exact"/>
              <w:jc w:val="center"/>
              <w:rPr>
                <w:b/>
                <w:color w:val="auto"/>
                <w:sz w:val="30"/>
                <w:szCs w:val="30"/>
              </w:rPr>
            </w:pPr>
            <w:r>
              <w:rPr>
                <w:rFonts w:hint="eastAsia"/>
                <w:b/>
                <w:color w:val="auto"/>
                <w:sz w:val="30"/>
                <w:szCs w:val="30"/>
              </w:rPr>
              <w:t>执行项目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</w:tcPr>
          <w:p>
            <w:pPr>
              <w:pStyle w:val="12"/>
              <w:spacing w:line="540" w:lineRule="exact"/>
              <w:rPr>
                <w:color w:val="auto"/>
                <w:sz w:val="30"/>
                <w:szCs w:val="30"/>
              </w:rPr>
            </w:pPr>
          </w:p>
          <w:p>
            <w:pPr>
              <w:pStyle w:val="12"/>
              <w:spacing w:line="540" w:lineRule="exact"/>
              <w:rPr>
                <w:color w:val="auto"/>
                <w:sz w:val="30"/>
                <w:szCs w:val="30"/>
              </w:rPr>
            </w:pPr>
          </w:p>
          <w:p>
            <w:pPr>
              <w:pStyle w:val="12"/>
              <w:spacing w:line="540" w:lineRule="exact"/>
              <w:jc w:val="center"/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</w:pPr>
            <w:r>
              <w:rPr>
                <w:rFonts w:hint="eastAsia"/>
                <w:color w:val="auto"/>
                <w:sz w:val="30"/>
                <w:szCs w:val="30"/>
              </w:rPr>
              <w:t>用水管理</w:t>
            </w:r>
          </w:p>
        </w:tc>
        <w:tc>
          <w:tcPr>
            <w:tcW w:w="5862" w:type="dxa"/>
          </w:tcPr>
          <w:p>
            <w:pPr>
              <w:pStyle w:val="12"/>
              <w:spacing w:line="540" w:lineRule="exact"/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2"/>
                <w:sz w:val="30"/>
                <w:szCs w:val="30"/>
              </w:rPr>
              <w:t>◆</w:t>
            </w:r>
            <w:r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 w:cs="Times New Roman"/>
                <w:color w:val="auto"/>
                <w:kern w:val="2"/>
                <w:sz w:val="30"/>
                <w:szCs w:val="30"/>
              </w:rPr>
              <w:t>水龙头使用：随用随开，尽量开小，防止</w:t>
            </w:r>
            <w:r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  <w:t>“</w:t>
            </w:r>
            <w:r>
              <w:rPr>
                <w:rFonts w:hint="eastAsia" w:ascii="仿宋" w:hAnsi="仿宋" w:eastAsia="仿宋" w:cs="Times New Roman"/>
                <w:color w:val="auto"/>
                <w:kern w:val="2"/>
                <w:sz w:val="30"/>
                <w:szCs w:val="30"/>
              </w:rPr>
              <w:t>长流水</w:t>
            </w:r>
            <w:r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  <w:t>”</w:t>
            </w:r>
            <w:r>
              <w:rPr>
                <w:rFonts w:hint="eastAsia" w:ascii="仿宋" w:hAnsi="仿宋" w:eastAsia="仿宋" w:cs="Times New Roman"/>
                <w:color w:val="auto"/>
                <w:kern w:val="2"/>
                <w:sz w:val="30"/>
                <w:szCs w:val="30"/>
              </w:rPr>
              <w:t>。</w:t>
            </w:r>
            <w:r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  <w:t xml:space="preserve"> </w:t>
            </w:r>
          </w:p>
          <w:p>
            <w:pPr>
              <w:pStyle w:val="12"/>
              <w:spacing w:line="540" w:lineRule="exact"/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2"/>
                <w:sz w:val="30"/>
                <w:szCs w:val="30"/>
              </w:rPr>
              <w:t>◆</w:t>
            </w:r>
            <w:r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 w:cs="Times New Roman"/>
                <w:color w:val="auto"/>
                <w:kern w:val="2"/>
                <w:sz w:val="30"/>
                <w:szCs w:val="30"/>
              </w:rPr>
              <w:t>饮用水使用：按需盛装，杜绝浪费。</w:t>
            </w:r>
            <w:r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  <w:t xml:space="preserve"> </w:t>
            </w:r>
          </w:p>
          <w:p>
            <w:pPr>
              <w:pStyle w:val="12"/>
              <w:spacing w:line="540" w:lineRule="exact"/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2"/>
                <w:sz w:val="30"/>
                <w:szCs w:val="30"/>
              </w:rPr>
              <w:t>◆</w:t>
            </w:r>
            <w:r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 w:cs="Times New Roman"/>
                <w:color w:val="auto"/>
                <w:kern w:val="2"/>
                <w:sz w:val="30"/>
                <w:szCs w:val="30"/>
              </w:rPr>
              <w:t>用水管网等设备：定期维护，杜绝跑冒滴漏。</w:t>
            </w:r>
            <w:r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  <w:t xml:space="preserve"> </w:t>
            </w:r>
          </w:p>
        </w:tc>
      </w:tr>
    </w:tbl>
    <w:p>
      <w:pPr>
        <w:pStyle w:val="12"/>
        <w:spacing w:line="540" w:lineRule="exact"/>
        <w:ind w:firstLine="482" w:firstLineChars="150"/>
        <w:rPr>
          <w:rFonts w:ascii="仿宋" w:hAnsi="仿宋" w:eastAsia="仿宋" w:cs="Times New Roman"/>
          <w:b/>
          <w:color w:val="auto"/>
          <w:kern w:val="2"/>
          <w:sz w:val="32"/>
          <w:szCs w:val="32"/>
        </w:rPr>
      </w:pPr>
      <w:r>
        <w:rPr>
          <w:rFonts w:hint="eastAsia" w:ascii="仿宋" w:hAnsi="仿宋" w:eastAsia="仿宋" w:cs="Times New Roman"/>
          <w:b/>
          <w:color w:val="auto"/>
          <w:kern w:val="2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Times New Roman"/>
          <w:b/>
          <w:color w:val="auto"/>
          <w:kern w:val="2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Times New Roman"/>
          <w:b/>
          <w:color w:val="auto"/>
          <w:kern w:val="2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Times New Roman"/>
          <w:b/>
          <w:color w:val="auto"/>
          <w:kern w:val="2"/>
          <w:sz w:val="32"/>
          <w:szCs w:val="32"/>
        </w:rPr>
        <w:t>节材管理</w:t>
      </w:r>
    </w:p>
    <w:p>
      <w:pPr>
        <w:pStyle w:val="12"/>
        <w:spacing w:line="540" w:lineRule="exact"/>
        <w:ind w:firstLine="440"/>
        <w:rPr>
          <w:rFonts w:ascii="仿宋" w:hAnsi="仿宋" w:eastAsia="仿宋" w:cs="Times New Roman"/>
          <w:color w:val="auto"/>
          <w:kern w:val="2"/>
          <w:sz w:val="32"/>
          <w:szCs w:val="32"/>
        </w:rPr>
      </w:pPr>
      <w:r>
        <w:rPr>
          <w:rFonts w:hint="eastAsia" w:ascii="仿宋" w:hAnsi="仿宋" w:eastAsia="仿宋" w:cs="Times New Roman"/>
          <w:color w:val="auto"/>
          <w:kern w:val="2"/>
          <w:sz w:val="32"/>
          <w:szCs w:val="32"/>
        </w:rPr>
        <w:t>本社积极响应垃圾分类、可回收资源再利用等政策号召，在社内推广无纸化办公，倡导员工合理规划，节约用纸，减少纸张使用频率，提高纸张使用效率。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9"/>
        <w:gridCol w:w="51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</w:tcPr>
          <w:p>
            <w:pPr>
              <w:pStyle w:val="12"/>
              <w:spacing w:line="540" w:lineRule="exact"/>
              <w:jc w:val="center"/>
              <w:rPr>
                <w:rFonts w:ascii="仿宋" w:hAnsi="仿宋" w:eastAsia="仿宋" w:cs="Times New Roman"/>
                <w:b/>
                <w:color w:val="auto"/>
                <w:kern w:val="2"/>
                <w:sz w:val="30"/>
                <w:szCs w:val="30"/>
              </w:rPr>
            </w:pPr>
            <w:r>
              <w:rPr>
                <w:rFonts w:hint="eastAsia"/>
                <w:b/>
                <w:color w:val="auto"/>
                <w:sz w:val="30"/>
                <w:szCs w:val="30"/>
              </w:rPr>
              <w:t>管理措施</w:t>
            </w:r>
          </w:p>
        </w:tc>
        <w:tc>
          <w:tcPr>
            <w:tcW w:w="5153" w:type="dxa"/>
          </w:tcPr>
          <w:p>
            <w:pPr>
              <w:pStyle w:val="12"/>
              <w:spacing w:line="540" w:lineRule="exact"/>
              <w:jc w:val="center"/>
              <w:rPr>
                <w:b/>
                <w:color w:val="auto"/>
                <w:sz w:val="30"/>
                <w:szCs w:val="30"/>
              </w:rPr>
            </w:pPr>
            <w:r>
              <w:rPr>
                <w:rFonts w:hint="eastAsia"/>
                <w:b/>
                <w:color w:val="auto"/>
                <w:sz w:val="30"/>
                <w:szCs w:val="30"/>
              </w:rPr>
              <w:t>执行项目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</w:tcPr>
          <w:p>
            <w:pPr>
              <w:pStyle w:val="12"/>
              <w:spacing w:line="540" w:lineRule="exact"/>
              <w:jc w:val="center"/>
              <w:rPr>
                <w:color w:val="auto"/>
                <w:sz w:val="30"/>
                <w:szCs w:val="30"/>
              </w:rPr>
            </w:pPr>
          </w:p>
          <w:p>
            <w:pPr>
              <w:pStyle w:val="12"/>
              <w:spacing w:line="540" w:lineRule="exact"/>
              <w:rPr>
                <w:color w:val="auto"/>
                <w:sz w:val="30"/>
                <w:szCs w:val="30"/>
              </w:rPr>
            </w:pPr>
          </w:p>
          <w:p>
            <w:pPr>
              <w:pStyle w:val="12"/>
              <w:spacing w:line="540" w:lineRule="exact"/>
              <w:jc w:val="center"/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</w:pPr>
            <w:r>
              <w:rPr>
                <w:rFonts w:hint="eastAsia"/>
                <w:color w:val="auto"/>
                <w:sz w:val="30"/>
                <w:szCs w:val="30"/>
              </w:rPr>
              <w:t>推广无纸化办公</w:t>
            </w:r>
          </w:p>
        </w:tc>
        <w:tc>
          <w:tcPr>
            <w:tcW w:w="5153" w:type="dxa"/>
          </w:tcPr>
          <w:p>
            <w:pPr>
              <w:pStyle w:val="12"/>
              <w:spacing w:line="540" w:lineRule="exact"/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2"/>
                <w:sz w:val="30"/>
                <w:szCs w:val="30"/>
              </w:rPr>
              <w:t>◆</w:t>
            </w:r>
            <w:r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 w:cs="Times New Roman"/>
                <w:color w:val="auto"/>
                <w:kern w:val="2"/>
                <w:sz w:val="30"/>
                <w:szCs w:val="30"/>
              </w:rPr>
              <w:t>充分利用网络资源传递，除重要材料外，各类行内汇报材料尽量使用电子版本。</w:t>
            </w:r>
            <w:r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  <w:t xml:space="preserve"> </w:t>
            </w:r>
          </w:p>
          <w:p>
            <w:pPr>
              <w:pStyle w:val="12"/>
              <w:spacing w:line="540" w:lineRule="exact"/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2"/>
                <w:sz w:val="30"/>
                <w:szCs w:val="30"/>
              </w:rPr>
              <w:t>◆</w:t>
            </w:r>
            <w:r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 w:cs="Times New Roman"/>
                <w:color w:val="auto"/>
                <w:kern w:val="2"/>
                <w:sz w:val="30"/>
                <w:szCs w:val="30"/>
              </w:rPr>
              <w:t>不打印、复印与工作无关的资料。</w:t>
            </w:r>
            <w:r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  <w:t xml:space="preserve"> </w:t>
            </w:r>
          </w:p>
          <w:p>
            <w:pPr>
              <w:pStyle w:val="12"/>
              <w:spacing w:line="540" w:lineRule="exact"/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2"/>
                <w:sz w:val="30"/>
                <w:szCs w:val="30"/>
              </w:rPr>
              <w:t>◆</w:t>
            </w:r>
            <w:r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 w:cs="Times New Roman"/>
                <w:color w:val="auto"/>
                <w:kern w:val="2"/>
                <w:sz w:val="30"/>
                <w:szCs w:val="30"/>
              </w:rPr>
              <w:t>员工名片采用可再生纸印刷。</w:t>
            </w:r>
            <w:r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</w:tcPr>
          <w:p>
            <w:pPr>
              <w:pStyle w:val="12"/>
              <w:spacing w:line="540" w:lineRule="exact"/>
              <w:jc w:val="center"/>
              <w:rPr>
                <w:color w:val="auto"/>
                <w:sz w:val="30"/>
                <w:szCs w:val="30"/>
              </w:rPr>
            </w:pPr>
          </w:p>
          <w:p>
            <w:pPr>
              <w:pStyle w:val="12"/>
              <w:spacing w:line="540" w:lineRule="exact"/>
              <w:rPr>
                <w:color w:val="auto"/>
                <w:sz w:val="30"/>
                <w:szCs w:val="30"/>
              </w:rPr>
            </w:pPr>
          </w:p>
          <w:p>
            <w:pPr>
              <w:pStyle w:val="12"/>
              <w:spacing w:line="540" w:lineRule="exact"/>
              <w:jc w:val="center"/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</w:pPr>
            <w:r>
              <w:rPr>
                <w:rFonts w:hint="eastAsia"/>
                <w:color w:val="auto"/>
                <w:sz w:val="30"/>
                <w:szCs w:val="30"/>
              </w:rPr>
              <w:t>合理用纸</w:t>
            </w:r>
          </w:p>
        </w:tc>
        <w:tc>
          <w:tcPr>
            <w:tcW w:w="5153" w:type="dxa"/>
          </w:tcPr>
          <w:p>
            <w:pPr>
              <w:pStyle w:val="12"/>
              <w:spacing w:line="540" w:lineRule="exact"/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2"/>
                <w:sz w:val="30"/>
                <w:szCs w:val="30"/>
              </w:rPr>
              <w:t>◆</w:t>
            </w:r>
            <w:r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 w:cs="Times New Roman"/>
                <w:color w:val="auto"/>
                <w:kern w:val="2"/>
                <w:sz w:val="30"/>
                <w:szCs w:val="30"/>
              </w:rPr>
              <w:t>坚持双面打印，或将废纸反面打印。</w:t>
            </w:r>
            <w:r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  <w:t xml:space="preserve"> </w:t>
            </w:r>
          </w:p>
          <w:p>
            <w:pPr>
              <w:pStyle w:val="12"/>
              <w:spacing w:line="540" w:lineRule="exact"/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2"/>
                <w:sz w:val="30"/>
                <w:szCs w:val="30"/>
              </w:rPr>
              <w:t>◆</w:t>
            </w:r>
            <w:r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 w:cs="Times New Roman"/>
                <w:color w:val="auto"/>
                <w:kern w:val="2"/>
                <w:sz w:val="30"/>
                <w:szCs w:val="30"/>
              </w:rPr>
              <w:t>合理安排纸质报刊的订阅数量。</w:t>
            </w:r>
            <w:r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  <w:t xml:space="preserve"> </w:t>
            </w:r>
          </w:p>
          <w:p>
            <w:pPr>
              <w:pStyle w:val="12"/>
              <w:spacing w:line="540" w:lineRule="exact"/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2"/>
                <w:sz w:val="30"/>
                <w:szCs w:val="30"/>
              </w:rPr>
              <w:t>◆</w:t>
            </w:r>
            <w:r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 w:cs="Times New Roman"/>
                <w:color w:val="auto"/>
                <w:kern w:val="2"/>
                <w:sz w:val="30"/>
                <w:szCs w:val="30"/>
              </w:rPr>
              <w:t>合理印刷各类宣传资料，防止出现大量库存积压。</w:t>
            </w:r>
            <w:r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</w:tcPr>
          <w:p>
            <w:pPr>
              <w:pStyle w:val="12"/>
              <w:spacing w:line="540" w:lineRule="exact"/>
              <w:jc w:val="center"/>
              <w:rPr>
                <w:color w:val="auto"/>
                <w:sz w:val="30"/>
                <w:szCs w:val="30"/>
              </w:rPr>
            </w:pPr>
          </w:p>
          <w:p>
            <w:pPr>
              <w:pStyle w:val="12"/>
              <w:spacing w:line="540" w:lineRule="exact"/>
              <w:jc w:val="center"/>
              <w:rPr>
                <w:color w:val="auto"/>
                <w:sz w:val="30"/>
                <w:szCs w:val="30"/>
              </w:rPr>
            </w:pPr>
          </w:p>
          <w:p>
            <w:pPr>
              <w:pStyle w:val="12"/>
              <w:spacing w:line="540" w:lineRule="exact"/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</w:pPr>
            <w:r>
              <w:rPr>
                <w:rFonts w:hint="eastAsia"/>
                <w:color w:val="auto"/>
                <w:sz w:val="30"/>
                <w:szCs w:val="30"/>
              </w:rPr>
              <w:t>减少一次性用品使用</w:t>
            </w:r>
          </w:p>
        </w:tc>
        <w:tc>
          <w:tcPr>
            <w:tcW w:w="5153" w:type="dxa"/>
          </w:tcPr>
          <w:p>
            <w:pPr>
              <w:pStyle w:val="12"/>
              <w:spacing w:line="540" w:lineRule="exact"/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2"/>
                <w:sz w:val="30"/>
                <w:szCs w:val="30"/>
              </w:rPr>
              <w:t>◆</w:t>
            </w:r>
            <w:r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 w:cs="Times New Roman"/>
                <w:color w:val="auto"/>
                <w:kern w:val="2"/>
                <w:sz w:val="30"/>
                <w:szCs w:val="30"/>
              </w:rPr>
              <w:t>不使用或少使用一次性餐具和水杯，鼓励自带。</w:t>
            </w:r>
            <w:r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  <w:t xml:space="preserve"> </w:t>
            </w:r>
          </w:p>
          <w:p>
            <w:pPr>
              <w:pStyle w:val="12"/>
              <w:spacing w:line="540" w:lineRule="exact"/>
              <w:rPr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2"/>
                <w:sz w:val="30"/>
                <w:szCs w:val="30"/>
              </w:rPr>
              <w:t>◆</w:t>
            </w:r>
            <w:r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 w:cs="Times New Roman"/>
                <w:color w:val="auto"/>
                <w:kern w:val="2"/>
                <w:sz w:val="30"/>
                <w:szCs w:val="30"/>
              </w:rPr>
              <w:t>积极使用电子显示屏和投影，减少使用横幅、喷绘等。</w:t>
            </w:r>
            <w:r>
              <w:rPr>
                <w:color w:val="auto"/>
                <w:sz w:val="30"/>
                <w:szCs w:val="3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</w:tcPr>
          <w:p>
            <w:pPr>
              <w:pStyle w:val="12"/>
              <w:spacing w:line="540" w:lineRule="exact"/>
              <w:jc w:val="center"/>
              <w:rPr>
                <w:color w:val="auto"/>
                <w:sz w:val="30"/>
                <w:szCs w:val="30"/>
              </w:rPr>
            </w:pPr>
          </w:p>
          <w:p>
            <w:pPr>
              <w:pStyle w:val="12"/>
              <w:spacing w:line="540" w:lineRule="exact"/>
              <w:rPr>
                <w:color w:val="auto"/>
                <w:sz w:val="30"/>
                <w:szCs w:val="30"/>
              </w:rPr>
            </w:pPr>
          </w:p>
          <w:p>
            <w:pPr>
              <w:pStyle w:val="12"/>
              <w:spacing w:line="540" w:lineRule="exact"/>
              <w:jc w:val="center"/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</w:pPr>
            <w:r>
              <w:rPr>
                <w:rFonts w:hint="eastAsia"/>
                <w:color w:val="auto"/>
                <w:sz w:val="30"/>
                <w:szCs w:val="30"/>
              </w:rPr>
              <w:t>鼓励回收及再次利用</w:t>
            </w:r>
          </w:p>
        </w:tc>
        <w:tc>
          <w:tcPr>
            <w:tcW w:w="5153" w:type="dxa"/>
          </w:tcPr>
          <w:p>
            <w:pPr>
              <w:pStyle w:val="12"/>
              <w:spacing w:line="540" w:lineRule="exact"/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2"/>
                <w:sz w:val="30"/>
                <w:szCs w:val="30"/>
              </w:rPr>
              <w:t>◆</w:t>
            </w:r>
            <w:r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 w:cs="Times New Roman"/>
                <w:color w:val="auto"/>
                <w:kern w:val="2"/>
                <w:sz w:val="30"/>
                <w:szCs w:val="30"/>
              </w:rPr>
              <w:t>加强废旧资源如废纸、废旧办公耗材、废旧电子设备等应当再生利用。</w:t>
            </w:r>
            <w:r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  <w:t xml:space="preserve"> </w:t>
            </w:r>
          </w:p>
          <w:p>
            <w:pPr>
              <w:pStyle w:val="12"/>
              <w:spacing w:line="540" w:lineRule="exact"/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2"/>
                <w:sz w:val="30"/>
                <w:szCs w:val="30"/>
              </w:rPr>
              <w:t>◆</w:t>
            </w:r>
            <w:r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 w:cs="Times New Roman"/>
                <w:color w:val="auto"/>
                <w:kern w:val="2"/>
                <w:sz w:val="30"/>
                <w:szCs w:val="30"/>
              </w:rPr>
              <w:t>收集并鼓励重复利用可反复使用的纸制品，如公文袋、信封等。</w:t>
            </w:r>
            <w:r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  <w:t xml:space="preserve"> </w:t>
            </w:r>
          </w:p>
          <w:p>
            <w:pPr>
              <w:pStyle w:val="12"/>
              <w:spacing w:line="540" w:lineRule="exact"/>
              <w:rPr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2"/>
                <w:sz w:val="30"/>
                <w:szCs w:val="30"/>
              </w:rPr>
              <w:t>◆</w:t>
            </w:r>
            <w:r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 w:cs="Times New Roman"/>
                <w:color w:val="auto"/>
                <w:kern w:val="2"/>
                <w:sz w:val="30"/>
                <w:szCs w:val="30"/>
              </w:rPr>
              <w:t>进行垃圾分类，区分可回收资源与其它办公垃圾，保证二次利用。</w:t>
            </w:r>
            <w:r>
              <w:rPr>
                <w:color w:val="auto"/>
                <w:sz w:val="30"/>
                <w:szCs w:val="30"/>
              </w:rPr>
              <w:t xml:space="preserve"> </w:t>
            </w:r>
          </w:p>
        </w:tc>
      </w:tr>
    </w:tbl>
    <w:p>
      <w:pPr>
        <w:pStyle w:val="12"/>
        <w:spacing w:line="540" w:lineRule="exact"/>
        <w:ind w:firstLine="643" w:firstLineChars="200"/>
        <w:rPr>
          <w:rFonts w:ascii="仿宋" w:hAnsi="仿宋" w:eastAsia="仿宋" w:cs="Times New Roman"/>
          <w:b/>
          <w:color w:val="auto"/>
          <w:kern w:val="2"/>
          <w:sz w:val="32"/>
          <w:szCs w:val="32"/>
        </w:rPr>
      </w:pPr>
      <w:r>
        <w:rPr>
          <w:rFonts w:hint="eastAsia" w:ascii="仿宋" w:hAnsi="仿宋" w:eastAsia="仿宋" w:cs="Times New Roman"/>
          <w:b/>
          <w:color w:val="auto"/>
          <w:kern w:val="2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Times New Roman"/>
          <w:b/>
          <w:color w:val="auto"/>
          <w:kern w:val="2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Times New Roman"/>
          <w:b/>
          <w:color w:val="auto"/>
          <w:kern w:val="2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Times New Roman"/>
          <w:b/>
          <w:color w:val="auto"/>
          <w:kern w:val="2"/>
          <w:sz w:val="32"/>
          <w:szCs w:val="32"/>
        </w:rPr>
        <w:t>节油管理</w:t>
      </w:r>
    </w:p>
    <w:p>
      <w:pPr>
        <w:pStyle w:val="12"/>
        <w:spacing w:line="540" w:lineRule="exact"/>
        <w:ind w:firstLine="440"/>
        <w:rPr>
          <w:rFonts w:ascii="仿宋" w:hAnsi="仿宋" w:eastAsia="仿宋" w:cs="Times New Roman"/>
          <w:color w:val="auto"/>
          <w:kern w:val="2"/>
          <w:sz w:val="32"/>
          <w:szCs w:val="32"/>
        </w:rPr>
      </w:pPr>
      <w:r>
        <w:rPr>
          <w:rFonts w:hint="eastAsia" w:ascii="仿宋" w:hAnsi="仿宋" w:eastAsia="仿宋" w:cs="Times New Roman"/>
          <w:color w:val="auto"/>
          <w:kern w:val="2"/>
          <w:sz w:val="32"/>
          <w:szCs w:val="32"/>
        </w:rPr>
        <w:t>本社严格执行国家相关规定，加强全行范围内的车辆管理及燃油管理，同时加强员工宣传教育，倡导绿色出行。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7"/>
        <w:gridCol w:w="52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</w:tcPr>
          <w:p>
            <w:pPr>
              <w:pStyle w:val="12"/>
              <w:spacing w:line="540" w:lineRule="exact"/>
              <w:jc w:val="center"/>
              <w:rPr>
                <w:rFonts w:ascii="仿宋" w:hAnsi="仿宋" w:eastAsia="仿宋" w:cs="Times New Roman"/>
                <w:b/>
                <w:color w:val="auto"/>
                <w:kern w:val="2"/>
                <w:sz w:val="30"/>
                <w:szCs w:val="30"/>
              </w:rPr>
            </w:pPr>
            <w:r>
              <w:rPr>
                <w:rFonts w:hint="eastAsia"/>
                <w:b/>
                <w:color w:val="auto"/>
                <w:sz w:val="30"/>
                <w:szCs w:val="30"/>
              </w:rPr>
              <w:t>管理措施</w:t>
            </w:r>
          </w:p>
        </w:tc>
        <w:tc>
          <w:tcPr>
            <w:tcW w:w="5295" w:type="dxa"/>
          </w:tcPr>
          <w:p>
            <w:pPr>
              <w:pStyle w:val="12"/>
              <w:spacing w:line="540" w:lineRule="exact"/>
              <w:jc w:val="center"/>
              <w:rPr>
                <w:rFonts w:ascii="仿宋" w:hAnsi="仿宋" w:eastAsia="仿宋" w:cs="Times New Roman"/>
                <w:b/>
                <w:color w:val="auto"/>
                <w:kern w:val="2"/>
                <w:sz w:val="30"/>
                <w:szCs w:val="30"/>
              </w:rPr>
            </w:pPr>
            <w:r>
              <w:rPr>
                <w:rFonts w:hint="eastAsia"/>
                <w:b/>
                <w:color w:val="auto"/>
                <w:sz w:val="30"/>
                <w:szCs w:val="30"/>
              </w:rPr>
              <w:t>执行项目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</w:tcPr>
          <w:p>
            <w:pPr>
              <w:pStyle w:val="12"/>
              <w:spacing w:line="540" w:lineRule="exact"/>
              <w:rPr>
                <w:color w:val="auto"/>
                <w:sz w:val="30"/>
                <w:szCs w:val="30"/>
              </w:rPr>
            </w:pPr>
          </w:p>
          <w:p>
            <w:pPr>
              <w:pStyle w:val="12"/>
              <w:spacing w:line="540" w:lineRule="exact"/>
              <w:jc w:val="center"/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</w:pPr>
            <w:r>
              <w:rPr>
                <w:rFonts w:hint="eastAsia"/>
                <w:color w:val="auto"/>
                <w:sz w:val="30"/>
                <w:szCs w:val="30"/>
              </w:rPr>
              <w:t>合理用车</w:t>
            </w:r>
          </w:p>
        </w:tc>
        <w:tc>
          <w:tcPr>
            <w:tcW w:w="5295" w:type="dxa"/>
          </w:tcPr>
          <w:p>
            <w:pPr>
              <w:pStyle w:val="12"/>
              <w:spacing w:line="540" w:lineRule="exact"/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2"/>
                <w:sz w:val="30"/>
                <w:szCs w:val="30"/>
              </w:rPr>
              <w:t>◆</w:t>
            </w:r>
            <w:r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 w:cs="Times New Roman"/>
                <w:color w:val="auto"/>
                <w:kern w:val="2"/>
                <w:sz w:val="30"/>
                <w:szCs w:val="30"/>
              </w:rPr>
              <w:t>合理安排车辆出行路线和人员搭配，减少空驶里程，提高用车率。</w:t>
            </w:r>
            <w:r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  <w:t xml:space="preserve"> </w:t>
            </w:r>
          </w:p>
          <w:p>
            <w:pPr>
              <w:pStyle w:val="12"/>
              <w:spacing w:line="540" w:lineRule="exact"/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2"/>
                <w:sz w:val="30"/>
                <w:szCs w:val="30"/>
              </w:rPr>
              <w:t>◆</w:t>
            </w:r>
            <w:r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 w:cs="Times New Roman"/>
                <w:color w:val="auto"/>
                <w:kern w:val="2"/>
                <w:sz w:val="30"/>
                <w:szCs w:val="30"/>
              </w:rPr>
              <w:t>坚持同方向办事不重复派车原则。</w:t>
            </w:r>
            <w:r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</w:tcPr>
          <w:p>
            <w:pPr>
              <w:pStyle w:val="12"/>
              <w:spacing w:line="540" w:lineRule="exact"/>
              <w:jc w:val="center"/>
              <w:rPr>
                <w:color w:val="auto"/>
                <w:sz w:val="30"/>
                <w:szCs w:val="30"/>
              </w:rPr>
            </w:pPr>
          </w:p>
          <w:p>
            <w:pPr>
              <w:pStyle w:val="12"/>
              <w:spacing w:line="540" w:lineRule="exact"/>
              <w:jc w:val="center"/>
              <w:rPr>
                <w:color w:val="auto"/>
                <w:sz w:val="30"/>
                <w:szCs w:val="30"/>
              </w:rPr>
            </w:pPr>
          </w:p>
          <w:p>
            <w:pPr>
              <w:pStyle w:val="12"/>
              <w:spacing w:line="540" w:lineRule="exact"/>
              <w:jc w:val="center"/>
              <w:rPr>
                <w:color w:val="auto"/>
                <w:sz w:val="30"/>
                <w:szCs w:val="30"/>
              </w:rPr>
            </w:pPr>
          </w:p>
          <w:p>
            <w:pPr>
              <w:pStyle w:val="12"/>
              <w:spacing w:line="540" w:lineRule="exact"/>
              <w:jc w:val="center"/>
              <w:rPr>
                <w:color w:val="auto"/>
                <w:sz w:val="30"/>
                <w:szCs w:val="30"/>
              </w:rPr>
            </w:pPr>
          </w:p>
          <w:p>
            <w:pPr>
              <w:pStyle w:val="12"/>
              <w:spacing w:line="540" w:lineRule="exact"/>
              <w:jc w:val="center"/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</w:pPr>
            <w:r>
              <w:rPr>
                <w:rFonts w:hint="eastAsia"/>
                <w:color w:val="auto"/>
                <w:sz w:val="30"/>
                <w:szCs w:val="30"/>
              </w:rPr>
              <w:t>加强车辆及燃油管理</w:t>
            </w:r>
          </w:p>
        </w:tc>
        <w:tc>
          <w:tcPr>
            <w:tcW w:w="5295" w:type="dxa"/>
          </w:tcPr>
          <w:p>
            <w:pPr>
              <w:pStyle w:val="12"/>
              <w:spacing w:line="540" w:lineRule="exact"/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2"/>
                <w:sz w:val="30"/>
                <w:szCs w:val="30"/>
              </w:rPr>
              <w:t>◆</w:t>
            </w:r>
            <w:r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 w:cs="Times New Roman"/>
                <w:color w:val="auto"/>
                <w:kern w:val="2"/>
                <w:sz w:val="30"/>
                <w:szCs w:val="30"/>
              </w:rPr>
              <w:t>定期维修保养车辆，检查车辆状况，对于燃油车辆要按时更换相关设备。</w:t>
            </w:r>
            <w:r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  <w:t xml:space="preserve"> </w:t>
            </w:r>
          </w:p>
          <w:p>
            <w:pPr>
              <w:pStyle w:val="12"/>
              <w:spacing w:line="540" w:lineRule="exact"/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2"/>
                <w:sz w:val="30"/>
                <w:szCs w:val="30"/>
              </w:rPr>
              <w:t>◆</w:t>
            </w:r>
            <w:r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 w:cs="Times New Roman"/>
                <w:color w:val="auto"/>
                <w:kern w:val="2"/>
                <w:sz w:val="30"/>
                <w:szCs w:val="30"/>
              </w:rPr>
              <w:t>对耗油高、车况差、尾气排放不达标的车辆应逐步淘汰，对达到报废标准的车辆应予以报废。</w:t>
            </w:r>
            <w:r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  <w:t xml:space="preserve"> </w:t>
            </w:r>
          </w:p>
          <w:p>
            <w:pPr>
              <w:pStyle w:val="12"/>
              <w:spacing w:line="540" w:lineRule="exact"/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2"/>
                <w:sz w:val="30"/>
                <w:szCs w:val="30"/>
              </w:rPr>
              <w:t>◆</w:t>
            </w:r>
            <w:r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 w:cs="Times New Roman"/>
                <w:color w:val="auto"/>
                <w:kern w:val="2"/>
                <w:sz w:val="30"/>
                <w:szCs w:val="30"/>
              </w:rPr>
              <w:t>新增公务用车鼓励选购节能环保的小排量车型。</w:t>
            </w:r>
            <w:r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  <w:t xml:space="preserve"> </w:t>
            </w:r>
          </w:p>
          <w:p>
            <w:pPr>
              <w:pStyle w:val="12"/>
              <w:spacing w:line="540" w:lineRule="exact"/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2"/>
                <w:sz w:val="30"/>
                <w:szCs w:val="30"/>
              </w:rPr>
              <w:t>◆</w:t>
            </w:r>
            <w:r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 w:cs="Times New Roman"/>
                <w:color w:val="auto"/>
                <w:kern w:val="2"/>
                <w:sz w:val="30"/>
                <w:szCs w:val="30"/>
              </w:rPr>
              <w:t>加强公务车燃油管理，实行</w:t>
            </w:r>
            <w:r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  <w:t>IC</w:t>
            </w:r>
            <w:r>
              <w:rPr>
                <w:rFonts w:hint="eastAsia" w:ascii="仿宋" w:hAnsi="仿宋" w:eastAsia="仿宋" w:cs="Times New Roman"/>
                <w:color w:val="auto"/>
                <w:kern w:val="2"/>
                <w:sz w:val="30"/>
                <w:szCs w:val="30"/>
              </w:rPr>
              <w:t>卡定车定点加油制度。</w:t>
            </w:r>
            <w:r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</w:tcPr>
          <w:p>
            <w:pPr>
              <w:pStyle w:val="12"/>
              <w:spacing w:line="540" w:lineRule="exact"/>
              <w:rPr>
                <w:color w:val="auto"/>
                <w:sz w:val="30"/>
                <w:szCs w:val="30"/>
              </w:rPr>
            </w:pPr>
          </w:p>
          <w:p>
            <w:pPr>
              <w:pStyle w:val="12"/>
              <w:spacing w:line="540" w:lineRule="exact"/>
              <w:jc w:val="center"/>
              <w:rPr>
                <w:color w:val="auto"/>
                <w:sz w:val="30"/>
                <w:szCs w:val="30"/>
              </w:rPr>
            </w:pPr>
            <w:r>
              <w:rPr>
                <w:rFonts w:hint="eastAsia"/>
                <w:color w:val="auto"/>
                <w:sz w:val="30"/>
                <w:szCs w:val="30"/>
              </w:rPr>
              <w:t>积极进行员工宣传教育</w:t>
            </w:r>
          </w:p>
        </w:tc>
        <w:tc>
          <w:tcPr>
            <w:tcW w:w="5295" w:type="dxa"/>
          </w:tcPr>
          <w:p>
            <w:pPr>
              <w:pStyle w:val="12"/>
              <w:spacing w:line="540" w:lineRule="exact"/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2"/>
                <w:sz w:val="30"/>
                <w:szCs w:val="30"/>
              </w:rPr>
              <w:t>◆</w:t>
            </w:r>
            <w:r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 w:cs="Times New Roman"/>
                <w:color w:val="auto"/>
                <w:kern w:val="2"/>
                <w:sz w:val="30"/>
                <w:szCs w:val="30"/>
              </w:rPr>
              <w:t>进行节约用油宣传教育，增强员工节能责任心。</w:t>
            </w:r>
            <w:r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  <w:t xml:space="preserve"> </w:t>
            </w:r>
          </w:p>
          <w:p>
            <w:pPr>
              <w:pStyle w:val="12"/>
              <w:spacing w:line="540" w:lineRule="exact"/>
              <w:rPr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2"/>
                <w:sz w:val="30"/>
                <w:szCs w:val="30"/>
              </w:rPr>
              <w:t>◆</w:t>
            </w:r>
            <w:r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 w:cs="Times New Roman"/>
                <w:color w:val="auto"/>
                <w:kern w:val="2"/>
                <w:sz w:val="30"/>
                <w:szCs w:val="30"/>
              </w:rPr>
              <w:t>鼓励员工公务出行优先乘坐公共交通。</w:t>
            </w:r>
            <w:r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  <w:t xml:space="preserve"> </w:t>
            </w:r>
          </w:p>
        </w:tc>
      </w:tr>
    </w:tbl>
    <w:p>
      <w:pPr>
        <w:pStyle w:val="12"/>
        <w:spacing w:line="540" w:lineRule="exact"/>
        <w:ind w:firstLine="452" w:firstLineChars="150"/>
        <w:rPr>
          <w:rFonts w:ascii="仿宋" w:hAnsi="仿宋" w:eastAsia="仿宋" w:cs="Times New Roman"/>
          <w:b/>
          <w:color w:val="auto"/>
          <w:kern w:val="2"/>
          <w:sz w:val="30"/>
          <w:szCs w:val="30"/>
        </w:rPr>
      </w:pPr>
      <w:r>
        <w:rPr>
          <w:rFonts w:hint="eastAsia" w:ascii="仿宋" w:hAnsi="仿宋" w:eastAsia="仿宋" w:cs="Times New Roman"/>
          <w:b/>
          <w:color w:val="auto"/>
          <w:kern w:val="2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Times New Roman"/>
          <w:b/>
          <w:color w:val="auto"/>
          <w:kern w:val="2"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 w:cs="Times New Roman"/>
          <w:b/>
          <w:color w:val="auto"/>
          <w:kern w:val="2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Times New Roman"/>
          <w:b/>
          <w:color w:val="auto"/>
          <w:kern w:val="2"/>
          <w:sz w:val="30"/>
          <w:szCs w:val="30"/>
        </w:rPr>
        <w:t>节粮管理</w:t>
      </w:r>
    </w:p>
    <w:p>
      <w:pPr>
        <w:pStyle w:val="12"/>
        <w:spacing w:line="540" w:lineRule="exact"/>
        <w:ind w:firstLine="440"/>
        <w:rPr>
          <w:rFonts w:ascii="仿宋" w:hAnsi="仿宋" w:eastAsia="仿宋" w:cs="Times New Roman"/>
          <w:color w:val="auto"/>
          <w:kern w:val="2"/>
          <w:sz w:val="32"/>
          <w:szCs w:val="32"/>
        </w:rPr>
      </w:pPr>
      <w:r>
        <w:rPr>
          <w:rFonts w:hint="eastAsia" w:ascii="仿宋" w:hAnsi="仿宋" w:eastAsia="仿宋" w:cs="Times New Roman"/>
          <w:color w:val="auto"/>
          <w:kern w:val="2"/>
          <w:sz w:val="32"/>
          <w:szCs w:val="32"/>
        </w:rPr>
        <w:t>本社厉行节约，杜绝浪费，具体节约粮食措施如下：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0"/>
        <w:gridCol w:w="5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</w:tcPr>
          <w:p>
            <w:pPr>
              <w:pStyle w:val="12"/>
              <w:spacing w:line="540" w:lineRule="exact"/>
              <w:jc w:val="center"/>
              <w:rPr>
                <w:rFonts w:ascii="仿宋" w:hAnsi="仿宋" w:eastAsia="仿宋" w:cs="Times New Roman"/>
                <w:b/>
                <w:color w:val="auto"/>
                <w:kern w:val="2"/>
                <w:sz w:val="30"/>
                <w:szCs w:val="30"/>
              </w:rPr>
            </w:pPr>
            <w:r>
              <w:rPr>
                <w:rFonts w:hint="eastAsia"/>
                <w:b/>
                <w:color w:val="auto"/>
                <w:sz w:val="30"/>
                <w:szCs w:val="30"/>
              </w:rPr>
              <w:t>管理措施</w:t>
            </w:r>
          </w:p>
        </w:tc>
        <w:tc>
          <w:tcPr>
            <w:tcW w:w="5012" w:type="dxa"/>
          </w:tcPr>
          <w:p>
            <w:pPr>
              <w:pStyle w:val="12"/>
              <w:spacing w:line="540" w:lineRule="exact"/>
              <w:jc w:val="center"/>
              <w:rPr>
                <w:rFonts w:ascii="仿宋" w:hAnsi="仿宋" w:eastAsia="仿宋" w:cs="Times New Roman"/>
                <w:b/>
                <w:color w:val="auto"/>
                <w:kern w:val="2"/>
                <w:sz w:val="30"/>
                <w:szCs w:val="30"/>
              </w:rPr>
            </w:pPr>
            <w:r>
              <w:rPr>
                <w:rFonts w:hint="eastAsia"/>
                <w:b/>
                <w:color w:val="auto"/>
                <w:sz w:val="30"/>
                <w:szCs w:val="30"/>
              </w:rPr>
              <w:t>执行项目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</w:tcPr>
          <w:p>
            <w:pPr>
              <w:pStyle w:val="12"/>
              <w:spacing w:line="540" w:lineRule="exact"/>
              <w:jc w:val="center"/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</w:pPr>
            <w:r>
              <w:rPr>
                <w:rFonts w:hint="eastAsia"/>
                <w:color w:val="auto"/>
                <w:sz w:val="30"/>
                <w:szCs w:val="30"/>
              </w:rPr>
              <w:t>饭菜按需盛量</w:t>
            </w:r>
          </w:p>
        </w:tc>
        <w:tc>
          <w:tcPr>
            <w:tcW w:w="5012" w:type="dxa"/>
          </w:tcPr>
          <w:p>
            <w:pPr>
              <w:pStyle w:val="12"/>
              <w:spacing w:line="540" w:lineRule="exact"/>
              <w:rPr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2"/>
                <w:sz w:val="30"/>
                <w:szCs w:val="30"/>
              </w:rPr>
              <w:t>◆</w:t>
            </w:r>
            <w:r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 w:cs="Times New Roman"/>
                <w:color w:val="auto"/>
                <w:kern w:val="2"/>
                <w:sz w:val="30"/>
                <w:szCs w:val="30"/>
              </w:rPr>
              <w:t>倡导餐桌文明之风，杜绝浪费</w:t>
            </w:r>
            <w:r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 w:cs="Times New Roman"/>
                <w:color w:val="auto"/>
                <w:kern w:val="2"/>
                <w:sz w:val="30"/>
                <w:szCs w:val="30"/>
              </w:rPr>
              <w:t>。</w:t>
            </w:r>
            <w:r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</w:tcPr>
          <w:p>
            <w:pPr>
              <w:pStyle w:val="12"/>
              <w:spacing w:line="540" w:lineRule="exact"/>
              <w:jc w:val="center"/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</w:pPr>
            <w:r>
              <w:rPr>
                <w:rFonts w:hint="eastAsia"/>
                <w:color w:val="auto"/>
                <w:sz w:val="30"/>
                <w:szCs w:val="30"/>
              </w:rPr>
              <w:t>剩菜剩饭回收</w:t>
            </w:r>
          </w:p>
        </w:tc>
        <w:tc>
          <w:tcPr>
            <w:tcW w:w="5012" w:type="dxa"/>
          </w:tcPr>
          <w:p>
            <w:pPr>
              <w:pStyle w:val="12"/>
              <w:spacing w:line="540" w:lineRule="exact"/>
              <w:rPr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2"/>
                <w:sz w:val="30"/>
                <w:szCs w:val="30"/>
              </w:rPr>
              <w:t>◆</w:t>
            </w:r>
            <w:r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 w:cs="Times New Roman"/>
                <w:color w:val="auto"/>
                <w:kern w:val="2"/>
                <w:sz w:val="30"/>
                <w:szCs w:val="30"/>
              </w:rPr>
              <w:t>不随意丢弃，放到指定收餐台</w:t>
            </w:r>
            <w:r>
              <w:rPr>
                <w:rFonts w:ascii="仿宋" w:hAnsi="仿宋" w:eastAsia="仿宋" w:cs="Times New Roman"/>
                <w:color w:val="auto"/>
                <w:kern w:val="2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 w:cs="Times New Roman"/>
                <w:color w:val="auto"/>
                <w:kern w:val="2"/>
                <w:sz w:val="30"/>
                <w:szCs w:val="30"/>
              </w:rPr>
              <w:t>。</w:t>
            </w:r>
            <w:r>
              <w:rPr>
                <w:color w:val="auto"/>
                <w:sz w:val="30"/>
                <w:szCs w:val="30"/>
              </w:rPr>
              <w:t xml:space="preserve"> </w:t>
            </w:r>
          </w:p>
        </w:tc>
      </w:tr>
    </w:tbl>
    <w:p>
      <w:pPr>
        <w:pStyle w:val="12"/>
        <w:numPr>
          <w:ilvl w:val="0"/>
          <w:numId w:val="1"/>
        </w:numPr>
        <w:spacing w:line="540" w:lineRule="exact"/>
        <w:ind w:firstLine="440"/>
        <w:outlineLvl w:val="2"/>
        <w:rPr>
          <w:rFonts w:hint="eastAsia" w:ascii="仿宋" w:hAnsi="仿宋" w:eastAsia="仿宋" w:cs="Times New Roman"/>
          <w:b/>
          <w:color w:val="auto"/>
          <w:kern w:val="2"/>
          <w:sz w:val="32"/>
          <w:szCs w:val="32"/>
        </w:rPr>
      </w:pPr>
      <w:bookmarkStart w:id="126" w:name="_Toc32640"/>
      <w:bookmarkStart w:id="127" w:name="_Toc25593"/>
      <w:bookmarkStart w:id="128" w:name="_Toc22734"/>
      <w:bookmarkStart w:id="129" w:name="_Toc5171"/>
      <w:bookmarkStart w:id="130" w:name="_Toc30678"/>
      <w:r>
        <w:rPr>
          <w:rFonts w:hint="eastAsia" w:ascii="仿宋" w:hAnsi="仿宋" w:eastAsia="仿宋" w:cs="Times New Roman"/>
          <w:b/>
          <w:color w:val="auto"/>
          <w:kern w:val="2"/>
          <w:sz w:val="32"/>
          <w:szCs w:val="32"/>
        </w:rPr>
        <w:t>绿色宣传</w:t>
      </w:r>
      <w:bookmarkEnd w:id="126"/>
      <w:bookmarkEnd w:id="127"/>
      <w:bookmarkEnd w:id="128"/>
      <w:bookmarkEnd w:id="129"/>
      <w:bookmarkEnd w:id="130"/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40" w:lineRule="exact"/>
        <w:ind w:firstLine="640" w:firstLineChars="200"/>
        <w:textAlignment w:val="auto"/>
        <w:outlineLvl w:val="2"/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>本社高度重视绿色金融宣传推广工作，通过设置绿色金融服务中心宣传教育栏，充分利用网点LED、电视以及绿色金融专柜、绿色金融窗口开展本社绿色金融文化宣传，深入开展进社区、进街道、进园区、进企业等形式多样的绿色金融宣传活动，多视角、多层次、多渠道向社会公众介绍本社绿色金融发展成效，推介绿色金融产品和特色经验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  <w:t>九、具体举措</w:t>
      </w:r>
      <w:r>
        <w:rPr>
          <w:rFonts w:hint="eastAsia" w:ascii="黑体" w:hAnsi="黑体" w:eastAsia="黑体" w:cs="黑体"/>
          <w:sz w:val="32"/>
          <w:szCs w:val="32"/>
          <w:highlight w:val="none"/>
        </w:rPr>
        <w:t>与</w:t>
      </w:r>
      <w:r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  <w:t>实践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（一）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坚定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支持绿色特色产业发展行动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坚定优先发展绿色产业项目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，为绿色金融改革试验区建设贡献农信力量。重点支持以下几个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产业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</w:pPr>
      <w:bookmarkStart w:id="131" w:name="_Toc25219"/>
      <w:bookmarkStart w:id="132" w:name="_Toc3789"/>
      <w:bookmarkStart w:id="133" w:name="_Toc26312"/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1.支持特色现代农业。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积极对接各乡镇“一乡一特、一村一品”专业村、镇创建以及一系列“福”字号优质绿色农产品培育，积极支持旭牧联生物、福瑞华安种业、绿景农、兴发农牧等龙头企业，推广“龙头企业+合作社（家庭农村）+农户”模式。助推畜禽、种业、果蔬、食用菌、中药材等等“一县一业、一乡一特、一村一品”优势特色产业做强做优做大，稳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特色农业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产业发展。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2.支持绿色林业。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立足区域生态保护和环境改善，重点支持生态公益林和天然商品林保护、造林绿化和森林经营、重点生态区位商品林赎买与补偿、战略性林木资源储备等工程；重点支持特色经济林、林下经济、优质林产品生产加工等民生林业领域，延伸林业产业链，提高林业发展的经济和生态效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3.支持生态旅游。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探索以“绿色金融+”方式，重点支持乡村特色生态旅游业发展，积极介入旅游基础设施、景观建设、民宿客栈建设、农家乐、旅游商品制造、旅游消费等领域。支持乡村旅游“百镇千村”行动计划，选择具备旅游开发条件的扶贫重点村实施乡村旅游富民工程，以农民为主体，以自然生态资源为载体，保护传承好历史文化名村、传统村落、民族特色村，扶持一批以休闲农庄、森林康养、等为主题的乡村生态旅游品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4.支持生态建设。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重点支持将乐县美丽乡村建设，最大限度节能、节地、节水、节材。助力文明城市创建，以及低碳工业园区、低碳社区试点建设，力促城乡一体化发展和城市空间布局优化。支持涉农棚户区改造、新型农村社区功能提升、农村新型住宅小区规划建设管理试点工作，提高农房建设质量，减少因空间布局和基础设施设计不合理造成的碳排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5.打造绿色农产品销售平台。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充分利用福建农信“福农e购”线上平台作用，积极支持绿色农产品销售，拓宽农产品销售渠道，促进农民增收致富。充分发挥农信系统点多面广、客户众多的优势，加大“福农e购”线上平台宣传力度，提高“福农e购”线上平台的知晓度和利用率，扩大绿色农产品销售量。充分利用向各乡镇、各行政村派驻金融助理的作用，广泛收集绿色农产品信息，积极推荐上线“福农e购”平台进行销售，扩大绿色农产品销售品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6.促进农村绿色生产要素流转。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持续加大“福林贷”“林下空间经营权抵押贷款”等产品进行优化升级，促进增量扩面, 重点支持林业培育发展、特色经济林、优质林产品生产加工等民生林业领域，延伸林业产业链，提高林业发展的经济和生态效益。积极配合林票制度改革，推出“福林贷2.0版”金融服务产品，即在信用评级的基础上，将林票质押作为增信条件,推广林票质押类贷款产品,为林票制度改革提供配套信贷产品支持,支持林业产业做大做强。通过“龙头企业+基地+林农”“村集体经济组织+基地+林农”等模式，积极支持发展油茶种植、养蜂、中草药种植等林下经济，增加林业产业附加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（二）积极开展支持绿色消费行动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按照绿色标杆银行转型发展要求，积极开拓思路，加强探索创新，积极开展支持绿色消费行动，发挥典型引路作用。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1.开展绿色消费理念教育。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联社成立绿色金融服务中心，加强对金融消费者绿色消费理念教育，积极引导广大市民参与步行、骑行、公交出行、垃圾分类、节能减排等低碳行动，最大限度节能、节地、节水、节材，形成绿色消费理念。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2.推出绿色消费专属产品。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积极创新绿色信贷专属产品，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highlight w:val="none"/>
          <w:lang w:val="en-US" w:eastAsia="zh-CN" w:bidi="ar"/>
        </w:rPr>
        <w:t>依托我县玉华文旅康养集团“零碳镛行”小程序，创新推出以林业碳票减排量、企业绿色等级作为核定贷款额度和利率的主要依据，用于满足绿色生产经营和绿色消费等需求的专项贷款产品“福农·零碳贷”，助力县域经济走上低碳转型的欣欣向荣之路，截止目前，已授信14户，共计252万元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3" w:firstLineChars="200"/>
        <w:jc w:val="left"/>
        <w:textAlignment w:val="auto"/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3.制定绿色转型实施方案。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按照绿色标杆银行转型发展要求，制定出台具体实施方案，通过采取“明确绿色发展定位、设立绿色专营机构、组建绿色专营团队、单列绿色信贷规模”等措施，致力打造成为专业化绿色标杆银行。</w:t>
      </w:r>
      <w:bookmarkEnd w:id="131"/>
      <w:bookmarkEnd w:id="132"/>
      <w:bookmarkEnd w:id="133"/>
    </w:p>
    <w:p>
      <w:pPr>
        <w:spacing w:line="560" w:lineRule="exact"/>
        <w:ind w:firstLine="640" w:firstLineChars="200"/>
        <w:outlineLvl w:val="0"/>
        <w:rPr>
          <w:rFonts w:ascii="黑体" w:hAnsi="黑体" w:eastAsia="黑体" w:cs="黑体"/>
          <w:sz w:val="32"/>
          <w:szCs w:val="32"/>
        </w:rPr>
      </w:pPr>
      <w:bookmarkStart w:id="134" w:name="_Toc8442"/>
      <w:bookmarkStart w:id="135" w:name="_Toc2350"/>
      <w:bookmarkStart w:id="136" w:name="_Toc22932"/>
      <w:bookmarkStart w:id="137" w:name="_Toc23310"/>
      <w:bookmarkStart w:id="138" w:name="_Toc11757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十</w:t>
      </w:r>
      <w:r>
        <w:rPr>
          <w:rFonts w:hint="eastAsia" w:ascii="黑体" w:hAnsi="黑体" w:eastAsia="黑体" w:cs="黑体"/>
          <w:sz w:val="32"/>
          <w:szCs w:val="32"/>
        </w:rPr>
        <w:t>、未来展望</w:t>
      </w:r>
      <w:bookmarkEnd w:id="134"/>
      <w:bookmarkEnd w:id="135"/>
      <w:bookmarkEnd w:id="136"/>
      <w:bookmarkEnd w:id="137"/>
      <w:bookmarkEnd w:id="138"/>
      <w:r>
        <w:rPr>
          <w:rFonts w:hint="eastAsia" w:ascii="黑体" w:hAnsi="黑体" w:eastAsia="黑体" w:cs="黑体"/>
          <w:sz w:val="32"/>
          <w:szCs w:val="32"/>
        </w:rPr>
        <w:t xml:space="preserve"> 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bookmarkStart w:id="139" w:name="_Toc10546"/>
      <w:bookmarkStart w:id="140" w:name="_Toc8927"/>
      <w:bookmarkStart w:id="141" w:name="_Toc17669"/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，本社将持续深化绿色金融发展理念，以更高标准、更实举措推动绿色金融高质量发展：一是进一步完善绿色金融治理体系，优化考核激励机制，强化专业人才培养，夯实绿色金融发展基础；二是加大绿色信贷投放力度，聚焦重点领域，扩大服务覆盖面，力争实现绿色贷款规模与占比稳步提升；三是深化产品服务创新，探索绿色信贷业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领域</w:t>
      </w:r>
      <w:r>
        <w:rPr>
          <w:rFonts w:hint="eastAsia" w:ascii="仿宋_GB2312" w:hAnsi="仿宋_GB2312" w:eastAsia="仿宋_GB2312" w:cs="仿宋_GB2312"/>
          <w:sz w:val="32"/>
          <w:szCs w:val="32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创新</w:t>
      </w:r>
      <w:r>
        <w:rPr>
          <w:rFonts w:hint="eastAsia" w:ascii="仿宋_GB2312" w:hAnsi="仿宋_GB2312" w:eastAsia="仿宋_GB2312" w:cs="仿宋_GB2312"/>
          <w:sz w:val="32"/>
          <w:szCs w:val="32"/>
        </w:rPr>
        <w:t>发展，丰富绿色金融产品体系；四是加强环境风险管理，完善风险识别、评估、处置机制，防范化解环境相关金融风险；五是持续推进绿色运营，深化节能降耗举措，打造绿色低碳金融机构。</w:t>
      </w:r>
    </w:p>
    <w:bookmarkEnd w:id="139"/>
    <w:bookmarkEnd w:id="140"/>
    <w:bookmarkEnd w:id="141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将乐联社将始终坚守服务地方经济、助力生态文明建设的初心使命，不断提升绿色金融服务质效，为将乐县实现碳达峰碳中和目标、推动高质量发展贡献农信力量。</w:t>
      </w:r>
    </w:p>
    <w:p>
      <w:pPr>
        <w:rPr>
          <w:rFonts w:hint="default" w:eastAsia="宋体"/>
          <w:lang w:val="en-US" w:eastAsia="zh-CN"/>
        </w:rPr>
      </w:pPr>
    </w:p>
    <w:sectPr>
      <w:footerReference r:id="rId6" w:type="default"/>
      <w:pgSz w:w="11906" w:h="16838"/>
      <w:pgMar w:top="1587" w:right="1418" w:bottom="1417" w:left="1418" w:header="851" w:footer="992" w:gutter="0"/>
      <w:pgNumType w:fmt="decimal" w:start="1"/>
      <w:cols w:space="0" w:num="1"/>
      <w:rtlGutter w:val="0"/>
      <w:docGrid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4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/>
                              <w:lang w:val="en-US"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default"/>
                              <w:lang w:val="en-US"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default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40" w:lineRule="auto"/>
      <w:ind w:firstLine="640" w:firstLineChars="200"/>
      <w:jc w:val="right"/>
    </w:pPr>
    <w:r>
      <w:rPr>
        <w:rFonts w:hint="eastAsia" w:ascii="仿宋_GB2312" w:hAnsi="仿宋_GB2312" w:eastAsia="仿宋_GB2312" w:cs="仿宋_GB2312"/>
        <w:sz w:val="32"/>
        <w:szCs w:val="32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40" w:lineRule="auto"/>
      <w:ind w:firstLine="640" w:firstLineChars="200"/>
      <w:jc w:val="right"/>
    </w:pPr>
    <w:r>
      <w:rPr>
        <w:rFonts w:hint="eastAsia" w:ascii="仿宋_GB2312" w:hAnsi="仿宋_GB2312" w:eastAsia="仿宋_GB2312" w:cs="仿宋_GB2312"/>
        <w:sz w:val="32"/>
        <w:szCs w:val="32"/>
      </w:rPr>
      <w:drawing>
        <wp:inline distT="0" distB="0" distL="114300" distR="114300">
          <wp:extent cx="1306830" cy="258445"/>
          <wp:effectExtent l="0" t="0" r="7620" b="8255"/>
          <wp:docPr id="3" name="图片 3" descr="d2de637de7ffccf4dc60d370e8f20355-360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d2de637de7ffccf4dc60d370e8f20355-36090"/>
                  <pic:cNvPicPr>
                    <a:picLocks noChangeAspect="1"/>
                  </pic:cNvPicPr>
                </pic:nvPicPr>
                <pic:blipFill>
                  <a:blip r:embed="rId1">
                    <a:clrChange>
                      <a:clrFrom>
                        <a:srgbClr val="000000">
                          <a:alpha val="100000"/>
                        </a:srgbClr>
                      </a:clrFrom>
                      <a:clrTo>
                        <a:srgbClr val="000000">
                          <a:alpha val="100000"/>
                          <a:alpha val="0"/>
                        </a:srgbClr>
                      </a:clrTo>
                    </a:clrChange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6830" cy="2584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仿宋_GB2312" w:hAnsi="仿宋_GB2312" w:eastAsia="仿宋_GB2312" w:cs="仿宋_GB2312"/>
        <w:sz w:val="32"/>
        <w:szCs w:val="32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F37D61"/>
    <w:multiLevelType w:val="singleLevel"/>
    <w:tmpl w:val="CCF37D61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1F26D4"/>
    <w:rsid w:val="03B0091D"/>
    <w:rsid w:val="0A225498"/>
    <w:rsid w:val="180C2FDA"/>
    <w:rsid w:val="19A65DF9"/>
    <w:rsid w:val="1A1F26D4"/>
    <w:rsid w:val="1BCE1CD1"/>
    <w:rsid w:val="1C0D7E99"/>
    <w:rsid w:val="2CF035D5"/>
    <w:rsid w:val="2DDF5B2D"/>
    <w:rsid w:val="2F3A3BDD"/>
    <w:rsid w:val="3944210B"/>
    <w:rsid w:val="3B511214"/>
    <w:rsid w:val="44551438"/>
    <w:rsid w:val="46791C22"/>
    <w:rsid w:val="49514376"/>
    <w:rsid w:val="4A0F4FE7"/>
    <w:rsid w:val="4DD56780"/>
    <w:rsid w:val="5AED2BAF"/>
    <w:rsid w:val="5BA8109F"/>
    <w:rsid w:val="5C8514F7"/>
    <w:rsid w:val="674C3CF0"/>
    <w:rsid w:val="69874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basedOn w:val="1"/>
    <w:next w:val="1"/>
    <w:qFormat/>
    <w:uiPriority w:val="0"/>
    <w:pPr>
      <w:ind w:left="840" w:leftChars="4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toc 1"/>
    <w:basedOn w:val="1"/>
    <w:next w:val="1"/>
    <w:qFormat/>
    <w:uiPriority w:val="0"/>
  </w:style>
  <w:style w:type="paragraph" w:styleId="6">
    <w:name w:val="toc 2"/>
    <w:basedOn w:val="1"/>
    <w:next w:val="1"/>
    <w:qFormat/>
    <w:uiPriority w:val="0"/>
    <w:pPr>
      <w:ind w:left="420" w:leftChars="200"/>
    </w:p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10">
    <w:name w:val="Body Text First Indent 21"/>
    <w:qFormat/>
    <w:uiPriority w:val="0"/>
    <w:pPr>
      <w:ind w:firstLine="420" w:firstLineChars="200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customStyle="1" w:styleId="11">
    <w:name w:val="正文 A"/>
    <w:qFormat/>
    <w:uiPriority w:val="0"/>
    <w:pPr>
      <w:widowControl w:val="0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13">
    <w:name w:val="WPSOffice手动目录 1"/>
    <w:qFormat/>
    <w:uiPriority w:val="0"/>
    <w:pPr>
      <w:ind w:leftChars="0"/>
    </w:pPr>
    <w:rPr>
      <w:rFonts w:asciiTheme="minorHAnsi" w:hAnsiTheme="minorHAnsi" w:eastAsiaTheme="minorEastAsia" w:cstheme="minorBidi"/>
      <w:sz w:val="20"/>
      <w:szCs w:val="20"/>
    </w:rPr>
  </w:style>
  <w:style w:type="paragraph" w:customStyle="1" w:styleId="14">
    <w:name w:val="WPSOffice手动目录 2"/>
    <w:qFormat/>
    <w:uiPriority w:val="0"/>
    <w:pPr>
      <w:ind w:leftChars="200"/>
    </w:pPr>
    <w:rPr>
      <w:rFonts w:asciiTheme="minorHAnsi" w:hAnsiTheme="minorHAnsi" w:eastAsiaTheme="minorEastAsia" w:cstheme="minorBidi"/>
      <w:sz w:val="20"/>
      <w:szCs w:val="20"/>
    </w:rPr>
  </w:style>
  <w:style w:type="paragraph" w:customStyle="1" w:styleId="15">
    <w:name w:val="WPSOffice手动目录 3"/>
    <w:qFormat/>
    <w:uiPriority w:val="0"/>
    <w:pPr>
      <w:ind w:leftChars="400"/>
    </w:pPr>
    <w:rPr>
      <w:rFonts w:asciiTheme="minorHAnsi" w:hAnsiTheme="minorHAnsi" w:eastAsiaTheme="minorEastAsia" w:cstheme="minorBidi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Office_12.8.2.15209_F1E327BC-269C-435d-A152-05C5408002CA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2025-12-09T10:14:00Z</dcterms:created>
  <dc:creator>Administrator</dc:creator>
  <cp:lastModifiedBy>Administrator</cp:lastModifiedBy>
  <dcterms:modified xsi:type="dcterms:W3CDTF">2026-06-30T01:48:15Z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2052-12.8.2.15209</vt:lpwstr>
  </property>
  <property fmtid="{D5CDD505-2E9C-101B-9397-08002B2CF9AE}" pid="3" name="ICV">
    <vt:lpwstr>486EC33922BD4FB1A47E223F4F8FA217_13</vt:lpwstr>
  </property>
</Properties>
</file>