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ascii="方正小标宋简体" w:eastAsia="方正小标宋简体" w:hAnsiTheme="minorHAnsi" w:cstheme="minorBidi"/>
          <w:sz w:val="44"/>
          <w:szCs w:val="44"/>
        </w:rPr>
      </w:pPr>
      <w:r>
        <w:rPr>
          <w:rFonts w:hint="eastAsia" w:ascii="方正小标宋简体" w:eastAsia="方正小标宋简体" w:hAnsiTheme="minorHAnsi" w:cstheme="minorBidi"/>
          <w:sz w:val="44"/>
          <w:szCs w:val="44"/>
        </w:rPr>
        <w:t>古田县农村信用合作联社</w:t>
      </w:r>
    </w:p>
    <w:p>
      <w:pPr>
        <w:spacing w:line="578" w:lineRule="exact"/>
        <w:jc w:val="center"/>
        <w:rPr>
          <w:rFonts w:ascii="方正小标宋简体" w:eastAsia="方正小标宋简体" w:hAnsiTheme="minorHAnsi" w:cstheme="minorBidi"/>
          <w:sz w:val="44"/>
          <w:szCs w:val="44"/>
        </w:rPr>
      </w:pPr>
      <w:r>
        <w:rPr>
          <w:rFonts w:hint="eastAsia" w:ascii="方正小标宋简体" w:eastAsia="方正小标宋简体" w:hAnsiTheme="minorHAnsi" w:cstheme="minorBidi"/>
          <w:sz w:val="44"/>
          <w:szCs w:val="44"/>
        </w:rPr>
        <w:t>2025年度可持续信息披露报告</w:t>
      </w:r>
    </w:p>
    <w:p>
      <w:pPr>
        <w:spacing w:line="578" w:lineRule="exact"/>
        <w:jc w:val="left"/>
        <w:rPr>
          <w:rFonts w:ascii="仿宋_GB2312" w:hAnsi="仿宋_GB2312" w:eastAsia="仿宋_GB2312" w:cs="仿宋_GB2312"/>
          <w:b/>
          <w:bCs/>
          <w:spacing w:val="15"/>
          <w:sz w:val="32"/>
          <w:szCs w:val="32"/>
        </w:rPr>
      </w:pPr>
      <w:r>
        <w:rPr>
          <w:rFonts w:hint="eastAsia" w:ascii="仿宋_GB2312" w:hAnsi="仿宋_GB2312" w:eastAsia="仿宋_GB2312" w:cs="仿宋_GB2312"/>
          <w:b/>
          <w:bCs/>
          <w:spacing w:val="15"/>
          <w:sz w:val="32"/>
          <w:szCs w:val="32"/>
        </w:rPr>
        <w:t xml:space="preserve">   </w:t>
      </w:r>
    </w:p>
    <w:p>
      <w:pPr>
        <w:spacing w:line="540" w:lineRule="exact"/>
        <w:ind w:firstLine="703"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b/>
          <w:bCs/>
          <w:spacing w:val="15"/>
          <w:sz w:val="32"/>
          <w:szCs w:val="32"/>
        </w:rPr>
        <w:t>关于本报告</w:t>
      </w:r>
      <w:r>
        <w:rPr>
          <w:rFonts w:hint="eastAsia" w:ascii="仿宋_GB2312" w:hAnsi="仿宋_GB2312" w:eastAsia="仿宋_GB2312" w:cs="仿宋_GB2312"/>
          <w:spacing w:val="15"/>
          <w:sz w:val="32"/>
          <w:szCs w:val="32"/>
        </w:rPr>
        <w:t>《古田县农村信用合作联社2025年度可持续信息披露报告》（以下简称“本报告”），旨在披露古田县农村信用合作联社在环境保护、绿色金融及绿色运营等环境方面的相关信息。除特别说明外，本报告中“我联社”指代古田县农村信用合作联社。</w:t>
      </w:r>
    </w:p>
    <w:p>
      <w:pPr>
        <w:overflowPunct w:val="0"/>
        <w:spacing w:line="540" w:lineRule="exact"/>
        <w:ind w:firstLine="703" w:firstLineChars="200"/>
        <w:jc w:val="left"/>
        <w:rPr>
          <w:rFonts w:ascii="仿宋_GB2312" w:hAnsi="仿宋_GB2312" w:eastAsia="仿宋_GB2312" w:cs="仿宋_GB2312"/>
          <w:b/>
          <w:bCs/>
          <w:spacing w:val="15"/>
          <w:sz w:val="32"/>
          <w:szCs w:val="32"/>
        </w:rPr>
      </w:pPr>
      <w:r>
        <w:rPr>
          <w:rFonts w:hint="eastAsia" w:ascii="仿宋_GB2312" w:hAnsi="仿宋_GB2312" w:eastAsia="仿宋_GB2312" w:cs="仿宋_GB2312"/>
          <w:b/>
          <w:bCs/>
          <w:spacing w:val="15"/>
          <w:sz w:val="32"/>
          <w:szCs w:val="32"/>
        </w:rPr>
        <w:t>报告期间</w:t>
      </w:r>
    </w:p>
    <w:p>
      <w:pPr>
        <w:overflowPunct w:val="0"/>
        <w:spacing w:line="54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2025年1月1日至2025年12月31日</w:t>
      </w:r>
    </w:p>
    <w:p>
      <w:pPr>
        <w:overflowPunct w:val="0"/>
        <w:spacing w:line="540" w:lineRule="exact"/>
        <w:ind w:firstLine="703" w:firstLineChars="200"/>
        <w:jc w:val="left"/>
        <w:rPr>
          <w:rFonts w:ascii="仿宋_GB2312" w:hAnsi="仿宋_GB2312" w:eastAsia="仿宋_GB2312" w:cs="仿宋_GB2312"/>
          <w:b/>
          <w:bCs/>
          <w:spacing w:val="15"/>
          <w:sz w:val="32"/>
          <w:szCs w:val="32"/>
        </w:rPr>
      </w:pPr>
      <w:r>
        <w:rPr>
          <w:rFonts w:hint="eastAsia" w:ascii="仿宋_GB2312" w:hAnsi="仿宋_GB2312" w:eastAsia="仿宋_GB2312" w:cs="仿宋_GB2312"/>
          <w:b/>
          <w:bCs/>
          <w:spacing w:val="15"/>
          <w:sz w:val="32"/>
          <w:szCs w:val="32"/>
        </w:rPr>
        <w:t>报告范围</w:t>
      </w:r>
    </w:p>
    <w:p>
      <w:pPr>
        <w:overflowPunct w:val="0"/>
        <w:spacing w:line="54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本报告披露范围包括古田县农村信用合作联社及所辖分支机构。</w:t>
      </w:r>
    </w:p>
    <w:p>
      <w:pPr>
        <w:overflowPunct w:val="0"/>
        <w:spacing w:line="540" w:lineRule="exact"/>
        <w:ind w:firstLine="703" w:firstLineChars="200"/>
        <w:jc w:val="left"/>
        <w:rPr>
          <w:rFonts w:ascii="仿宋_GB2312" w:hAnsi="仿宋_GB2312" w:eastAsia="仿宋_GB2312" w:cs="仿宋_GB2312"/>
          <w:b/>
          <w:bCs/>
          <w:spacing w:val="15"/>
          <w:sz w:val="32"/>
          <w:szCs w:val="32"/>
        </w:rPr>
      </w:pPr>
      <w:r>
        <w:rPr>
          <w:rFonts w:hint="eastAsia" w:ascii="仿宋_GB2312" w:hAnsi="仿宋_GB2312" w:eastAsia="仿宋_GB2312" w:cs="仿宋_GB2312"/>
          <w:b/>
          <w:bCs/>
          <w:spacing w:val="15"/>
          <w:sz w:val="32"/>
          <w:szCs w:val="32"/>
        </w:rPr>
        <w:t>报告数据说明</w:t>
      </w:r>
    </w:p>
    <w:p>
      <w:pPr>
        <w:overflowPunct w:val="0"/>
        <w:spacing w:line="54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本报告中的数据以2025年1月1日至2025年12月31日期间内的数据为主，主要来源本行内部统计数据及基于报告框架的定性与定量数据信息采集。本报告所涉及货币金额以人民币为计量单位。</w:t>
      </w:r>
    </w:p>
    <w:p>
      <w:pPr>
        <w:overflowPunct w:val="0"/>
        <w:spacing w:line="540" w:lineRule="exact"/>
        <w:ind w:firstLine="703" w:firstLineChars="200"/>
        <w:jc w:val="left"/>
        <w:rPr>
          <w:rFonts w:ascii="仿宋_GB2312" w:hAnsi="仿宋_GB2312" w:eastAsia="仿宋_GB2312" w:cs="仿宋_GB2312"/>
          <w:b/>
          <w:bCs/>
          <w:spacing w:val="15"/>
          <w:sz w:val="32"/>
          <w:szCs w:val="32"/>
        </w:rPr>
      </w:pPr>
      <w:r>
        <w:rPr>
          <w:rFonts w:hint="eastAsia" w:ascii="仿宋_GB2312" w:hAnsi="仿宋_GB2312" w:eastAsia="仿宋_GB2312" w:cs="仿宋_GB2312"/>
          <w:b/>
          <w:bCs/>
          <w:spacing w:val="15"/>
          <w:sz w:val="32"/>
          <w:szCs w:val="32"/>
        </w:rPr>
        <w:t>报告编制依据</w:t>
      </w:r>
    </w:p>
    <w:p>
      <w:pPr>
        <w:overflowPunct w:val="0"/>
        <w:spacing w:line="54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本报告内容遵循中国人民银行宁德市分行发布的《</w:t>
      </w:r>
      <w:bookmarkStart w:id="0" w:name="B0001"/>
      <w:r>
        <w:rPr>
          <w:rFonts w:hint="eastAsia" w:ascii="仿宋_GB2312" w:hAnsi="仿宋_GB2312" w:eastAsia="仿宋_GB2312" w:cs="仿宋_GB2312"/>
          <w:spacing w:val="15"/>
          <w:sz w:val="32"/>
          <w:szCs w:val="32"/>
        </w:rPr>
        <w:t>中国人民银行宁德市分行关于推进金融机构可持续信息披露金融标准试用的通知》</w:t>
      </w:r>
      <w:bookmarkEnd w:id="0"/>
      <w:r>
        <w:rPr>
          <w:rFonts w:hint="eastAsia" w:ascii="仿宋_GB2312" w:hAnsi="仿宋_GB2312" w:eastAsia="仿宋_GB2312" w:cs="仿宋_GB2312"/>
          <w:spacing w:val="15"/>
          <w:sz w:val="32"/>
          <w:szCs w:val="32"/>
        </w:rPr>
        <w:t>等相关要求。</w:t>
      </w:r>
    </w:p>
    <w:p>
      <w:pPr>
        <w:overflowPunct w:val="0"/>
        <w:spacing w:line="540" w:lineRule="exact"/>
        <w:ind w:firstLine="703" w:firstLineChars="200"/>
        <w:jc w:val="left"/>
        <w:rPr>
          <w:rFonts w:ascii="仿宋_GB2312" w:hAnsi="仿宋_GB2312" w:eastAsia="仿宋_GB2312" w:cs="仿宋_GB2312"/>
          <w:b/>
          <w:bCs/>
          <w:spacing w:val="15"/>
          <w:sz w:val="32"/>
          <w:szCs w:val="32"/>
        </w:rPr>
      </w:pPr>
      <w:r>
        <w:rPr>
          <w:rFonts w:hint="eastAsia" w:ascii="仿宋_GB2312" w:hAnsi="仿宋_GB2312" w:eastAsia="仿宋_GB2312" w:cs="仿宋_GB2312"/>
          <w:b/>
          <w:bCs/>
          <w:spacing w:val="15"/>
          <w:sz w:val="32"/>
          <w:szCs w:val="32"/>
        </w:rPr>
        <w:t>报告发布形式</w:t>
      </w:r>
    </w:p>
    <w:p>
      <w:pPr>
        <w:overflowPunct w:val="0"/>
        <w:spacing w:line="540" w:lineRule="exact"/>
        <w:ind w:firstLine="700" w:firstLineChars="200"/>
        <w:jc w:val="left"/>
        <w:rPr>
          <w:rFonts w:ascii="仿宋_GB2312" w:hAnsi="仿宋_GB2312" w:eastAsia="仿宋_GB2312" w:cs="仿宋_GB2312"/>
          <w:spacing w:val="15"/>
          <w:sz w:val="32"/>
          <w:szCs w:val="32"/>
        </w:rPr>
        <w:sectPr>
          <w:footerReference r:id="rId3" w:type="default"/>
          <w:pgSz w:w="11906" w:h="16839"/>
          <w:pgMar w:top="1440" w:right="1800" w:bottom="1440" w:left="1800" w:header="0" w:footer="991" w:gutter="0"/>
          <w:cols w:space="720" w:num="1"/>
        </w:sectPr>
      </w:pPr>
      <w:r>
        <w:rPr>
          <w:rFonts w:hint="eastAsia" w:ascii="仿宋_GB2312" w:hAnsi="仿宋_GB2312" w:eastAsia="仿宋_GB2312" w:cs="仿宋_GB2312"/>
          <w:spacing w:val="15"/>
          <w:sz w:val="32"/>
          <w:szCs w:val="32"/>
        </w:rPr>
        <w:t>本报告以中文电子版形式发布，您可在本社官方网站查阅。</w:t>
      </w:r>
    </w:p>
    <w:p>
      <w:pPr>
        <w:spacing w:line="578" w:lineRule="exact"/>
        <w:ind w:firstLine="640" w:firstLineChars="200"/>
        <w:rPr>
          <w:rFonts w:ascii="黑体" w:hAnsi="黑体" w:eastAsia="黑体"/>
          <w:snapToGrid w:val="0"/>
          <w:kern w:val="0"/>
          <w:sz w:val="32"/>
          <w:szCs w:val="32"/>
        </w:rPr>
      </w:pPr>
      <w:r>
        <w:rPr>
          <w:rFonts w:hint="eastAsia" w:ascii="黑体" w:hAnsi="黑体" w:eastAsia="黑体"/>
          <w:snapToGrid w:val="0"/>
          <w:kern w:val="0"/>
          <w:sz w:val="32"/>
          <w:szCs w:val="32"/>
        </w:rPr>
        <w:t>一、战略规划</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（一）年度概况</w:t>
      </w:r>
    </w:p>
    <w:p>
      <w:pPr>
        <w:widowControl/>
        <w:overflowPunct w:val="0"/>
        <w:autoSpaceDE w:val="0"/>
        <w:autoSpaceDN w:val="0"/>
        <w:adjustRightInd w:val="0"/>
        <w:snapToGrid w:val="0"/>
        <w:spacing w:line="578" w:lineRule="exact"/>
        <w:ind w:firstLine="640" w:firstLineChars="200"/>
        <w:textAlignment w:val="baseline"/>
        <w:rPr>
          <w:rFonts w:ascii="仿宋_GB2312" w:hAnsi="仿宋_GB2312" w:eastAsia="仿宋_GB2312" w:cs="仿宋_GB2312"/>
          <w:spacing w:val="15"/>
          <w:sz w:val="32"/>
          <w:szCs w:val="32"/>
        </w:rPr>
      </w:pPr>
      <w:r>
        <w:rPr>
          <w:rFonts w:hint="eastAsia" w:ascii="仿宋_GB2312" w:eastAsia="仿宋_GB2312" w:cs="仿宋_GB2312"/>
          <w:sz w:val="32"/>
          <w:szCs w:val="32"/>
        </w:rPr>
        <w:t>截止2025年12月末,</w:t>
      </w:r>
      <w:r>
        <w:rPr>
          <w:rFonts w:hint="eastAsia" w:ascii="仿宋_GB2312" w:hAnsi="仿宋_GB2312" w:eastAsia="仿宋_GB2312" w:cs="仿宋_GB2312"/>
          <w:spacing w:val="1"/>
          <w:sz w:val="32"/>
          <w:szCs w:val="32"/>
        </w:rPr>
        <w:t>各项存款余额</w:t>
      </w:r>
      <w:r>
        <w:rPr>
          <w:rFonts w:ascii="仿宋_GB2312" w:hAnsi="仿宋_GB2312" w:eastAsia="仿宋_GB2312" w:cs="仿宋_GB2312"/>
          <w:spacing w:val="1"/>
          <w:sz w:val="32"/>
          <w:szCs w:val="32"/>
        </w:rPr>
        <w:t>123.72</w:t>
      </w:r>
      <w:r>
        <w:rPr>
          <w:rFonts w:hint="eastAsia" w:ascii="仿宋_GB2312" w:hAnsi="仿宋_GB2312" w:eastAsia="仿宋_GB2312" w:cs="仿宋_GB2312"/>
          <w:spacing w:val="1"/>
          <w:sz w:val="32"/>
          <w:szCs w:val="32"/>
        </w:rPr>
        <w:t>亿元，同比增长9.</w:t>
      </w:r>
      <w:r>
        <w:rPr>
          <w:rFonts w:ascii="仿宋_GB2312" w:hAnsi="仿宋_GB2312" w:eastAsia="仿宋_GB2312" w:cs="仿宋_GB2312"/>
          <w:spacing w:val="1"/>
          <w:sz w:val="32"/>
          <w:szCs w:val="32"/>
        </w:rPr>
        <w:t>45</w:t>
      </w:r>
      <w:r>
        <w:rPr>
          <w:rFonts w:hint="eastAsia" w:ascii="仿宋_GB2312" w:hAnsi="仿宋_GB2312" w:eastAsia="仿宋_GB2312" w:cs="仿宋_GB2312"/>
          <w:spacing w:val="1"/>
          <w:sz w:val="32"/>
          <w:szCs w:val="32"/>
        </w:rPr>
        <w:t>%；各项贷款余额</w:t>
      </w:r>
      <w:r>
        <w:rPr>
          <w:rFonts w:ascii="仿宋_GB2312" w:hAnsi="仿宋_GB2312" w:eastAsia="仿宋_GB2312" w:cs="仿宋_GB2312"/>
          <w:spacing w:val="1"/>
          <w:sz w:val="32"/>
          <w:szCs w:val="32"/>
        </w:rPr>
        <w:t>79.21</w:t>
      </w:r>
      <w:r>
        <w:rPr>
          <w:rFonts w:hint="eastAsia" w:ascii="仿宋_GB2312" w:hAnsi="仿宋_GB2312" w:eastAsia="仿宋_GB2312" w:cs="仿宋_GB2312"/>
          <w:spacing w:val="1"/>
          <w:sz w:val="32"/>
          <w:szCs w:val="32"/>
        </w:rPr>
        <w:t>亿元，同比增长2.8</w:t>
      </w:r>
      <w:r>
        <w:rPr>
          <w:rFonts w:ascii="仿宋_GB2312" w:hAnsi="仿宋_GB2312" w:eastAsia="仿宋_GB2312" w:cs="仿宋_GB2312"/>
          <w:spacing w:val="1"/>
          <w:sz w:val="32"/>
          <w:szCs w:val="32"/>
        </w:rPr>
        <w:t>1</w:t>
      </w:r>
      <w:r>
        <w:rPr>
          <w:rFonts w:hint="eastAsia" w:ascii="仿宋_GB2312" w:hAnsi="仿宋_GB2312" w:eastAsia="仿宋_GB2312" w:cs="仿宋_GB2312"/>
          <w:spacing w:val="1"/>
          <w:sz w:val="32"/>
          <w:szCs w:val="32"/>
        </w:rPr>
        <w:t>%。其中绿色信贷户数</w:t>
      </w:r>
      <w:r>
        <w:rPr>
          <w:rFonts w:ascii="仿宋_GB2312" w:hAnsi="仿宋_GB2312" w:eastAsia="仿宋_GB2312" w:cs="仿宋_GB2312"/>
          <w:spacing w:val="1"/>
          <w:sz w:val="32"/>
          <w:szCs w:val="32"/>
        </w:rPr>
        <w:t>65</w:t>
      </w:r>
      <w:r>
        <w:rPr>
          <w:rFonts w:hint="eastAsia" w:ascii="仿宋_GB2312" w:hAnsi="仿宋_GB2312" w:eastAsia="仿宋_GB2312" w:cs="仿宋_GB2312"/>
          <w:spacing w:val="1"/>
          <w:sz w:val="32"/>
          <w:szCs w:val="32"/>
        </w:rPr>
        <w:t>户，绿色信贷余额</w:t>
      </w:r>
      <w:r>
        <w:rPr>
          <w:rFonts w:ascii="仿宋_GB2312" w:hAnsi="仿宋_GB2312" w:eastAsia="仿宋_GB2312" w:cs="仿宋_GB2312"/>
          <w:spacing w:val="1"/>
          <w:sz w:val="32"/>
          <w:szCs w:val="32"/>
        </w:rPr>
        <w:t>4658.34</w:t>
      </w:r>
      <w:r>
        <w:rPr>
          <w:rFonts w:hint="eastAsia" w:ascii="仿宋_GB2312" w:hAnsi="仿宋_GB2312" w:eastAsia="仿宋_GB2312" w:cs="仿宋_GB2312"/>
          <w:spacing w:val="1"/>
          <w:sz w:val="32"/>
          <w:szCs w:val="32"/>
        </w:rPr>
        <w:t>万元，绿色信贷占比</w:t>
      </w:r>
      <w:r>
        <w:rPr>
          <w:rFonts w:ascii="仿宋_GB2312" w:hAnsi="仿宋_GB2312" w:eastAsia="仿宋_GB2312" w:cs="仿宋_GB2312"/>
          <w:spacing w:val="1"/>
          <w:sz w:val="32"/>
          <w:szCs w:val="32"/>
        </w:rPr>
        <w:t>0.61</w:t>
      </w:r>
      <w:r>
        <w:rPr>
          <w:rFonts w:hint="eastAsia" w:ascii="仿宋_GB2312" w:hAnsi="仿宋_GB2312" w:eastAsia="仿宋_GB2312" w:cs="仿宋_GB2312"/>
          <w:spacing w:val="1"/>
          <w:sz w:val="32"/>
          <w:szCs w:val="32"/>
        </w:rPr>
        <w:t>%,</w:t>
      </w:r>
      <w:r>
        <w:rPr>
          <w:rFonts w:hint="eastAsia" w:ascii="仿宋_GB2312" w:eastAsia="仿宋_GB2312" w:cs="仿宋_GB2312"/>
          <w:sz w:val="32"/>
          <w:szCs w:val="32"/>
        </w:rPr>
        <w:t>贷款投向主要分布在节能环保产业、生态环境生态农业。</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（二）战略愿景、目标及总体思路</w:t>
      </w:r>
    </w:p>
    <w:p>
      <w:pPr>
        <w:widowControl/>
        <w:overflowPunct w:val="0"/>
        <w:autoSpaceDE w:val="0"/>
        <w:autoSpaceDN w:val="0"/>
        <w:adjustRightInd w:val="0"/>
        <w:snapToGrid w:val="0"/>
        <w:spacing w:line="578" w:lineRule="exact"/>
        <w:ind w:firstLine="644" w:firstLineChars="200"/>
        <w:textAlignment w:val="baseline"/>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本社锚定“绿水青山就是金山银山”发展理念，秉持“义利并举，和合共生”经营理念，将绿色金融确立为本土服务、转型发展的核心战略支点。立足古田县食用菌、林竹、红曲、果蔬等特色资源禀赋，打造适配县域发展、具备农信特色的绿色普惠金融服务体系，深化绿色金融与普惠金融双向融合，盘活县域生态资源资产、畅通生态产品价值实现渠道，精准服务国家“双碳”战略、美丽福建建设及宁德普惠金融改革试验区建设工作。</w:t>
      </w:r>
    </w:p>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明确阶段性发展目标:健全绿色金融组织架构与服务体系，丰富本土化绿色信贷产品矩阵，完善全流程环境风险风控机制，拓宽多领域绿色金融服务覆盖面，实现绿色信贷规模稳步扩容、产品创新落地见效、风控体系成熟完备，建成县域绿色普惠金融标杆机构。</w:t>
      </w:r>
    </w:p>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实施情况：2025年末绿色贷款余额</w:t>
      </w:r>
      <w:r>
        <w:rPr>
          <w:rFonts w:ascii="仿宋_GB2312" w:hAnsi="仿宋_GB2312" w:eastAsia="仿宋_GB2312" w:cs="仿宋_GB2312"/>
          <w:spacing w:val="1"/>
          <w:sz w:val="32"/>
          <w:szCs w:val="32"/>
        </w:rPr>
        <w:t>4658.34</w:t>
      </w:r>
      <w:r>
        <w:rPr>
          <w:rFonts w:hint="eastAsia" w:ascii="仿宋_GB2312" w:hAnsi="仿宋_GB2312" w:eastAsia="仿宋_GB2312" w:cs="仿宋_GB2312"/>
          <w:spacing w:val="1"/>
          <w:sz w:val="32"/>
          <w:szCs w:val="32"/>
        </w:rPr>
        <w:t>万元</w:t>
      </w:r>
      <w:r>
        <w:rPr>
          <w:rFonts w:hint="eastAsia" w:ascii="仿宋_GB2312" w:hAnsi="仿宋_GB2312" w:eastAsia="仿宋_GB2312" w:cs="仿宋_GB2312"/>
          <w:spacing w:val="15"/>
          <w:sz w:val="32"/>
          <w:szCs w:val="32"/>
        </w:rPr>
        <w:t>，较年初增幅</w:t>
      </w:r>
      <w:r>
        <w:rPr>
          <w:rFonts w:ascii="仿宋_GB2312" w:hAnsi="仿宋_GB2312" w:eastAsia="仿宋_GB2312" w:cs="仿宋_GB2312"/>
          <w:spacing w:val="15"/>
          <w:sz w:val="32"/>
          <w:szCs w:val="32"/>
        </w:rPr>
        <w:t>99.82</w:t>
      </w:r>
      <w:r>
        <w:rPr>
          <w:rFonts w:hint="eastAsia" w:ascii="仿宋_GB2312" w:hAnsi="仿宋_GB2312" w:eastAsia="仿宋_GB2312" w:cs="仿宋_GB2312"/>
          <w:spacing w:val="15"/>
          <w:sz w:val="32"/>
          <w:szCs w:val="32"/>
        </w:rPr>
        <w:t>%，增速高于各项贷款平均增速；紧扣古田本土优势产业，重点向食用菌绿色改造、林下经济、竹林产业、生态种养、资源循环利用、绿色制造等领域倾斜。同步搭建专业化环境与气候风险管控体系，更新绿色信贷正负清单，落实客户准入负面清单管控，开展信贷业务全流程环境风险排查，将绿色发展理念、环境风险研判机制全面融入经营决策、客户营销、授信审批、贷后管理全链条，各项绿色金融战略部署有序落地。</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（三）投融资及自身运营碳减排目标</w:t>
      </w:r>
    </w:p>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定量目标：力争2027年末</w:t>
      </w:r>
      <w:r>
        <w:rPr>
          <w:rFonts w:hint="eastAsia" w:ascii="仿宋_GB2312" w:hAnsi="仿宋_GB2312" w:eastAsia="仿宋_GB2312" w:cs="仿宋_GB2312"/>
          <w:kern w:val="0"/>
          <w:sz w:val="32"/>
          <w:szCs w:val="32"/>
          <w:lang w:bidi="ar"/>
        </w:rPr>
        <w:t>绿色信贷年均增幅达到9%，绿色信贷占各项贷款比重持续稳步提升</w:t>
      </w:r>
      <w:r>
        <w:rPr>
          <w:rFonts w:hint="eastAsia" w:ascii="仿宋_GB2312" w:hAnsi="仿宋_GB2312" w:eastAsia="仿宋_GB2312" w:cs="仿宋_GB2312"/>
          <w:spacing w:val="15"/>
          <w:sz w:val="32"/>
          <w:szCs w:val="32"/>
        </w:rPr>
        <w:t>；优化绿色信贷投放结构，在巩固生态农业信贷优势基础上，拓展制造业绿色转型、绿色基建、绿色消费等非农林领域信贷投放；持续深耕产品创新，2027年前至少推出1款本土化专属绿色贷款产品；积极对接央行货币政策工具，拓宽绿色融资渠道，优化绿色投融资整体结构。</w:t>
      </w:r>
    </w:p>
    <w:p>
      <w:pPr>
        <w:pStyle w:val="2"/>
        <w:ind w:left="0" w:leftChars="0" w:firstLine="1050" w:firstLineChars="3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定性目标：完善绿色金融数字化服务能力，依托省联社绿金系统、福农综合服务平台，构建智能化绿色客户识别、碳核算、风险预警体系；健全低碳运营管理制度，全方位压降办公能耗，稳步降低自身运营碳排放，逐步探索碳中和运营模式。</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（四）支持绿色低碳循环经济发展、生态环境改善的思路与进展</w:t>
      </w:r>
    </w:p>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本社持续优化信贷资源配置，精准倾斜支持生态农业、绿色加工、资源循环利用。紧扣古田县国家现代农业产业园、农业绿色发展先行区建设规划，聚焦食用菌“光伏菇棚”、新能源烘干等项目；依托“党建+金融助理+多社融合”专属服务模式与网格化普惠金融服务体系，加大生态修复、绿色生产、人居环境整治、裸房改造、美丽乡村建设的信贷扶持力度。同时深度融入县域“五票制”产权改革，盘活林权、茶园、菇棚、土地等生态资产，推动生态优势转化为产业优势、经济优势，全方位助力县域绿色低碳循环经济高质量发展。</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（五）自身运营碳达峰碳中和的思路与进展</w:t>
      </w:r>
    </w:p>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 xml:space="preserve">本社坚持绿色低碳运营理念，将节能降碳、绿色管理融入日常经营全过程。全面推行无纸化办公、资源循环利用，压降办公耗材；持续推进网点及办公场所节能改造，精细化管控水电能耗；常态化开展绿色办公宣传教育，健全内部低碳管理制度与环境信息披露机制，稳步降低机构自身运营碳排放，持续夯实绿色运营基础。     </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（六）环境风险管理体系和机制建设计划</w:t>
      </w:r>
    </w:p>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一是强化数字化风控与外部协同。全面推广应用省联社绿色金融辅助系统，启用绿色智能识别、碳核算、ESG风险预警功能；建立常态化政银联动机制，对接生态环境、农业农村、林业、市场监管等主管部门，共享企业环保信用、产业准入清单等数据，提升环境风险识别精准度。</w:t>
      </w:r>
    </w:p>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二是优化内控问责与激励机制。细化绿色信贷尽职免责实施细则，明确基层客户经理、审批人员操作边界，规范环境风险处置流程；配套差异化考核与FTP内部资金转移定价机制，营造合规审慎、敢贷愿贷的业务发展氛围。</w:t>
      </w:r>
    </w:p>
    <w:p>
      <w:pPr>
        <w:spacing w:line="578" w:lineRule="exact"/>
        <w:ind w:firstLine="640" w:firstLineChars="200"/>
        <w:rPr>
          <w:rFonts w:ascii="黑体" w:hAnsi="黑体" w:eastAsia="黑体"/>
          <w:snapToGrid w:val="0"/>
          <w:kern w:val="0"/>
          <w:sz w:val="32"/>
          <w:szCs w:val="32"/>
        </w:rPr>
      </w:pPr>
      <w:r>
        <w:rPr>
          <w:rFonts w:hint="eastAsia" w:ascii="黑体" w:hAnsi="黑体" w:eastAsia="黑体"/>
          <w:snapToGrid w:val="0"/>
          <w:kern w:val="0"/>
          <w:sz w:val="32"/>
          <w:szCs w:val="32"/>
        </w:rPr>
        <w:t>二、治理结构和治理活动</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（一）治理结构</w:t>
      </w:r>
    </w:p>
    <w:p>
      <w:pPr>
        <w:pStyle w:val="5"/>
        <w:widowControl/>
        <w:spacing w:beforeAutospacing="0" w:afterAutospacing="0" w:line="578" w:lineRule="exact"/>
        <w:ind w:firstLine="640" w:firstLineChars="200"/>
        <w:jc w:val="both"/>
        <w:rPr>
          <w:rFonts w:ascii="仿宋_GB2312" w:hAnsi="仿宋_GB2312" w:eastAsia="仿宋_GB2312" w:cs="仿宋_GB2312"/>
          <w:spacing w:val="15"/>
          <w:sz w:val="32"/>
          <w:szCs w:val="32"/>
        </w:rPr>
      </w:pPr>
      <w:r>
        <w:rPr>
          <w:rFonts w:hint="eastAsia" w:ascii="仿宋_GB2312" w:hAnsi="仿宋_GB2312" w:eastAsia="仿宋_GB2312" w:cs="仿宋_GB2312"/>
          <w:sz w:val="32"/>
          <w:szCs w:val="32"/>
        </w:rPr>
        <w:t>本社建立层级清晰、权责对等、覆盖全面的绿色金融三级治理体系。由理事会承担最高决策职能，审定绿色金融中长期战略与发展目标；高级管理层统筹业务落地，专门成立绿色金融工作领导小组，由理事长担任组长，班子成员担任副组长，各职能部门、网点负责人为成员，全面统筹全社绿色金融业务规划、资源调配、风险防控等工作；领导小组下设专项办公室，挂靠普惠金融部，并设置绿色金融专职岗位，专职负责政策对接、产品落地、业务培训、数据统计、日常运营等工作。各营业网点、职能部门压实主体责任，分解年度绿色金融考核指标，形成“理事会决策、管理层统筹、部门落实、网点执行”的全方位绿色金融治理格局。</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（二）治理活动</w:t>
      </w:r>
    </w:p>
    <w:p>
      <w:pPr>
        <w:spacing w:line="520" w:lineRule="exact"/>
        <w:ind w:firstLine="643" w:firstLineChars="200"/>
        <w:contextualSpacing/>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一是完善组织机制。</w:t>
      </w:r>
      <w:r>
        <w:rPr>
          <w:rFonts w:hint="eastAsia" w:ascii="仿宋_GB2312" w:hAnsi="仿宋" w:eastAsia="仿宋_GB2312" w:cs="仿宋"/>
          <w:color w:val="000000"/>
          <w:kern w:val="0"/>
          <w:sz w:val="32"/>
          <w:szCs w:val="32"/>
        </w:rPr>
        <w:t>结合《福建农信推进绿色金融发展工作方案》（闽农信〔2021〕254号）有关精神及实际情况，</w:t>
      </w:r>
      <w:r>
        <w:rPr>
          <w:rFonts w:hint="eastAsia" w:ascii="仿宋_GB2312" w:hAnsi="仿宋_GB2312" w:eastAsia="仿宋_GB2312" w:cs="仿宋_GB2312"/>
          <w:sz w:val="32"/>
          <w:szCs w:val="32"/>
        </w:rPr>
        <w:t>制定</w:t>
      </w:r>
      <w:bookmarkStart w:id="1" w:name="title"/>
      <w:r>
        <w:rPr>
          <w:rFonts w:hint="eastAsia" w:ascii="仿宋_GB2312" w:hAnsi="仿宋_GB2312" w:eastAsia="仿宋_GB2312" w:cs="仿宋_GB2312"/>
          <w:sz w:val="32"/>
          <w:szCs w:val="32"/>
        </w:rPr>
        <w:t>《古田县农村信用合作联社关于印发推进绿色金融发展工作方案</w:t>
      </w:r>
      <w:bookmarkEnd w:id="1"/>
      <w:r>
        <w:rPr>
          <w:rFonts w:hint="eastAsia" w:ascii="仿宋_GB2312" w:hAnsi="仿宋_GB2312" w:eastAsia="仿宋_GB2312" w:cs="仿宋_GB2312"/>
          <w:sz w:val="32"/>
          <w:szCs w:val="32"/>
        </w:rPr>
        <w:t>》、《古田县农村信用合作联社绿色信贷业务实施管理细则》、</w:t>
      </w:r>
      <w:r>
        <w:rPr>
          <w:rFonts w:ascii="仿宋_GB2312" w:hAnsi="仿宋_GB2312" w:eastAsia="仿宋_GB2312" w:cs="仿宋_GB2312"/>
          <w:sz w:val="32"/>
          <w:szCs w:val="32"/>
        </w:rPr>
        <w:t>《古田县农村信用合作联社推进绿色金融高质量发展行动方案（2025-2027年）的通知》，</w:t>
      </w:r>
      <w:r>
        <w:rPr>
          <w:rFonts w:hint="eastAsia" w:ascii="仿宋_GB2312" w:hAnsi="仿宋_GB2312" w:eastAsia="仿宋_GB2312" w:cs="仿宋_GB2312"/>
          <w:sz w:val="32"/>
          <w:szCs w:val="32"/>
        </w:rPr>
        <w:t>成立绿色金融工作领导小组，绿色金融工作领导小组下设办公室，挂靠普惠金融部，负责指导、推动、实施全县农信绿色金融工作，建立起县联社统筹、网点抓落实的绿色金融工作机制。</w:t>
      </w:r>
    </w:p>
    <w:p>
      <w:pPr>
        <w:spacing w:line="520" w:lineRule="exact"/>
        <w:contextualSpacing/>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    二是</w:t>
      </w:r>
      <w:r>
        <w:rPr>
          <w:rFonts w:hint="eastAsia" w:ascii="仿宋_GB2312" w:hAnsi="仿宋_GB2312" w:eastAsia="仿宋_GB2312" w:cs="仿宋_GB2312"/>
          <w:b/>
          <w:bCs/>
          <w:sz w:val="32"/>
          <w:szCs w:val="32"/>
        </w:rPr>
        <w:t>绩效考核体系。</w:t>
      </w:r>
      <w:r>
        <w:rPr>
          <w:rFonts w:hint="eastAsia" w:ascii="仿宋_GB2312" w:hAnsi="仿宋_GB2312" w:eastAsia="仿宋_GB2312" w:cs="仿宋_GB2312"/>
          <w:sz w:val="32"/>
          <w:szCs w:val="32"/>
        </w:rPr>
        <w:t>将绿色金融纳入网点经营绩效考核中，重点考核绿色金融相关指标。通过绩效考核提高绿色金融贷款发放积极性。通过修订绩效管理办法《古田县农村信用合作联社关于印发2025年度经营管理绩效考核办法（修订）》将绿色信贷纳入网点绩效考核（分值占比</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%），推动绿色信贷的投放工作。</w:t>
      </w:r>
    </w:p>
    <w:p>
      <w:pPr>
        <w:spacing w:line="578" w:lineRule="exact"/>
        <w:ind w:firstLine="640" w:firstLineChars="200"/>
        <w:rPr>
          <w:rFonts w:ascii="黑体" w:hAnsi="黑体" w:eastAsia="黑体"/>
          <w:snapToGrid w:val="0"/>
          <w:kern w:val="0"/>
          <w:sz w:val="32"/>
          <w:szCs w:val="32"/>
        </w:rPr>
      </w:pPr>
      <w:r>
        <w:rPr>
          <w:rFonts w:hint="eastAsia" w:ascii="黑体" w:hAnsi="黑体" w:eastAsia="黑体"/>
          <w:snapToGrid w:val="0"/>
          <w:kern w:val="0"/>
          <w:sz w:val="32"/>
          <w:szCs w:val="32"/>
        </w:rPr>
        <w:t>三、政策制度</w:t>
      </w:r>
    </w:p>
    <w:p>
      <w:pPr>
        <w:spacing w:line="578"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（一）绿色金融、环境风险管理、自身运营碳排放管理的政策制度情况</w:t>
      </w:r>
    </w:p>
    <w:tbl>
      <w:tblPr>
        <w:tblStyle w:val="7"/>
        <w:tblpPr w:leftFromText="180" w:rightFromText="180" w:vertAnchor="text" w:horzAnchor="page" w:tblpX="1350" w:tblpY="553"/>
        <w:tblOverlap w:val="never"/>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3633"/>
        <w:gridCol w:w="2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widowControl/>
              <w:spacing w:line="578" w:lineRule="exact"/>
              <w:jc w:val="center"/>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文件名称</w:t>
            </w:r>
          </w:p>
        </w:tc>
        <w:tc>
          <w:tcPr>
            <w:tcW w:w="3633" w:type="dxa"/>
          </w:tcPr>
          <w:p>
            <w:pPr>
              <w:widowControl/>
              <w:spacing w:line="578" w:lineRule="exact"/>
              <w:jc w:val="center"/>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文件主要内容</w:t>
            </w:r>
          </w:p>
        </w:tc>
        <w:tc>
          <w:tcPr>
            <w:tcW w:w="2465" w:type="dxa"/>
          </w:tcPr>
          <w:p>
            <w:pPr>
              <w:widowControl/>
              <w:spacing w:line="578" w:lineRule="exact"/>
              <w:jc w:val="center"/>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发文字号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tcPr>
          <w:p>
            <w:pPr>
              <w:widowControl/>
              <w:spacing w:line="578" w:lineRule="exact"/>
              <w:jc w:val="left"/>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《古田县农村信用合作联社推进绿色金融高质量发展行动方案（2025-2027年）》</w:t>
            </w:r>
          </w:p>
        </w:tc>
        <w:tc>
          <w:tcPr>
            <w:tcW w:w="3633" w:type="dxa"/>
          </w:tcPr>
          <w:p>
            <w:pPr>
              <w:widowControl/>
              <w:spacing w:line="578" w:lineRule="exact"/>
              <w:jc w:val="left"/>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明确2025-2027年绿色金融指导思想、总体发展目标、五大重点工作任务、风险防控体系、组织保障及分阶段推进计划，覆盖绿色信贷、产品创新、低碳运营、政银联动、人才建设等全部可持续发展相关工作</w:t>
            </w:r>
          </w:p>
        </w:tc>
        <w:tc>
          <w:tcPr>
            <w:tcW w:w="2465" w:type="dxa"/>
          </w:tcPr>
          <w:p>
            <w:pPr>
              <w:widowControl/>
              <w:spacing w:line="578" w:lineRule="exact"/>
              <w:jc w:val="left"/>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古农信〔2026〕</w:t>
            </w:r>
            <w:r>
              <w:rPr>
                <w:rFonts w:ascii="仿宋_GB2312" w:hAnsi="仿宋_GB2312" w:eastAsia="仿宋_GB2312" w:cs="仿宋_GB2312"/>
                <w:spacing w:val="15"/>
                <w:sz w:val="32"/>
                <w:szCs w:val="32"/>
              </w:rPr>
              <w:t>28</w:t>
            </w:r>
            <w:r>
              <w:rPr>
                <w:rFonts w:hint="eastAsia" w:ascii="仿宋_GB2312" w:hAnsi="仿宋_GB2312" w:eastAsia="仿宋_GB2312" w:cs="仿宋_GB2312"/>
                <w:spacing w:val="15"/>
                <w:sz w:val="32"/>
                <w:szCs w:val="32"/>
              </w:rPr>
              <w:t>号</w:t>
            </w:r>
          </w:p>
        </w:tc>
      </w:tr>
    </w:tbl>
    <w:p>
      <w:pPr>
        <w:spacing w:line="600"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（二）绿色贷款差异化执行政策</w:t>
      </w:r>
    </w:p>
    <w:p>
      <w:pPr>
        <w:overflowPunct w:val="0"/>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1.实施分层利率优惠。针对食用菌绿色生产、有机果蔬、绿色红曲加工等绿色经营主体执行差异化利率；对获得有机认证、绿色食品认证的经营主体给予专项降息政策；对制造业绿色技改、设备更新项目投放“技改贷”专项产品；对省级及以上农业产业化绿色龙头企业，给予优惠利率，切实降低绿色主体融资成本。</w:t>
      </w:r>
    </w:p>
    <w:p>
      <w:pPr>
        <w:overflowPunct w:val="0"/>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落实绿色信贷尽职免责。细化完善绿色信贷专属尽职免责细则，明确授信调查、审查审批、贷后管理各岗位免责边界，对于合规开展业务、无主观过错、严格执行风控要求的从业人员，免除相关追责，破解基层从业人员后顾之忧。</w:t>
      </w:r>
    </w:p>
    <w:p>
      <w:pPr>
        <w:overflowPunct w:val="0"/>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3.强化考核资源倾斜。将绿色信贷增量、投放进度纳入网点负责人、客户经理月度及年度绩效考核；配套专项信贷额度，优先保障绿色项目资金投放需求。</w:t>
      </w:r>
    </w:p>
    <w:p>
      <w:pPr>
        <w:overflowPunct w:val="0"/>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4.全流程强化环境风控。依托省联社绿色金融辅助系统完成客户ESG风险评级与分类管理，将评级结果引入信贷流程；严守环保准入底线，严控“两高一剩”行业新增授信，有序压降高碳低效存量资产，引导信贷资源向绿色农业、绿色制造、生态基建等领域集中。</w:t>
      </w:r>
    </w:p>
    <w:p>
      <w:pPr>
        <w:spacing w:line="600"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（三）气候与环境国际公约、框架及倡议遵守情况</w:t>
      </w:r>
    </w:p>
    <w:p>
      <w:pPr>
        <w:overflowPunct w:val="0"/>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本社积极响应国家“双碳”战略，践行绿色低碳发展理念，将气候与环境因素全面融入信贷业务管理。</w:t>
      </w:r>
    </w:p>
    <w:p>
      <w:pPr>
        <w:spacing w:line="600" w:lineRule="exact"/>
        <w:ind w:firstLine="640" w:firstLineChars="200"/>
        <w:jc w:val="left"/>
        <w:rPr>
          <w:rFonts w:ascii="黑体" w:hAnsi="黑体" w:eastAsia="黑体"/>
          <w:snapToGrid w:val="0"/>
          <w:kern w:val="0"/>
          <w:sz w:val="32"/>
          <w:szCs w:val="32"/>
        </w:rPr>
      </w:pPr>
      <w:r>
        <w:rPr>
          <w:rFonts w:hint="eastAsia" w:ascii="黑体" w:hAnsi="黑体" w:eastAsia="黑体"/>
          <w:snapToGrid w:val="0"/>
          <w:kern w:val="0"/>
          <w:sz w:val="32"/>
          <w:szCs w:val="32"/>
        </w:rPr>
        <w:t>四、可持续相关风险和机遇</w:t>
      </w:r>
    </w:p>
    <w:p>
      <w:pPr>
        <w:spacing w:line="600"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（一）风险机遇研判管控措施</w:t>
      </w:r>
    </w:p>
    <w:p>
      <w:pPr>
        <w:pStyle w:val="2"/>
        <w:spacing w:line="600" w:lineRule="exact"/>
        <w:ind w:left="0" w:leftChars="0" w:firstLine="70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5"/>
          <w:sz w:val="32"/>
          <w:szCs w:val="32"/>
        </w:rPr>
        <w:t>本社结合古田县以食用菌、水果、红曲为主的产业结构，全面研判县域绿色产业发展中的物理风险、转型风险与发展机遇，建立适配县域特色的授信准入、动态管控、存量退出机制。现阶段我社暂未开展系统性气候情景模拟及气候风险专项压力测试，后续将依托省联社系统平台，逐步推进相关风控工具落地应用。</w:t>
      </w:r>
    </w:p>
    <w:p>
      <w:pPr>
        <w:spacing w:line="600"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（二）可持续风险与机遇具体分析</w:t>
      </w:r>
    </w:p>
    <w:p>
      <w:pPr>
        <w:overflowPunct w:val="0"/>
        <w:spacing w:line="60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1.短期层面</w:t>
      </w:r>
    </w:p>
    <w:p>
      <w:pPr>
        <w:pBdr>
          <w:bottom w:val="single" w:color="FFFFFF" w:sz="4" w:space="31"/>
        </w:pBdr>
        <w:autoSpaceDN w:val="0"/>
        <w:adjustRightInd w:val="0"/>
        <w:snapToGrid w:val="0"/>
        <w:spacing w:line="560"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发展风险：</w:t>
      </w:r>
      <w:r>
        <w:rPr>
          <w:rFonts w:hint="eastAsia" w:ascii="仿宋_GB2312" w:hAnsi="仿宋_GB2312" w:eastAsia="仿宋_GB2312" w:cs="仿宋_GB2312"/>
          <w:color w:val="000000" w:themeColor="text1"/>
          <w:spacing w:val="15"/>
          <w:sz w:val="32"/>
          <w:szCs w:val="32"/>
          <w14:textFill>
            <w14:solidFill>
              <w14:schemeClr w14:val="tx1"/>
            </w14:solidFill>
          </w14:textFill>
        </w:rPr>
        <w:t>古田县地处闽东沿海区域，台风、强降雨、洪涝等极端天气频发，</w:t>
      </w:r>
      <w:r>
        <w:rPr>
          <w:rFonts w:hint="eastAsia" w:ascii="仿宋_GB2312" w:hAnsi="仿宋_GB2312" w:eastAsia="仿宋_GB2312" w:cs="仿宋_GB2312"/>
          <w:spacing w:val="15"/>
          <w:sz w:val="32"/>
          <w:szCs w:val="32"/>
        </w:rPr>
        <w:t>极易造成食用菌菇棚、茶园、竹林等涉农资产损毁，加剧涉农信贷抵质押资产减值风险；同时国内环保监管体系持续收紧，传统粗放型加工、种养产业经营成本上升，部分中小主体转型压力较大，我联社信贷结构优化调整存在阶段性阻力。</w:t>
      </w:r>
    </w:p>
    <w:p>
      <w:pPr>
        <w:pBdr>
          <w:bottom w:val="single" w:color="FFFFFF" w:sz="4" w:space="31"/>
        </w:pBdr>
        <w:autoSpaceDN w:val="0"/>
        <w:adjustRightInd w:val="0"/>
        <w:snapToGrid w:val="0"/>
        <w:spacing w:line="560" w:lineRule="exact"/>
        <w:ind w:firstLine="700" w:firstLineChars="200"/>
        <w:rPr>
          <w:rFonts w:ascii="仿宋_GB2312" w:hAnsi="仿宋_GB2312" w:eastAsia="仿宋_GB2312" w:cs="仿宋_GB2312"/>
          <w:snapToGrid w:val="0"/>
          <w:kern w:val="0"/>
          <w:sz w:val="32"/>
          <w:szCs w:val="32"/>
        </w:rPr>
      </w:pPr>
      <w:r>
        <w:rPr>
          <w:rFonts w:hint="eastAsia" w:ascii="仿宋_GB2312" w:hAnsi="仿宋_GB2312" w:eastAsia="仿宋_GB2312" w:cs="仿宋_GB2312"/>
          <w:spacing w:val="15"/>
          <w:sz w:val="32"/>
          <w:szCs w:val="32"/>
        </w:rPr>
        <w:t>因古田被誉为食用菌之都，2</w:t>
      </w:r>
      <w:r>
        <w:rPr>
          <w:rFonts w:ascii="仿宋_GB2312" w:hAnsi="仿宋_GB2312" w:eastAsia="仿宋_GB2312" w:cs="仿宋_GB2312"/>
          <w:spacing w:val="15"/>
          <w:sz w:val="32"/>
          <w:szCs w:val="32"/>
        </w:rPr>
        <w:t>026</w:t>
      </w:r>
      <w:r>
        <w:rPr>
          <w:rFonts w:hint="eastAsia" w:ascii="仿宋_GB2312" w:hAnsi="仿宋_GB2312" w:eastAsia="仿宋_GB2312" w:cs="仿宋_GB2312"/>
          <w:spacing w:val="15"/>
          <w:sz w:val="32"/>
          <w:szCs w:val="32"/>
        </w:rPr>
        <w:t>年一季度食用菌上下游全产业链贷款余额占比4</w:t>
      </w:r>
      <w:r>
        <w:rPr>
          <w:rFonts w:ascii="仿宋_GB2312" w:hAnsi="仿宋_GB2312" w:eastAsia="仿宋_GB2312" w:cs="仿宋_GB2312"/>
          <w:spacing w:val="15"/>
          <w:sz w:val="32"/>
          <w:szCs w:val="32"/>
        </w:rPr>
        <w:t>2.09</w:t>
      </w:r>
      <w:r>
        <w:rPr>
          <w:rFonts w:hint="eastAsia" w:ascii="仿宋_GB2312" w:hAnsi="仿宋_GB2312" w:eastAsia="仿宋_GB2312" w:cs="仿宋_GB2312"/>
          <w:spacing w:val="15"/>
          <w:sz w:val="32"/>
          <w:szCs w:val="32"/>
        </w:rPr>
        <w:t>％，故拿食用菌产业为例进行了短期风险分析：</w:t>
      </w:r>
      <w:r>
        <w:rPr>
          <w:rFonts w:hint="eastAsia" w:ascii="仿宋_GB2312" w:hAnsi="仿宋_GB2312" w:eastAsia="仿宋_GB2312" w:cs="仿宋_GB2312"/>
          <w:snapToGrid w:val="0"/>
          <w:kern w:val="0"/>
          <w:sz w:val="32"/>
          <w:szCs w:val="32"/>
        </w:rPr>
        <w:t>一是产业结构风险：结构性过剩与附加值洼地并存。散户主导，质量不稳：70%以上为小农户，标准化程度低。2026年大宗品种（香菇、平菇）因品质参差，优质优价、劣品滞销现象突出，次品价比均价低30%-50%。此外精深加工严重不足（仅5%），价值效益不显。二是市场与成本风险：双向挤压，中小主体生存艰难</w:t>
      </w:r>
      <w:r>
        <w:rPr>
          <w:rFonts w:hint="eastAsia" w:ascii="仿宋" w:hAnsi="仿宋" w:eastAsia="仿宋" w:cs="仿宋"/>
          <w:kern w:val="0"/>
          <w:sz w:val="32"/>
          <w:szCs w:val="32"/>
        </w:rPr>
        <w:t>，</w:t>
      </w:r>
      <w:r>
        <w:rPr>
          <w:rFonts w:hint="eastAsia" w:ascii="仿宋_GB2312" w:hAnsi="仿宋_GB2312" w:eastAsia="仿宋_GB2312" w:cs="仿宋_GB2312"/>
          <w:snapToGrid w:val="0"/>
          <w:kern w:val="0"/>
          <w:sz w:val="32"/>
          <w:szCs w:val="32"/>
        </w:rPr>
        <w:t>全国围堵。古田份额承压：江苏、安徽、河南等新兴产区低价冲击。古田银耳虽占全国90%，但利润被外地低价货蚕食。三是技术与人才风险：老、弱、缺，转型瓶颈。从业者老龄化：主力50岁以上，智能设备、电商运营能力弱。种业短板方面受限于优质菌种研发慢、保护弱、易退化。品牌、精深加工、跨境电商、质量管控人才缺口大。少数龙头智能化，多数散户传统粗放，单产差30%-50% 。四是外部环境风险：多重约束，转型迫在眉睫。消费主客群为中老年、餐饮；年轻群体渗透率低。2026年餐饮复苏不及预期，需求疲软。环保上木屑限采、菌渣处理要求提高，进一步对生产加工加大要求。五是气候变化的深层冲击风险。温度异常致生长周期紊乱，高温高湿使香菇合格率下降，暖湿环境促霉菌以及虫害。</w:t>
      </w:r>
    </w:p>
    <w:p>
      <w:pPr>
        <w:pBdr>
          <w:bottom w:val="single" w:color="FFFFFF" w:sz="4" w:space="31"/>
        </w:pBdr>
        <w:autoSpaceDN w:val="0"/>
        <w:adjustRightInd w:val="0"/>
        <w:snapToGrid w:val="0"/>
        <w:spacing w:line="560" w:lineRule="exact"/>
        <w:ind w:firstLine="640" w:firstLineChars="200"/>
        <w:rPr>
          <w:rFonts w:ascii="仿宋" w:hAnsi="仿宋" w:eastAsia="仿宋" w:cs="仿宋"/>
          <w:sz w:val="32"/>
          <w:szCs w:val="32"/>
        </w:rPr>
      </w:pPr>
      <w:r>
        <w:rPr>
          <w:rFonts w:hint="eastAsia" w:ascii="仿宋_GB2312" w:hAnsi="仿宋_GB2312" w:eastAsia="仿宋_GB2312" w:cs="仿宋_GB2312"/>
          <w:snapToGrid w:val="0"/>
          <w:kern w:val="0"/>
          <w:sz w:val="32"/>
          <w:szCs w:val="32"/>
        </w:rPr>
        <w:t>目前防控风险措施：</w:t>
      </w:r>
      <w:r>
        <w:rPr>
          <w:rFonts w:hint="eastAsia" w:ascii="仿宋" w:hAnsi="仿宋" w:eastAsia="仿宋" w:cs="仿宋"/>
          <w:sz w:val="32"/>
          <w:szCs w:val="32"/>
        </w:rPr>
        <w:t>一是</w:t>
      </w:r>
      <w:r>
        <w:rPr>
          <w:rFonts w:ascii="仿宋" w:hAnsi="仿宋" w:eastAsia="仿宋" w:cs="仿宋"/>
          <w:sz w:val="32"/>
          <w:szCs w:val="32"/>
        </w:rPr>
        <w:t>严把贷前准入关口，严控新增信贷风险</w:t>
      </w:r>
      <w:r>
        <w:rPr>
          <w:rFonts w:hint="eastAsia" w:ascii="仿宋" w:hAnsi="仿宋" w:eastAsia="仿宋" w:cs="仿宋"/>
          <w:sz w:val="32"/>
          <w:szCs w:val="32"/>
        </w:rPr>
        <w:t>。</w:t>
      </w:r>
      <w:r>
        <w:rPr>
          <w:rFonts w:ascii="仿宋" w:hAnsi="仿宋" w:eastAsia="仿宋" w:cs="仿宋"/>
          <w:sz w:val="32"/>
          <w:szCs w:val="32"/>
        </w:rPr>
        <w:t>优先支持工厂化、规模化种植、规范化运营、拥有稳定销售订单、具备深加工能力、已投保农业保险的优质合作社、农业企业及诚信种植大户；审慎介入新手种植户、盲目扩产、高负债经营、信用存在瑕疵的散户；严禁介入失信被执行、涉诉纠纷、恶意欠息、无生产技术、无销售渠道的客户。严格按照客户生产经营规模、现金流状况、实际资金需求核定贷款额度，合理匹配贷款期限与食用菌生产周期。</w:t>
      </w:r>
    </w:p>
    <w:p>
      <w:pPr>
        <w:pBdr>
          <w:bottom w:val="single" w:color="FFFFFF" w:sz="4" w:space="31"/>
        </w:pBdr>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二是</w:t>
      </w:r>
      <w:r>
        <w:rPr>
          <w:rFonts w:ascii="仿宋" w:hAnsi="仿宋" w:eastAsia="仿宋" w:cs="仿宋"/>
          <w:sz w:val="32"/>
          <w:szCs w:val="32"/>
        </w:rPr>
        <w:t>强化贷中动态监测，及时预警化解风险</w:t>
      </w:r>
      <w:r>
        <w:rPr>
          <w:rFonts w:hint="eastAsia" w:ascii="仿宋" w:hAnsi="仿宋" w:eastAsia="仿宋" w:cs="仿宋"/>
          <w:sz w:val="32"/>
          <w:szCs w:val="32"/>
        </w:rPr>
        <w:t>。</w:t>
      </w:r>
      <w:r>
        <w:rPr>
          <w:rFonts w:ascii="仿宋" w:hAnsi="仿宋" w:eastAsia="仿宋" w:cs="仿宋"/>
          <w:sz w:val="32"/>
          <w:szCs w:val="32"/>
        </w:rPr>
        <w:t>建立高频次实地走访机制，客户经理</w:t>
      </w:r>
      <w:r>
        <w:rPr>
          <w:rFonts w:hint="eastAsia" w:ascii="仿宋" w:hAnsi="仿宋" w:eastAsia="仿宋" w:cs="仿宋"/>
          <w:sz w:val="32"/>
          <w:szCs w:val="32"/>
        </w:rPr>
        <w:t>定期</w:t>
      </w:r>
      <w:r>
        <w:rPr>
          <w:rFonts w:ascii="仿宋" w:hAnsi="仿宋" w:eastAsia="仿宋" w:cs="仿宋"/>
          <w:sz w:val="32"/>
          <w:szCs w:val="32"/>
        </w:rPr>
        <w:t>对食用菌贷款客户开展走访排查，重点核查客户生产状况、菌棒长势、病虫害防治、灾害损失、产品库存、销售回款及资金使用情况，实时掌握行业价格、成本、天气等外部风险因素。严格落实贷款资金受托支付管理，全程监管资金用途，严防贷款资金挪用、转借、用于非生产性支出。</w:t>
      </w:r>
      <w:r>
        <w:rPr>
          <w:rFonts w:hint="eastAsia" w:ascii="仿宋" w:hAnsi="仿宋" w:eastAsia="仿宋" w:cs="仿宋"/>
          <w:sz w:val="32"/>
          <w:szCs w:val="32"/>
        </w:rPr>
        <w:t>三是</w:t>
      </w:r>
      <w:r>
        <w:rPr>
          <w:rFonts w:ascii="仿宋" w:hAnsi="仿宋" w:eastAsia="仿宋" w:cs="仿宋"/>
          <w:sz w:val="32"/>
          <w:szCs w:val="32"/>
        </w:rPr>
        <w:t>细化贷后分类处置，压降逾期不良贷款</w:t>
      </w:r>
      <w:r>
        <w:rPr>
          <w:rFonts w:hint="eastAsia" w:ascii="仿宋" w:hAnsi="仿宋" w:eastAsia="仿宋" w:cs="仿宋"/>
          <w:sz w:val="32"/>
          <w:szCs w:val="32"/>
        </w:rPr>
        <w:t>。</w:t>
      </w:r>
      <w:r>
        <w:rPr>
          <w:rFonts w:ascii="仿宋" w:hAnsi="仿宋" w:eastAsia="仿宋" w:cs="仿宋"/>
          <w:sz w:val="32"/>
          <w:szCs w:val="32"/>
        </w:rPr>
        <w:t>针对不同风险等级客户实行一户一策、分类处置。对生产经营正常、还款意愿良好的正常类客户，持续支持其产业升级、品种改良；对受市场、天气影响暂时出现经营困难，但具备还款能力的客户，合理采取展期、</w:t>
      </w:r>
      <w:r>
        <w:rPr>
          <w:rFonts w:hint="eastAsia" w:ascii="仿宋" w:hAnsi="仿宋" w:eastAsia="仿宋" w:cs="仿宋"/>
          <w:sz w:val="32"/>
          <w:szCs w:val="32"/>
        </w:rPr>
        <w:t>无还本</w:t>
      </w:r>
      <w:r>
        <w:rPr>
          <w:rFonts w:ascii="仿宋" w:hAnsi="仿宋" w:eastAsia="仿宋" w:cs="仿宋"/>
          <w:sz w:val="32"/>
          <w:szCs w:val="32"/>
        </w:rPr>
        <w:t>续贷、调整还款计划、</w:t>
      </w:r>
      <w:r>
        <w:rPr>
          <w:rFonts w:hint="eastAsia" w:ascii="仿宋" w:hAnsi="仿宋" w:eastAsia="仿宋" w:cs="仿宋"/>
          <w:sz w:val="32"/>
          <w:szCs w:val="32"/>
        </w:rPr>
        <w:t>主动让利</w:t>
      </w:r>
      <w:r>
        <w:rPr>
          <w:rFonts w:ascii="仿宋" w:hAnsi="仿宋" w:eastAsia="仿宋" w:cs="仿宋"/>
          <w:sz w:val="32"/>
          <w:szCs w:val="32"/>
        </w:rPr>
        <w:t>等帮扶措施，助力客户渡过难关；对经营严重亏损、无发展前景、恶意拖欠贷款的客户，果断采取停止新增授信、逐步压降额度、依法催收、诉讼处置，最大限度挽回信贷损失。</w:t>
      </w:r>
      <w:r>
        <w:rPr>
          <w:rFonts w:hint="eastAsia" w:ascii="仿宋" w:hAnsi="仿宋" w:eastAsia="仿宋" w:cs="仿宋"/>
          <w:sz w:val="32"/>
          <w:szCs w:val="32"/>
        </w:rPr>
        <w:t xml:space="preserve"> 四是</w:t>
      </w:r>
      <w:r>
        <w:rPr>
          <w:rFonts w:ascii="仿宋" w:hAnsi="仿宋" w:eastAsia="仿宋" w:cs="仿宋"/>
          <w:sz w:val="32"/>
          <w:szCs w:val="32"/>
        </w:rPr>
        <w:t>压实内部管理责任，夯实风险防控基础</w:t>
      </w:r>
      <w:r>
        <w:rPr>
          <w:rFonts w:hint="eastAsia" w:ascii="仿宋" w:hAnsi="仿宋" w:eastAsia="仿宋" w:cs="仿宋"/>
          <w:sz w:val="32"/>
          <w:szCs w:val="32"/>
        </w:rPr>
        <w:t>。</w:t>
      </w:r>
      <w:r>
        <w:rPr>
          <w:rFonts w:ascii="仿宋" w:hAnsi="仿宋" w:eastAsia="仿宋" w:cs="仿宋"/>
          <w:sz w:val="32"/>
          <w:szCs w:val="32"/>
        </w:rPr>
        <w:t>明确信贷风险防控责任，将食用菌贷款风险管控责任压实到具体客户经理，实行包片、包户、全流程管理，严格落实尽职免责、失职追责机制。建立行业动态研判机制，每</w:t>
      </w:r>
      <w:r>
        <w:rPr>
          <w:rFonts w:hint="eastAsia" w:ascii="仿宋" w:hAnsi="仿宋" w:eastAsia="仿宋" w:cs="仿宋"/>
          <w:sz w:val="32"/>
          <w:szCs w:val="32"/>
        </w:rPr>
        <w:t>月</w:t>
      </w:r>
      <w:r>
        <w:rPr>
          <w:rFonts w:ascii="仿宋" w:hAnsi="仿宋" w:eastAsia="仿宋" w:cs="仿宋"/>
          <w:sz w:val="32"/>
          <w:szCs w:val="32"/>
        </w:rPr>
        <w:t>跟踪本地食用菌市场价格、产量、灾害、扶持政策等信息，定期召开风险研判例会，及时调整风险防控策略。加强客户经理专业培训，提升其食用菌行业知识、风险识别、贷后管理及不良清收能力，全面提升风险防控水平。</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发展机遇：县域食用菌绿色改造、新能源烘干、林下经济、生态民宿、充电桩基建等绿色产业高速发展，绿色生产、绿色技改、生态消费类融资需求持续释放，为我联社绿色信贷业务扩容、客户结构优化提供广阔市场空间。</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2.中期层面</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发展风险：行业环保标准持续升级，市场主体绿色技改资金缺口扩大，部分高碳存量客户面临淘汰风险；极端气候灾害易引发局部涉农资产质量波动；县域多家金融机构同步布局绿色金融赛道，行业同业竞争日趋激烈。</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发展机遇：县域绿色产业园区、生态种养项目、城乡环境治理基建项目加速落地，依托“五票制”产权改革，生态产品价值实现渠道持续拓宽；食用菌、红曲全产业链金融场景不断丰富，为我社绿色供应链金融、生态要素质押类产品创新提供良好基础。</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3.长期层面</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随着国家“双碳”战略深化落地、农村生产要素市场化改革持续推进，生态价值转化机制日趋完善，绿色金融已成为县域银行业转型发展的主流方向。依托古田县特色农业产业优势，绿色普惠金融业务将成为我联社差异化竞争的核心抓手，为机构长期业务升级、资产规模增长、经营模式创新提供稳定政策与市场支撑。</w:t>
      </w:r>
    </w:p>
    <w:p>
      <w:pPr>
        <w:pBdr>
          <w:bottom w:val="single" w:color="FFFFFF" w:sz="4" w:space="31"/>
        </w:pBdr>
        <w:autoSpaceDN w:val="0"/>
        <w:adjustRightInd w:val="0"/>
        <w:snapToGrid w:val="0"/>
        <w:spacing w:line="560" w:lineRule="exact"/>
        <w:ind w:firstLine="643" w:firstLineChars="200"/>
        <w:rPr>
          <w:rFonts w:ascii="仿宋" w:hAnsi="仿宋" w:eastAsia="仿宋" w:cs="仿宋"/>
          <w:kern w:val="0"/>
          <w:sz w:val="32"/>
          <w:szCs w:val="32"/>
        </w:rPr>
      </w:pPr>
      <w:r>
        <w:rPr>
          <w:rFonts w:hint="eastAsia" w:ascii="楷体_GB2312" w:hAnsi="楷体_GB2312" w:eastAsia="楷体_GB2312" w:cs="楷体_GB2312"/>
          <w:b/>
          <w:bCs/>
          <w:color w:val="000000" w:themeColor="text1"/>
          <w:sz w:val="32"/>
          <w:szCs w:val="32"/>
          <w14:textFill>
            <w14:solidFill>
              <w14:schemeClr w14:val="tx1"/>
            </w14:solidFill>
          </w14:textFill>
        </w:rPr>
        <w:t>（三）可持续风险机遇对经营财务的影响</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1.对资产负债、财务业绩及现金流的影响。</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本社绿色信贷资产规模稳步扩容，有效优化全社整体信贷资产结构；绿色信贷产品执行优惠贷款利率，短期内会小幅收窄银行利差，但依托绿色贷款规模持续扩大、资产质量优良、不良率低的核心优势，全社整体经营收益实现平稳增长。</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2.长中短期财务业绩发展预期。</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将绿色金融作为核心可持续机遇，深度融入地方生态农业与食用菌特色产业，通过加大绿色信贷投放、创新“福菇数经贷”等产品、优化环境信息披露，构建绿色金融与经营财务良性联动机制  。</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短期，依托绿色贷款优惠利率扩大普惠覆盖，带动利息收入稳步增长，同时以数字化审批降低运营成本、改善资产质量，实现“规模扩容、结构优化”的财务正向效应 。</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中期，随着绿色产业链延伸与“生态+金融”模式深化，绿色信贷、碳汇质押等业务协同发力，中间业务收入占比提升，风险成本下行，推动净息差与盈利稳定性持续增强 。</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长期，绿色转型将重塑经营模式与品牌价值，深度融入地方绿色经济生态圈，形成“绿色资产增值、客户粘性提升、长期价值创造”的良性循环，为联社可持续经营与财务业绩稳健增长筑牢根基。</w:t>
      </w:r>
    </w:p>
    <w:p>
      <w:pPr>
        <w:pBdr>
          <w:bottom w:val="single" w:color="FFFFFF" w:sz="4" w:space="31"/>
        </w:pBdr>
        <w:autoSpaceDN w:val="0"/>
        <w:adjustRightInd w:val="0"/>
        <w:snapToGrid w:val="0"/>
        <w:spacing w:line="560" w:lineRule="exact"/>
        <w:ind w:firstLine="643" w:firstLineChars="200"/>
        <w:rPr>
          <w:rFonts w:ascii="仿宋" w:hAnsi="仿宋" w:eastAsia="仿宋" w:cs="仿宋"/>
          <w:kern w:val="0"/>
          <w:sz w:val="32"/>
          <w:szCs w:val="32"/>
        </w:rPr>
      </w:pPr>
      <w:r>
        <w:rPr>
          <w:rFonts w:hint="eastAsia" w:ascii="楷体_GB2312" w:hAnsi="楷体_GB2312" w:eastAsia="楷体_GB2312" w:cs="楷体_GB2312"/>
          <w:b/>
          <w:bCs/>
          <w:sz w:val="32"/>
          <w:szCs w:val="32"/>
        </w:rPr>
        <w:t>（四）气候变化风险防控管理</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1.气候风险战略应对韧性</w:t>
      </w:r>
    </w:p>
    <w:p>
      <w:pPr>
        <w:pBdr>
          <w:bottom w:val="single" w:color="FFFFFF" w:sz="4" w:space="31"/>
        </w:pBdr>
        <w:autoSpaceDN w:val="0"/>
        <w:adjustRightInd w:val="0"/>
        <w:snapToGrid w:val="0"/>
        <w:spacing w:line="560"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转型风险应对韧性。牢牢锚定绿色金融发展战略，主动优化信贷投放结构，严控高碳行业信贷准入，提前防范、有效化解产业绿色转型带来的金融风险。</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物理风险应对韧性。本社立足东南沿海县域，针对台风、暴雨、洪涝等沿海常见极端天气，重点防范农林产业受损、抵押物减值等风险；依托生态产业金融支持，助力区域生态修复与防灾能力提升；同时已制定完善业务连续性应急预案，保障极端天气下金融服务不间断。</w:t>
      </w:r>
    </w:p>
    <w:p>
      <w:pPr>
        <w:pBdr>
          <w:bottom w:val="single" w:color="FFFFFF" w:sz="4" w:space="31"/>
        </w:pBdr>
        <w:autoSpaceDN w:val="0"/>
        <w:adjustRightInd w:val="0"/>
        <w:snapToGrid w:val="0"/>
        <w:spacing w:line="560"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2.气候风险突发事件应急与披露机制</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本社已建立气候风险突发事件应急机制，对极端天气引发的经营异常、资产受损、还款困难等风险，落实预警、排查、帮扶、续贷等处置流程，严格按照监管要求开展信息上报与披露。</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3.气候风险敏感资产及业务情况</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本社目前未对气候相关转型风险、物理风险敏感资产及业务金额，开展单独专项统计占比；受极端天气物理风险影响较大的资产，主要集中在农林牧渔业贷款、不动产抵押类贷款。</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4.气候相关领域资本投入情况</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2025年末，本社绿色贷款余额共计</w:t>
      </w:r>
      <w:r>
        <w:rPr>
          <w:rFonts w:ascii="仿宋_GB2312" w:hAnsi="仿宋_GB2312" w:eastAsia="仿宋_GB2312" w:cs="仿宋_GB2312"/>
          <w:spacing w:val="15"/>
          <w:sz w:val="32"/>
          <w:szCs w:val="32"/>
        </w:rPr>
        <w:t>4658.34</w:t>
      </w:r>
      <w:r>
        <w:rPr>
          <w:rFonts w:hint="eastAsia" w:ascii="仿宋_GB2312" w:hAnsi="仿宋_GB2312" w:eastAsia="仿宋_GB2312" w:cs="仿宋_GB2312"/>
          <w:spacing w:val="15"/>
          <w:sz w:val="32"/>
          <w:szCs w:val="32"/>
        </w:rPr>
        <w:t>万元，集中于资源循环利用、生态农林牧渔业等气候友好型领域投融资投放，全方位助力古田县域生态环境保护、低碳产业升级与双碳目标落地。</w:t>
      </w:r>
    </w:p>
    <w:p>
      <w:pPr>
        <w:pBdr>
          <w:bottom w:val="single" w:color="FFFFFF" w:sz="4" w:space="31"/>
        </w:pBdr>
        <w:autoSpaceDN w:val="0"/>
        <w:adjustRightInd w:val="0"/>
        <w:snapToGrid w:val="0"/>
        <w:spacing w:line="560" w:lineRule="exact"/>
        <w:ind w:firstLine="643" w:firstLineChars="200"/>
        <w:rPr>
          <w:rFonts w:ascii="仿宋" w:hAnsi="仿宋" w:eastAsia="仿宋" w:cs="仿宋"/>
          <w:kern w:val="0"/>
          <w:sz w:val="32"/>
          <w:szCs w:val="32"/>
        </w:rPr>
      </w:pPr>
      <w:r>
        <w:rPr>
          <w:rFonts w:hint="eastAsia" w:ascii="楷体_GB2312" w:hAnsi="楷体_GB2312" w:eastAsia="楷体_GB2312" w:cs="楷体_GB2312"/>
          <w:b/>
          <w:bCs/>
          <w:sz w:val="32"/>
          <w:szCs w:val="32"/>
        </w:rPr>
        <w:t>（五）生物多样性保护工作举措</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我联社将生物多样性保护理念深度融入信贷全流程管理，立足古田县食用菌、水果、红曲核心产业生态特征，搭建完善的自然相关风险识别体系。直接风险层面，重点监测霜冻、暴雨、台风、病虫害等自然灾害，研判灾害对食用菌、水果、红曲产能及抵质押资产安全的冲击；间接风险层面，密切跟踪生物多样性保护政策、环保监管标准更新情况，预判政策收紧对粗放型经营主体带来的合规压力、改造成本压力，并提前调整授信策略。</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业务层面，我联社聚焦本土特色产业，打造生物多样性友好型金融服务模式，重点支持生态菇棚改造、有机种植等项目；依托专属绿色信贷产品，引导经营主体摒弃高污染、高损耗生产模式。截至2025年末，我社绿色有机食用菌类贷款余额3060.12万元，占全部绿色贷款比重65.69%，是我联社支持生物多样性保护、赋能绿色农业发展的核心业务板块。</w:t>
      </w:r>
    </w:p>
    <w:p>
      <w:pPr>
        <w:pBdr>
          <w:bottom w:val="single" w:color="FFFFFF" w:sz="4" w:space="31"/>
        </w:pBdr>
        <w:autoSpaceDN w:val="0"/>
        <w:adjustRightInd w:val="0"/>
        <w:snapToGrid w:val="0"/>
        <w:spacing w:line="560" w:lineRule="exact"/>
        <w:ind w:firstLine="640" w:firstLineChars="200"/>
        <w:rPr>
          <w:rFonts w:ascii="仿宋" w:hAnsi="仿宋" w:eastAsia="仿宋" w:cs="仿宋"/>
          <w:kern w:val="0"/>
          <w:sz w:val="32"/>
          <w:szCs w:val="32"/>
        </w:rPr>
      </w:pPr>
      <w:r>
        <w:rPr>
          <w:rFonts w:hint="eastAsia" w:ascii="黑体" w:hAnsi="黑体" w:eastAsia="黑体"/>
          <w:snapToGrid w:val="0"/>
          <w:kern w:val="0"/>
          <w:sz w:val="32"/>
          <w:szCs w:val="32"/>
        </w:rPr>
        <w:t>五、投融资活动可持续信息</w:t>
      </w:r>
    </w:p>
    <w:p>
      <w:pPr>
        <w:pBdr>
          <w:bottom w:val="single" w:color="FFFFFF" w:sz="4" w:space="31"/>
        </w:pBdr>
        <w:autoSpaceDN w:val="0"/>
        <w:adjustRightInd w:val="0"/>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（一）概述整体投融资情况及其对可持续发展的影响</w:t>
      </w:r>
    </w:p>
    <w:p>
      <w:pPr>
        <w:pBdr>
          <w:bottom w:val="single" w:color="FFFFFF" w:sz="4" w:space="31"/>
        </w:pBdr>
        <w:autoSpaceDN w:val="0"/>
        <w:adjustRightInd w:val="0"/>
        <w:snapToGrid w:val="0"/>
        <w:spacing w:line="560" w:lineRule="exact"/>
        <w:ind w:firstLine="700" w:firstLineChars="200"/>
        <w:rPr>
          <w:rFonts w:ascii="仿宋" w:hAnsi="仿宋" w:eastAsia="仿宋" w:cs="仿宋"/>
          <w:kern w:val="0"/>
          <w:sz w:val="32"/>
          <w:szCs w:val="32"/>
        </w:rPr>
      </w:pPr>
      <w:r>
        <w:rPr>
          <w:rFonts w:hint="eastAsia" w:ascii="仿宋_GB2312" w:hAnsi="仿宋_GB2312" w:eastAsia="仿宋_GB2312" w:cs="仿宋_GB2312"/>
          <w:spacing w:val="15"/>
          <w:sz w:val="32"/>
          <w:szCs w:val="32"/>
        </w:rPr>
        <w:t>2025年末本社各项贷款余额79.21亿元。我联社始终坚守“服务县域、服务三农、服务绿色实体经济”的核心定位，持续优化信贷资源配置，优先向生态农业、绿色制造、生态文旅、普惠小微、乡村振兴五大领域倾斜信贷资源。年末绿色贷款余额4658.34万元，较年初增长99.82%，资金主要投向食用菌绿色改造、林下经济、资源循环利用、绿色农房建设等领域，有力支撑古田县生态治理、特色产业提质增效与美丽乡村建设。</w:t>
      </w:r>
    </w:p>
    <w:p>
      <w:pPr>
        <w:numPr>
          <w:ilvl w:val="0"/>
          <w:numId w:val="0"/>
        </w:numPr>
        <w:pBdr>
          <w:bottom w:val="single" w:color="FFFFFF" w:sz="4" w:space="31"/>
        </w:pBdr>
        <w:autoSpaceDN w:val="0"/>
        <w:adjustRightInd w:val="0"/>
        <w:snapToGrid w:val="0"/>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kern w:val="2"/>
          <w:sz w:val="32"/>
          <w:szCs w:val="32"/>
          <w:lang w:val="en-US" w:eastAsia="zh-CN" w:bidi="ar-SA"/>
        </w:rPr>
        <w:t>（二）</w:t>
      </w:r>
      <w:r>
        <w:rPr>
          <w:rFonts w:hint="eastAsia" w:ascii="楷体_GB2312" w:hAnsi="楷体_GB2312" w:eastAsia="楷体_GB2312" w:cs="楷体_GB2312"/>
          <w:b/>
          <w:bCs/>
          <w:sz w:val="32"/>
          <w:szCs w:val="32"/>
        </w:rPr>
        <w:t>投融资业务碳排放核</w:t>
      </w:r>
    </w:p>
    <w:p>
      <w:pPr>
        <w:keepNext w:val="0"/>
        <w:keepLines w:val="0"/>
        <w:pageBreakBefore w:val="0"/>
        <w:widowControl w:val="0"/>
        <w:numPr>
          <w:numId w:val="0"/>
        </w:numPr>
        <w:pBdr>
          <w:bottom w:val="single" w:color="FFFFFF" w:sz="4" w:space="31"/>
        </w:pBdr>
        <w:kinsoku/>
        <w:wordWrap/>
        <w:overflowPunct/>
        <w:topLinePunct w:val="0"/>
        <w:autoSpaceDE/>
        <w:autoSpaceDN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暂时没开展核算</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numPr>
          <w:ilvl w:val="0"/>
          <w:numId w:val="0"/>
        </w:numPr>
        <w:pBdr>
          <w:bottom w:val="single" w:color="FFFFFF" w:sz="4" w:space="31"/>
        </w:pBdr>
        <w:kinsoku/>
        <w:wordWrap/>
        <w:overflowPunct/>
        <w:topLinePunct w:val="0"/>
        <w:autoSpaceDE/>
        <w:autoSpaceDN w:val="0"/>
        <w:bidi w:val="0"/>
        <w:adjustRightInd w:val="0"/>
        <w:snapToGrid w:val="0"/>
        <w:spacing w:line="560" w:lineRule="exact"/>
        <w:ind w:left="0"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kern w:val="2"/>
          <w:sz w:val="32"/>
          <w:szCs w:val="32"/>
          <w:lang w:val="en-US" w:eastAsia="zh-CN" w:bidi="ar-SA"/>
        </w:rPr>
        <w:t>（三）</w:t>
      </w:r>
      <w:r>
        <w:rPr>
          <w:rFonts w:hint="eastAsia" w:ascii="楷体_GB2312" w:hAnsi="楷体_GB2312" w:eastAsia="楷体_GB2312" w:cs="楷体_GB2312"/>
          <w:b/>
          <w:bCs/>
          <w:sz w:val="32"/>
          <w:szCs w:val="32"/>
        </w:rPr>
        <w:t>绿色贷款整体情况、分行业贷款情况及较之前年度的变化</w:t>
      </w:r>
    </w:p>
    <w:p>
      <w:pPr>
        <w:keepNext w:val="0"/>
        <w:keepLines w:val="0"/>
        <w:pageBreakBefore w:val="0"/>
        <w:widowControl w:val="0"/>
        <w:numPr>
          <w:ilvl w:val="0"/>
          <w:numId w:val="0"/>
        </w:numPr>
        <w:pBdr>
          <w:bottom w:val="single" w:color="FFFFFF" w:sz="4" w:space="31"/>
        </w:pBdr>
        <w:kinsoku/>
        <w:wordWrap/>
        <w:overflowPunct/>
        <w:topLinePunct w:val="0"/>
        <w:autoSpaceDE/>
        <w:autoSpaceDN w:val="0"/>
        <w:bidi w:val="0"/>
        <w:adjustRightInd w:val="0"/>
        <w:snapToGrid w:val="0"/>
        <w:spacing w:line="560" w:lineRule="exact"/>
        <w:ind w:left="0" w:leftChars="0" w:firstLine="700" w:firstLineChars="200"/>
        <w:textAlignment w:val="auto"/>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2025年末绿色贷款余额</w:t>
      </w:r>
      <w:r>
        <w:rPr>
          <w:rFonts w:ascii="仿宋_GB2312" w:hAnsi="仿宋_GB2312" w:eastAsia="仿宋_GB2312" w:cs="仿宋_GB2312"/>
          <w:spacing w:val="15"/>
          <w:sz w:val="32"/>
          <w:szCs w:val="32"/>
        </w:rPr>
        <w:t>4658.34</w:t>
      </w:r>
      <w:r>
        <w:rPr>
          <w:rFonts w:hint="eastAsia" w:ascii="仿宋_GB2312" w:hAnsi="仿宋_GB2312" w:eastAsia="仿宋_GB2312" w:cs="仿宋_GB2312"/>
          <w:spacing w:val="15"/>
          <w:sz w:val="32"/>
          <w:szCs w:val="32"/>
        </w:rPr>
        <w:t>万元，较年初增加</w:t>
      </w:r>
      <w:r>
        <w:rPr>
          <w:rFonts w:ascii="仿宋_GB2312" w:hAnsi="仿宋_GB2312" w:eastAsia="仿宋_GB2312" w:cs="仿宋_GB2312"/>
          <w:spacing w:val="15"/>
          <w:sz w:val="32"/>
          <w:szCs w:val="32"/>
        </w:rPr>
        <w:t>2327.03</w:t>
      </w:r>
      <w:r>
        <w:rPr>
          <w:rFonts w:hint="eastAsia" w:ascii="仿宋_GB2312" w:hAnsi="仿宋_GB2312" w:eastAsia="仿宋_GB2312" w:cs="仿宋_GB2312"/>
          <w:spacing w:val="15"/>
          <w:sz w:val="32"/>
          <w:szCs w:val="32"/>
        </w:rPr>
        <w:t>万元，增幅</w:t>
      </w:r>
      <w:r>
        <w:rPr>
          <w:rFonts w:ascii="仿宋_GB2312" w:hAnsi="仿宋_GB2312" w:eastAsia="仿宋_GB2312" w:cs="仿宋_GB2312"/>
          <w:spacing w:val="15"/>
          <w:sz w:val="32"/>
          <w:szCs w:val="32"/>
        </w:rPr>
        <w:t>99.82</w:t>
      </w:r>
      <w:r>
        <w:rPr>
          <w:rFonts w:hint="eastAsia" w:ascii="仿宋_GB2312" w:hAnsi="仿宋_GB2312" w:eastAsia="仿宋_GB2312" w:cs="仿宋_GB2312"/>
          <w:spacing w:val="15"/>
          <w:sz w:val="32"/>
          <w:szCs w:val="32"/>
        </w:rPr>
        <w:t>%，增速大幅高于各项贷款平均增速，规模稳步扩容、结构持续优化。其中有机、绿色等认证农业贷款</w:t>
      </w:r>
      <w:r>
        <w:rPr>
          <w:rFonts w:ascii="仿宋_GB2312" w:hAnsi="仿宋_GB2312" w:eastAsia="仿宋_GB2312" w:cs="仿宋_GB2312"/>
          <w:spacing w:val="15"/>
          <w:sz w:val="32"/>
          <w:szCs w:val="32"/>
        </w:rPr>
        <w:t>3060.12</w:t>
      </w:r>
      <w:r>
        <w:rPr>
          <w:rFonts w:hint="eastAsia" w:ascii="仿宋_GB2312" w:hAnsi="仿宋_GB2312" w:eastAsia="仿宋_GB2312" w:cs="仿宋_GB2312"/>
          <w:spacing w:val="15"/>
          <w:sz w:val="32"/>
          <w:szCs w:val="32"/>
        </w:rPr>
        <w:t>万元、绿色渔业贷款</w:t>
      </w:r>
      <w:r>
        <w:rPr>
          <w:rFonts w:ascii="仿宋_GB2312" w:hAnsi="仿宋_GB2312" w:eastAsia="仿宋_GB2312" w:cs="仿宋_GB2312"/>
          <w:spacing w:val="15"/>
          <w:sz w:val="32"/>
          <w:szCs w:val="32"/>
        </w:rPr>
        <w:t>10</w:t>
      </w:r>
      <w:r>
        <w:rPr>
          <w:rFonts w:hint="eastAsia" w:ascii="仿宋_GB2312" w:hAnsi="仿宋_GB2312" w:eastAsia="仿宋_GB2312" w:cs="仿宋_GB2312"/>
          <w:spacing w:val="15"/>
          <w:sz w:val="32"/>
          <w:szCs w:val="32"/>
        </w:rPr>
        <w:t>万元，农林废弃物综合利用贷款</w:t>
      </w:r>
      <w:r>
        <w:rPr>
          <w:rFonts w:ascii="仿宋_GB2312" w:hAnsi="仿宋_GB2312" w:eastAsia="仿宋_GB2312" w:cs="仿宋_GB2312"/>
          <w:spacing w:val="15"/>
          <w:sz w:val="32"/>
          <w:szCs w:val="32"/>
        </w:rPr>
        <w:t>614.46</w:t>
      </w:r>
      <w:r>
        <w:rPr>
          <w:rFonts w:hint="eastAsia" w:ascii="仿宋_GB2312" w:hAnsi="仿宋_GB2312" w:eastAsia="仿宋_GB2312" w:cs="仿宋_GB2312"/>
          <w:spacing w:val="15"/>
          <w:sz w:val="32"/>
          <w:szCs w:val="32"/>
        </w:rPr>
        <w:t>万元，林下种养殖和林下采集贷款1</w:t>
      </w:r>
      <w:r>
        <w:rPr>
          <w:rFonts w:ascii="仿宋_GB2312" w:hAnsi="仿宋_GB2312" w:eastAsia="仿宋_GB2312" w:cs="仿宋_GB2312"/>
          <w:spacing w:val="15"/>
          <w:sz w:val="32"/>
          <w:szCs w:val="32"/>
        </w:rPr>
        <w:t>56.09</w:t>
      </w:r>
      <w:r>
        <w:rPr>
          <w:rFonts w:hint="eastAsia" w:ascii="仿宋_GB2312" w:hAnsi="仿宋_GB2312" w:eastAsia="仿宋_GB2312" w:cs="仿宋_GB2312"/>
          <w:spacing w:val="15"/>
          <w:sz w:val="32"/>
          <w:szCs w:val="32"/>
        </w:rPr>
        <w:t>万，废旧物资循环利用贷款</w:t>
      </w:r>
      <w:r>
        <w:rPr>
          <w:rFonts w:ascii="仿宋_GB2312" w:hAnsi="仿宋_GB2312" w:eastAsia="仿宋_GB2312" w:cs="仿宋_GB2312"/>
          <w:spacing w:val="15"/>
          <w:sz w:val="32"/>
          <w:szCs w:val="32"/>
        </w:rPr>
        <w:t>817.67</w:t>
      </w:r>
      <w:r>
        <w:rPr>
          <w:rFonts w:hint="eastAsia" w:ascii="仿宋_GB2312" w:hAnsi="仿宋_GB2312" w:eastAsia="仿宋_GB2312" w:cs="仿宋_GB2312"/>
          <w:spacing w:val="15"/>
          <w:sz w:val="32"/>
          <w:szCs w:val="32"/>
        </w:rPr>
        <w:t>万。绿色贷款规模较上年大幅增长，增量主要来自绿色有机认证农业贷款投放，该项贷款余额较上年增加</w:t>
      </w:r>
      <w:r>
        <w:rPr>
          <w:rFonts w:ascii="仿宋_GB2312" w:hAnsi="仿宋_GB2312" w:eastAsia="仿宋_GB2312" w:cs="仿宋_GB2312"/>
          <w:spacing w:val="15"/>
          <w:sz w:val="32"/>
          <w:szCs w:val="32"/>
        </w:rPr>
        <w:t>1278.48</w:t>
      </w:r>
      <w:r>
        <w:rPr>
          <w:rFonts w:hint="eastAsia" w:ascii="仿宋_GB2312" w:hAnsi="仿宋_GB2312" w:eastAsia="仿宋_GB2312" w:cs="仿宋_GB2312"/>
          <w:spacing w:val="15"/>
          <w:sz w:val="32"/>
          <w:szCs w:val="32"/>
        </w:rPr>
        <w:t>万，其余行业规模总体保持平稳。</w:t>
      </w:r>
    </w:p>
    <w:p>
      <w:pPr>
        <w:keepNext w:val="0"/>
        <w:keepLines w:val="0"/>
        <w:pageBreakBefore w:val="0"/>
        <w:widowControl w:val="0"/>
        <w:numPr>
          <w:ilvl w:val="0"/>
          <w:numId w:val="0"/>
        </w:numPr>
        <w:pBdr>
          <w:bottom w:val="single" w:color="FFFFFF" w:sz="4" w:space="31"/>
        </w:pBdr>
        <w:kinsoku/>
        <w:wordWrap/>
        <w:overflowPunct/>
        <w:topLinePunct w:val="0"/>
        <w:autoSpaceDE/>
        <w:autoSpaceDN w:val="0"/>
        <w:bidi w:val="0"/>
        <w:adjustRightInd w:val="0"/>
        <w:snapToGrid w:val="0"/>
        <w:spacing w:line="560" w:lineRule="exact"/>
        <w:ind w:left="0" w:leftChars="0"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（四）绿色贷款余额折合减排情况</w:t>
      </w:r>
    </w:p>
    <w:p>
      <w:pPr>
        <w:keepNext w:val="0"/>
        <w:keepLines w:val="0"/>
        <w:pageBreakBefore w:val="0"/>
        <w:widowControl w:val="0"/>
        <w:numPr>
          <w:ilvl w:val="0"/>
          <w:numId w:val="0"/>
        </w:numPr>
        <w:pBdr>
          <w:bottom w:val="single" w:color="FFFFFF" w:sz="4" w:space="31"/>
        </w:pBdr>
        <w:kinsoku/>
        <w:wordWrap/>
        <w:overflowPunct/>
        <w:topLinePunct w:val="0"/>
        <w:autoSpaceDE/>
        <w:autoSpaceDN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暂时没开展核算</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numPr>
          <w:ilvl w:val="0"/>
          <w:numId w:val="0"/>
        </w:numPr>
        <w:pBdr>
          <w:bottom w:val="single" w:color="FFFFFF" w:sz="4" w:space="31"/>
        </w:pBdr>
        <w:kinsoku/>
        <w:wordWrap/>
        <w:overflowPunct/>
        <w:topLinePunct w:val="0"/>
        <w:autoSpaceDE/>
        <w:autoSpaceDN w:val="0"/>
        <w:bidi w:val="0"/>
        <w:adjustRightInd w:val="0"/>
        <w:snapToGrid w:val="0"/>
        <w:spacing w:line="560" w:lineRule="exact"/>
        <w:ind w:firstLine="703" w:firstLineChars="200"/>
        <w:textAlignment w:val="auto"/>
        <w:rPr>
          <w:rFonts w:hint="eastAsia" w:ascii="仿宋_GB2312" w:hAnsi="仿宋_GB2312" w:eastAsia="仿宋_GB2312" w:cs="仿宋_GB2312"/>
          <w:spacing w:val="15"/>
          <w:sz w:val="32"/>
          <w:szCs w:val="32"/>
        </w:rPr>
      </w:pPr>
      <w:r>
        <w:rPr>
          <w:rFonts w:hint="eastAsia" w:ascii="楷体_GB2312" w:hAnsi="楷体_GB2312" w:eastAsia="楷体_GB2312" w:cs="楷体_GB2312"/>
          <w:b/>
          <w:bCs/>
          <w:spacing w:val="15"/>
          <w:kern w:val="2"/>
          <w:sz w:val="32"/>
          <w:szCs w:val="32"/>
          <w:lang w:val="en-US" w:eastAsia="zh-CN" w:bidi="ar-SA"/>
        </w:rPr>
        <w:t>（五）</w:t>
      </w:r>
      <w:r>
        <w:rPr>
          <w:rFonts w:hint="eastAsia" w:ascii="楷体_GB2312" w:hAnsi="楷体_GB2312" w:eastAsia="楷体_GB2312" w:cs="楷体_GB2312"/>
          <w:b/>
          <w:bCs/>
          <w:sz w:val="32"/>
          <w:szCs w:val="32"/>
        </w:rPr>
        <w:t>绿色债券承销情况。</w:t>
      </w:r>
      <w:r>
        <w:rPr>
          <w:rFonts w:hint="eastAsia" w:ascii="仿宋_GB2312" w:hAnsi="仿宋_GB2312" w:eastAsia="仿宋_GB2312" w:cs="仿宋_GB2312"/>
          <w:spacing w:val="15"/>
          <w:sz w:val="32"/>
          <w:szCs w:val="32"/>
        </w:rPr>
        <w:t>本社无绿色债券承销，与上一年持平</w:t>
      </w:r>
    </w:p>
    <w:p>
      <w:pPr>
        <w:keepNext w:val="0"/>
        <w:keepLines w:val="0"/>
        <w:pageBreakBefore w:val="0"/>
        <w:widowControl w:val="0"/>
        <w:numPr>
          <w:ilvl w:val="0"/>
          <w:numId w:val="0"/>
        </w:numPr>
        <w:pBdr>
          <w:bottom w:val="single" w:color="FFFFFF" w:sz="4" w:space="31"/>
        </w:pBdr>
        <w:kinsoku/>
        <w:wordWrap/>
        <w:overflowPunct/>
        <w:topLinePunct w:val="0"/>
        <w:autoSpaceDE/>
        <w:autoSpaceDN w:val="0"/>
        <w:bidi w:val="0"/>
        <w:adjustRightInd w:val="0"/>
        <w:snapToGrid w:val="0"/>
        <w:spacing w:line="560" w:lineRule="exact"/>
        <w:ind w:firstLine="643" w:firstLineChars="200"/>
        <w:textAlignment w:val="auto"/>
        <w:rPr>
          <w:rFonts w:ascii="仿宋_GB2312" w:hAnsi="仿宋_GB2312" w:eastAsia="仿宋_GB2312" w:cs="仿宋_GB2312"/>
          <w:spacing w:val="15"/>
          <w:sz w:val="32"/>
          <w:szCs w:val="32"/>
        </w:rPr>
      </w:pPr>
      <w:r>
        <w:rPr>
          <w:rFonts w:hint="eastAsia" w:ascii="楷体_GB2312" w:hAnsi="楷体_GB2312" w:eastAsia="楷体_GB2312" w:cs="楷体_GB2312"/>
          <w:b/>
          <w:bCs/>
          <w:sz w:val="32"/>
          <w:szCs w:val="32"/>
        </w:rPr>
        <w:t>（六）其他绿色投融资活动的情况及较之前年度的变化</w:t>
      </w:r>
      <w:r>
        <w:rPr>
          <w:rFonts w:hint="eastAsia" w:ascii="楷体_GB2312" w:hAnsi="楷体_GB2312" w:eastAsia="楷体_GB2312" w:cs="楷体_GB2312"/>
          <w:b/>
          <w:bCs/>
          <w:spacing w:val="15"/>
          <w:sz w:val="32"/>
          <w:szCs w:val="32"/>
        </w:rPr>
        <w:t>。</w:t>
      </w:r>
      <w:r>
        <w:rPr>
          <w:rFonts w:hint="eastAsia" w:ascii="仿宋_GB2312" w:hAnsi="仿宋_GB2312" w:eastAsia="仿宋_GB2312" w:cs="仿宋_GB2312"/>
          <w:spacing w:val="15"/>
          <w:sz w:val="32"/>
          <w:szCs w:val="32"/>
        </w:rPr>
        <w:t>本社无其他绿色投资活动，与上一</w:t>
      </w:r>
      <w:bookmarkStart w:id="2" w:name="_GoBack"/>
      <w:bookmarkEnd w:id="2"/>
      <w:r>
        <w:rPr>
          <w:rFonts w:hint="eastAsia" w:ascii="仿宋_GB2312" w:hAnsi="仿宋_GB2312" w:eastAsia="仿宋_GB2312" w:cs="仿宋_GB2312"/>
          <w:spacing w:val="15"/>
          <w:sz w:val="32"/>
          <w:szCs w:val="32"/>
        </w:rPr>
        <w:t>年持平。</w:t>
      </w:r>
    </w:p>
    <w:p>
      <w:pPr>
        <w:spacing w:line="578" w:lineRule="exact"/>
        <w:rPr>
          <w:rFonts w:ascii="黑体" w:hAnsi="黑体" w:eastAsia="黑体"/>
          <w:snapToGrid w:val="0"/>
          <w:kern w:val="0"/>
          <w:sz w:val="32"/>
          <w:szCs w:val="32"/>
        </w:rPr>
      </w:pPr>
      <w:r>
        <w:rPr>
          <w:rFonts w:hint="eastAsia" w:ascii="黑体" w:hAnsi="黑体" w:eastAsia="黑体"/>
          <w:snapToGrid w:val="0"/>
          <w:kern w:val="0"/>
          <w:sz w:val="32"/>
          <w:szCs w:val="32"/>
        </w:rPr>
        <w:t>六、自身运营可持续信息</w:t>
      </w:r>
    </w:p>
    <w:tbl>
      <w:tblPr>
        <w:tblStyle w:val="6"/>
        <w:tblpPr w:leftFromText="180" w:rightFromText="180" w:vertAnchor="text" w:horzAnchor="page" w:tblpX="108" w:tblpY="656"/>
        <w:tblOverlap w:val="never"/>
        <w:tblW w:w="9999" w:type="dxa"/>
        <w:tblInd w:w="0" w:type="dxa"/>
        <w:tblLayout w:type="fixed"/>
        <w:tblCellMar>
          <w:top w:w="0" w:type="dxa"/>
          <w:left w:w="108" w:type="dxa"/>
          <w:bottom w:w="0" w:type="dxa"/>
          <w:right w:w="108" w:type="dxa"/>
        </w:tblCellMar>
      </w:tblPr>
      <w:tblGrid>
        <w:gridCol w:w="9999"/>
      </w:tblGrid>
      <w:tr>
        <w:tblPrEx>
          <w:tblCellMar>
            <w:top w:w="0" w:type="dxa"/>
            <w:left w:w="108" w:type="dxa"/>
            <w:bottom w:w="0" w:type="dxa"/>
            <w:right w:w="108" w:type="dxa"/>
          </w:tblCellMar>
        </w:tblPrEx>
        <w:trPr>
          <w:trHeight w:val="1150" w:hRule="atLeast"/>
        </w:trPr>
        <w:tc>
          <w:tcPr>
            <w:tcW w:w="9999" w:type="dxa"/>
            <w:tcBorders>
              <w:top w:val="nil"/>
              <w:left w:val="nil"/>
              <w:bottom w:val="nil"/>
              <w:right w:val="nil"/>
            </w:tcBorders>
            <w:shd w:val="clear" w:color="auto" w:fill="auto"/>
            <w:noWrap/>
            <w:vAlign w:val="center"/>
          </w:tcPr>
          <w:p>
            <w:pPr>
              <w:overflowPunct w:val="0"/>
              <w:spacing w:line="578" w:lineRule="exact"/>
              <w:ind w:firstLine="700" w:firstLineChars="200"/>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1.自身运营活动产生的直接碳排（范围一）</w:t>
            </w:r>
          </w:p>
          <w:tbl>
            <w:tblPr>
              <w:tblStyle w:val="6"/>
              <w:tblW w:w="9886" w:type="dxa"/>
              <w:tblInd w:w="0" w:type="dxa"/>
              <w:tblLayout w:type="fixed"/>
              <w:tblCellMar>
                <w:top w:w="0" w:type="dxa"/>
                <w:left w:w="108" w:type="dxa"/>
                <w:bottom w:w="0" w:type="dxa"/>
                <w:right w:w="108" w:type="dxa"/>
              </w:tblCellMar>
            </w:tblPr>
            <w:tblGrid>
              <w:gridCol w:w="3717"/>
              <w:gridCol w:w="2083"/>
              <w:gridCol w:w="2062"/>
              <w:gridCol w:w="2024"/>
            </w:tblGrid>
            <w:tr>
              <w:tblPrEx>
                <w:tblCellMar>
                  <w:top w:w="0" w:type="dxa"/>
                  <w:left w:w="108" w:type="dxa"/>
                  <w:bottom w:w="0" w:type="dxa"/>
                  <w:right w:w="108" w:type="dxa"/>
                </w:tblCellMar>
              </w:tblPrEx>
              <w:trPr>
                <w:trHeight w:val="285"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项目</w:t>
                  </w:r>
                </w:p>
              </w:tc>
              <w:tc>
                <w:tcPr>
                  <w:tcW w:w="208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2025年度</w:t>
                  </w:r>
                </w:p>
              </w:tc>
              <w:tc>
                <w:tcPr>
                  <w:tcW w:w="206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2024年度</w:t>
                  </w:r>
                </w:p>
              </w:tc>
              <w:tc>
                <w:tcPr>
                  <w:tcW w:w="202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2023年度</w:t>
                  </w:r>
                </w:p>
              </w:tc>
            </w:tr>
            <w:tr>
              <w:tblPrEx>
                <w:tblCellMar>
                  <w:top w:w="0" w:type="dxa"/>
                  <w:left w:w="108" w:type="dxa"/>
                  <w:bottom w:w="0" w:type="dxa"/>
                  <w:right w:w="108" w:type="dxa"/>
                </w:tblCellMar>
              </w:tblPrEx>
              <w:trPr>
                <w:trHeight w:val="285"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食堂灶具</w:t>
                  </w:r>
                </w:p>
              </w:tc>
              <w:tc>
                <w:tcPr>
                  <w:tcW w:w="208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43.54</w:t>
                  </w:r>
                </w:p>
              </w:tc>
              <w:tc>
                <w:tcPr>
                  <w:tcW w:w="206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45.62</w:t>
                  </w:r>
                </w:p>
              </w:tc>
              <w:tc>
                <w:tcPr>
                  <w:tcW w:w="202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color w:val="000000" w:themeColor="text1"/>
                      <w:spacing w:val="15"/>
                      <w:sz w:val="32"/>
                      <w:szCs w:val="32"/>
                      <w14:textFill>
                        <w14:solidFill>
                          <w14:schemeClr w14:val="tx1"/>
                        </w14:solidFill>
                      </w14:textFill>
                    </w:rPr>
                  </w:pPr>
                  <w:r>
                    <w:rPr>
                      <w:rFonts w:hint="eastAsia" w:ascii="仿宋_GB2312" w:hAnsi="仿宋_GB2312" w:eastAsia="仿宋_GB2312" w:cs="仿宋_GB2312"/>
                      <w:color w:val="000000" w:themeColor="text1"/>
                      <w:spacing w:val="15"/>
                      <w:sz w:val="32"/>
                      <w:szCs w:val="32"/>
                      <w14:textFill>
                        <w14:solidFill>
                          <w14:schemeClr w14:val="tx1"/>
                        </w14:solidFill>
                      </w14:textFill>
                    </w:rPr>
                    <w:t>47.94</w:t>
                  </w:r>
                </w:p>
              </w:tc>
            </w:tr>
          </w:tbl>
          <w:p>
            <w:pPr>
              <w:pStyle w:val="2"/>
              <w:numPr>
                <w:ilvl w:val="0"/>
                <w:numId w:val="1"/>
              </w:numPr>
              <w:spacing w:line="578" w:lineRule="exact"/>
              <w:rPr>
                <w:rFonts w:ascii="仿宋_GB2312" w:hAnsi="仿宋_GB2312" w:eastAsia="仿宋_GB2312" w:cs="仿宋_GB2312"/>
                <w:color w:val="000000" w:themeColor="text1"/>
                <w:sz w:val="32"/>
                <w:szCs w:val="32"/>
                <w14:textFill>
                  <w14:solidFill>
                    <w14:schemeClr w14:val="tx1"/>
                  </w14:solidFill>
                </w14:textFill>
              </w:rPr>
            </w:pPr>
          </w:p>
        </w:tc>
      </w:tr>
      <w:tr>
        <w:tblPrEx>
          <w:tblCellMar>
            <w:top w:w="0" w:type="dxa"/>
            <w:left w:w="108" w:type="dxa"/>
            <w:bottom w:w="0" w:type="dxa"/>
            <w:right w:w="108" w:type="dxa"/>
          </w:tblCellMar>
        </w:tblPrEx>
        <w:trPr>
          <w:trHeight w:val="300" w:hRule="atLeast"/>
        </w:trPr>
        <w:tc>
          <w:tcPr>
            <w:tcW w:w="9999" w:type="dxa"/>
            <w:tcBorders>
              <w:top w:val="nil"/>
              <w:left w:val="nil"/>
              <w:bottom w:val="nil"/>
              <w:right w:val="nil"/>
            </w:tcBorders>
            <w:shd w:val="clear" w:color="auto" w:fill="auto"/>
            <w:noWrap/>
            <w:vAlign w:val="center"/>
          </w:tcPr>
          <w:p>
            <w:pPr>
              <w:overflowPunct w:val="0"/>
              <w:spacing w:line="578" w:lineRule="exact"/>
              <w:ind w:firstLine="640" w:firstLineChars="200"/>
              <w:rPr>
                <w:rFonts w:ascii="仿宋_GB2312" w:hAnsi="仿宋_GB2312" w:eastAsia="仿宋_GB2312" w:cs="仿宋_GB2312"/>
                <w:spacing w:val="15"/>
                <w:sz w:val="32"/>
                <w:szCs w:val="32"/>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注：1.包括以下方面：固定源化石燃料燃烧排放，如供暖锅炉、热水锅炉、食堂灶具等；移动燃烧，如承担能源费用的自有汽车、巴士、飞机、船舶等（如有）；无组织排放：如废水处理甲烷（CH4）逸散排放、灭火器逸散排放、空调制冷剂逸散排放、断路器六氟化硫（SF6）保护气逸散排放等。</w:t>
            </w:r>
            <w:r>
              <w:rPr>
                <w:rFonts w:ascii="仿宋_GB2312" w:hAnsi="仿宋_GB2312" w:eastAsia="仿宋_GB2312" w:cs="仿宋_GB2312"/>
                <w:spacing w:val="15"/>
                <w:sz w:val="32"/>
                <w:szCs w:val="32"/>
              </w:rPr>
              <w:br w:type="textWrapping"/>
            </w:r>
            <w:r>
              <w:rPr>
                <w:rFonts w:hint="eastAsia" w:ascii="仿宋_GB2312" w:hAnsi="仿宋_GB2312" w:eastAsia="仿宋_GB2312" w:cs="仿宋_GB2312"/>
                <w:spacing w:val="15"/>
                <w:sz w:val="32"/>
                <w:szCs w:val="32"/>
                <w:lang w:val="en-US" w:eastAsia="zh-CN"/>
              </w:rPr>
              <w:t xml:space="preserve">   </w:t>
            </w:r>
            <w:r>
              <w:rPr>
                <w:rFonts w:hint="eastAsia" w:ascii="仿宋_GB2312" w:hAnsi="仿宋_GB2312" w:eastAsia="仿宋_GB2312" w:cs="仿宋_GB2312"/>
                <w:spacing w:val="15"/>
                <w:sz w:val="32"/>
                <w:szCs w:val="32"/>
              </w:rPr>
              <w:t>2.自身运营活动产生的间接碳排放（范围二）</w:t>
            </w:r>
          </w:p>
          <w:tbl>
            <w:tblPr>
              <w:tblStyle w:val="6"/>
              <w:tblW w:w="9886" w:type="dxa"/>
              <w:tblInd w:w="0" w:type="dxa"/>
              <w:tblLayout w:type="fixed"/>
              <w:tblCellMar>
                <w:top w:w="0" w:type="dxa"/>
                <w:left w:w="108" w:type="dxa"/>
                <w:bottom w:w="0" w:type="dxa"/>
                <w:right w:w="108" w:type="dxa"/>
              </w:tblCellMar>
            </w:tblPr>
            <w:tblGrid>
              <w:gridCol w:w="3717"/>
              <w:gridCol w:w="1858"/>
              <w:gridCol w:w="2175"/>
              <w:gridCol w:w="2136"/>
            </w:tblGrid>
            <w:tr>
              <w:tblPrEx>
                <w:tblCellMar>
                  <w:top w:w="0" w:type="dxa"/>
                  <w:left w:w="108" w:type="dxa"/>
                  <w:bottom w:w="0" w:type="dxa"/>
                  <w:right w:w="108" w:type="dxa"/>
                </w:tblCellMar>
              </w:tblPrEx>
              <w:trPr>
                <w:trHeight w:val="300"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ind w:firstLine="700" w:firstLineChars="200"/>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项目</w:t>
                  </w:r>
                </w:p>
              </w:tc>
              <w:tc>
                <w:tcPr>
                  <w:tcW w:w="18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2025年度</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2024年度</w:t>
                  </w:r>
                </w:p>
              </w:tc>
              <w:tc>
                <w:tcPr>
                  <w:tcW w:w="21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2023年度</w:t>
                  </w:r>
                </w:p>
              </w:tc>
            </w:tr>
            <w:tr>
              <w:tblPrEx>
                <w:tblCellMar>
                  <w:top w:w="0" w:type="dxa"/>
                  <w:left w:w="108" w:type="dxa"/>
                  <w:bottom w:w="0" w:type="dxa"/>
                  <w:right w:w="108" w:type="dxa"/>
                </w:tblCellMar>
              </w:tblPrEx>
              <w:trPr>
                <w:trHeight w:val="360"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ind w:firstLine="700" w:firstLineChars="200"/>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外购电力排放</w:t>
                  </w:r>
                </w:p>
              </w:tc>
              <w:tc>
                <w:tcPr>
                  <w:tcW w:w="18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928.91</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1011.19</w:t>
                  </w:r>
                </w:p>
              </w:tc>
              <w:tc>
                <w:tcPr>
                  <w:tcW w:w="21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961.63</w:t>
                  </w:r>
                </w:p>
              </w:tc>
            </w:tr>
          </w:tbl>
          <w:p>
            <w:pPr>
              <w:overflowPunct w:val="0"/>
              <w:spacing w:line="578" w:lineRule="exact"/>
              <w:ind w:firstLine="700" w:firstLineChars="200"/>
              <w:rPr>
                <w:rFonts w:ascii="仿宋_GB2312" w:hAnsi="仿宋_GB2312" w:eastAsia="仿宋_GB2312" w:cs="仿宋_GB2312"/>
                <w:spacing w:val="15"/>
                <w:sz w:val="32"/>
                <w:szCs w:val="32"/>
              </w:rPr>
            </w:pPr>
          </w:p>
        </w:tc>
      </w:tr>
      <w:tr>
        <w:tblPrEx>
          <w:tblCellMar>
            <w:top w:w="0" w:type="dxa"/>
            <w:left w:w="108" w:type="dxa"/>
            <w:bottom w:w="0" w:type="dxa"/>
            <w:right w:w="108" w:type="dxa"/>
          </w:tblCellMar>
        </w:tblPrEx>
        <w:trPr>
          <w:trHeight w:val="270" w:hRule="atLeast"/>
        </w:trPr>
        <w:tc>
          <w:tcPr>
            <w:tcW w:w="9999" w:type="dxa"/>
            <w:tcBorders>
              <w:top w:val="nil"/>
              <w:left w:val="nil"/>
              <w:bottom w:val="nil"/>
              <w:right w:val="nil"/>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700" w:firstLineChars="200"/>
              <w:textAlignment w:val="auto"/>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注：1.包括以下方面：外购电力排放，如组织边界内所有耗电设施的排放，如数据中心、办公耗电、电车耗电等；外购热力冷源排放，如数据中心使用外购冷源排放；员工通勤和差旅等产生的碳排放。</w:t>
            </w:r>
          </w:p>
          <w:p>
            <w:pPr>
              <w:keepNext w:val="0"/>
              <w:keepLines w:val="0"/>
              <w:pageBreakBefore w:val="0"/>
              <w:widowControl w:val="0"/>
              <w:kinsoku/>
              <w:wordWrap/>
              <w:overflowPunct w:val="0"/>
              <w:topLinePunct w:val="0"/>
              <w:autoSpaceDE/>
              <w:autoSpaceDN/>
              <w:bidi w:val="0"/>
              <w:adjustRightInd/>
              <w:snapToGrid/>
              <w:spacing w:line="560" w:lineRule="exact"/>
              <w:ind w:firstLine="700" w:firstLineChars="200"/>
              <w:textAlignment w:val="auto"/>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3.金融机构经营活动对环境产生的影响</w:t>
            </w:r>
          </w:p>
          <w:tbl>
            <w:tblPr>
              <w:tblStyle w:val="6"/>
              <w:tblW w:w="11865" w:type="dxa"/>
              <w:tblInd w:w="0" w:type="dxa"/>
              <w:tblLayout w:type="fixed"/>
              <w:tblCellMar>
                <w:top w:w="0" w:type="dxa"/>
                <w:left w:w="108" w:type="dxa"/>
                <w:bottom w:w="0" w:type="dxa"/>
                <w:right w:w="108" w:type="dxa"/>
              </w:tblCellMar>
            </w:tblPr>
            <w:tblGrid>
              <w:gridCol w:w="4485"/>
              <w:gridCol w:w="3345"/>
              <w:gridCol w:w="2370"/>
              <w:gridCol w:w="1665"/>
            </w:tblGrid>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指标名称</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披露细项</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本年度总量</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上一年度总量</w:t>
                  </w:r>
                </w:p>
              </w:tc>
            </w:tr>
            <w:tr>
              <w:tblPrEx>
                <w:tblCellMar>
                  <w:top w:w="0" w:type="dxa"/>
                  <w:left w:w="108" w:type="dxa"/>
                  <w:bottom w:w="0" w:type="dxa"/>
                  <w:right w:w="108" w:type="dxa"/>
                </w:tblCellMar>
              </w:tblPrEx>
              <w:trPr>
                <w:trHeight w:val="270" w:hRule="atLeast"/>
              </w:trPr>
              <w:tc>
                <w:tcPr>
                  <w:tcW w:w="4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报告期经营活动产生的资源消耗</w:t>
                  </w:r>
                </w:p>
              </w:tc>
              <w:tc>
                <w:tcPr>
                  <w:tcW w:w="3345" w:type="dxa"/>
                  <w:tcBorders>
                    <w:top w:val="single" w:color="000000" w:sz="4" w:space="0"/>
                    <w:left w:val="single" w:color="000000" w:sz="4" w:space="0"/>
                    <w:bottom w:val="single" w:color="000000" w:sz="4" w:space="0"/>
                    <w:right w:val="single" w:color="000000" w:sz="4" w:space="0"/>
                  </w:tcBorders>
                  <w:shd w:val="clear" w:color="auto" w:fill="auto"/>
                </w:tcPr>
                <w:p>
                  <w:pPr>
                    <w:overflowPunct w:val="0"/>
                    <w:spacing w:line="578" w:lineRule="exac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自有交通运输工具消耗燃油（升）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3483.09</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4084.4</w:t>
                  </w:r>
                </w:p>
              </w:tc>
            </w:tr>
            <w:tr>
              <w:tblPrEx>
                <w:tblCellMar>
                  <w:top w:w="0" w:type="dxa"/>
                  <w:left w:w="108" w:type="dxa"/>
                  <w:bottom w:w="0" w:type="dxa"/>
                  <w:right w:w="108" w:type="dxa"/>
                </w:tblCellMar>
              </w:tblPrEx>
              <w:trPr>
                <w:trHeight w:val="270"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8" w:lineRule="exact"/>
                    <w:rPr>
                      <w:rFonts w:ascii="仿宋_GB2312" w:hAnsi="仿宋_GB2312" w:eastAsia="仿宋_GB2312" w:cs="仿宋_GB2312"/>
                      <w:spacing w:val="15"/>
                      <w:sz w:val="32"/>
                      <w:szCs w:val="3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578" w:lineRule="exact"/>
                    <w:jc w:val="center"/>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营业办公消耗电力（万千瓦时）</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8" w:lineRule="exact"/>
                    <w:jc w:val="center"/>
                    <w:textAlignment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160.79</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8" w:lineRule="exact"/>
                    <w:textAlignment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281901</w:t>
                  </w:r>
                </w:p>
              </w:tc>
            </w:tr>
            <w:tr>
              <w:tblPrEx>
                <w:tblCellMar>
                  <w:top w:w="0" w:type="dxa"/>
                  <w:left w:w="108" w:type="dxa"/>
                  <w:bottom w:w="0" w:type="dxa"/>
                  <w:right w:w="108" w:type="dxa"/>
                </w:tblCellMar>
              </w:tblPrEx>
              <w:trPr>
                <w:trHeight w:val="270"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8" w:lineRule="exact"/>
                    <w:rPr>
                      <w:rFonts w:ascii="仿宋_GB2312" w:hAnsi="仿宋_GB2312" w:eastAsia="仿宋_GB2312" w:cs="仿宋_GB2312"/>
                      <w:spacing w:val="15"/>
                      <w:sz w:val="32"/>
                      <w:szCs w:val="3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578" w:lineRule="exact"/>
                    <w:jc w:val="center"/>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营业办公消耗水（吨）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8" w:lineRule="exact"/>
                    <w:jc w:val="center"/>
                    <w:textAlignment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7851.77</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8" w:lineRule="exact"/>
                    <w:textAlignment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654.3</w:t>
                  </w:r>
                </w:p>
              </w:tc>
            </w:tr>
            <w:tr>
              <w:tblPrEx>
                <w:tblCellMar>
                  <w:top w:w="0" w:type="dxa"/>
                  <w:left w:w="108" w:type="dxa"/>
                  <w:bottom w:w="0" w:type="dxa"/>
                  <w:right w:w="108" w:type="dxa"/>
                </w:tblCellMar>
              </w:tblPrEx>
              <w:trPr>
                <w:trHeight w:val="315" w:hRule="atLeast"/>
              </w:trPr>
              <w:tc>
                <w:tcPr>
                  <w:tcW w:w="4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8" w:lineRule="exact"/>
                    <w:rPr>
                      <w:rFonts w:ascii="仿宋_GB2312" w:hAnsi="仿宋_GB2312" w:eastAsia="仿宋_GB2312" w:cs="仿宋_GB2312"/>
                      <w:spacing w:val="15"/>
                      <w:sz w:val="32"/>
                      <w:szCs w:val="32"/>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tcPr>
                <w:p>
                  <w:pPr>
                    <w:widowControl/>
                    <w:spacing w:line="578" w:lineRule="exact"/>
                    <w:jc w:val="center"/>
                    <w:textAlignment w:val="top"/>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营业办公消耗纸张（吨）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8" w:lineRule="exact"/>
                    <w:jc w:val="center"/>
                    <w:textAlignment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6.56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78" w:lineRule="exact"/>
                    <w:textAlignment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3.27</w:t>
                  </w:r>
                </w:p>
              </w:tc>
            </w:tr>
            <w:tr>
              <w:tblPrEx>
                <w:tblCellMar>
                  <w:top w:w="0" w:type="dxa"/>
                  <w:left w:w="108" w:type="dxa"/>
                  <w:bottom w:w="0" w:type="dxa"/>
                  <w:right w:w="108" w:type="dxa"/>
                </w:tblCellMar>
              </w:tblPrEx>
              <w:trPr>
                <w:trHeight w:val="315" w:hRule="atLeast"/>
              </w:trPr>
              <w:tc>
                <w:tcPr>
                  <w:tcW w:w="7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购买或自有的碳抵消项目产生的碳减排量（吨）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w:t>
                  </w:r>
                </w:p>
              </w:tc>
            </w:tr>
            <w:tr>
              <w:tblPrEx>
                <w:tblCellMar>
                  <w:top w:w="0" w:type="dxa"/>
                  <w:left w:w="108" w:type="dxa"/>
                  <w:bottom w:w="0" w:type="dxa"/>
                  <w:right w:w="108" w:type="dxa"/>
                </w:tblCellMar>
              </w:tblPrEx>
              <w:trPr>
                <w:trHeight w:val="270" w:hRule="atLeast"/>
              </w:trPr>
              <w:tc>
                <w:tcPr>
                  <w:tcW w:w="78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网点数量（个）</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7</w:t>
                  </w:r>
                </w:p>
              </w:tc>
            </w:tr>
            <w:tr>
              <w:tblPrEx>
                <w:tblCellMar>
                  <w:top w:w="0" w:type="dxa"/>
                  <w:left w:w="108" w:type="dxa"/>
                  <w:bottom w:w="0" w:type="dxa"/>
                  <w:right w:w="108" w:type="dxa"/>
                </w:tblCellMar>
              </w:tblPrEx>
              <w:trPr>
                <w:trHeight w:val="270" w:hRule="atLeast"/>
              </w:trPr>
              <w:tc>
                <w:tcPr>
                  <w:tcW w:w="783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员工数（人）</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229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overflowPunct w:val="0"/>
                    <w:spacing w:line="578" w:lineRule="exact"/>
                    <w:ind w:firstLine="700" w:firstLineChars="200"/>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81</w:t>
                  </w:r>
                </w:p>
              </w:tc>
            </w:tr>
            <w:tr>
              <w:tblPrEx>
                <w:tblCellMar>
                  <w:top w:w="0" w:type="dxa"/>
                  <w:left w:w="108" w:type="dxa"/>
                  <w:bottom w:w="0" w:type="dxa"/>
                  <w:right w:w="108" w:type="dxa"/>
                </w:tblCellMar>
              </w:tblPrEx>
              <w:trPr>
                <w:trHeight w:val="270" w:hRule="atLeast"/>
              </w:trPr>
              <w:tc>
                <w:tcPr>
                  <w:tcW w:w="7830"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营业收入（万元）</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overflowPunct w:val="0"/>
                    <w:spacing w:line="578" w:lineRule="exact"/>
                    <w:jc w:val="center"/>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64139.89</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overflowPunct w:val="0"/>
                    <w:spacing w:line="578" w:lineRule="exac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9444.44</w:t>
                  </w:r>
                </w:p>
              </w:tc>
            </w:tr>
          </w:tbl>
          <w:p>
            <w:pPr>
              <w:spacing w:line="578" w:lineRule="exact"/>
              <w:rPr>
                <w:rFonts w:ascii="仿宋_GB2312" w:hAnsi="仿宋_GB2312" w:eastAsia="仿宋_GB2312" w:cs="仿宋_GB2312"/>
                <w:sz w:val="32"/>
                <w:szCs w:val="32"/>
              </w:rPr>
            </w:pPr>
          </w:p>
        </w:tc>
      </w:tr>
    </w:tbl>
    <w:p>
      <w:pPr>
        <w:keepNext w:val="0"/>
        <w:keepLines w:val="0"/>
        <w:pageBreakBefore w:val="0"/>
        <w:widowControl w:val="0"/>
        <w:kinsoku/>
        <w:wordWrap/>
        <w:overflowPunct w:val="0"/>
        <w:topLinePunct w:val="0"/>
        <w:autoSpaceDE/>
        <w:autoSpaceDN/>
        <w:bidi w:val="0"/>
        <w:adjustRightInd/>
        <w:snapToGrid/>
        <w:spacing w:line="560" w:lineRule="exact"/>
        <w:ind w:firstLine="700" w:firstLineChars="200"/>
        <w:jc w:val="left"/>
        <w:textAlignment w:val="auto"/>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4.自身运营活动的其他环境信息</w:t>
      </w:r>
    </w:p>
    <w:p>
      <w:pPr>
        <w:overflowPunct w:val="0"/>
        <w:spacing w:line="56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一是无纸化办公成效。全面普及OA协同办公、移动办公系统，严控纸质公文、凭证印制，2025年较上年节约用纸0.3吨，降本减耗成效明显。</w:t>
      </w:r>
    </w:p>
    <w:p>
      <w:pPr>
        <w:overflowPunct w:val="0"/>
        <w:spacing w:line="56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二是节能降耗管理。分批淘汰老旧高耗能办公设备，统一设置办公设备夜间智能关机策略，减少无效电能消耗；常态化开展节能宣传，树立全员低碳办公意识。</w:t>
      </w:r>
    </w:p>
    <w:p>
      <w:pPr>
        <w:overflowPunct w:val="0"/>
        <w:spacing w:line="560" w:lineRule="exact"/>
        <w:ind w:firstLine="70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5"/>
          <w:sz w:val="32"/>
          <w:szCs w:val="32"/>
        </w:rPr>
        <w:t>三是绿色公益宣传。组织员工参与文明创城、义务植树、垃圾分类宣传等志愿活动；普及绿色低碳理念，提升社会环保共</w:t>
      </w:r>
      <w:r>
        <w:rPr>
          <w:rFonts w:hint="eastAsia" w:ascii="仿宋_GB2312" w:hAnsi="仿宋_GB2312" w:eastAsia="仿宋_GB2312" w:cs="仿宋_GB2312"/>
          <w:sz w:val="32"/>
          <w:szCs w:val="32"/>
        </w:rPr>
        <w:t>识。</w:t>
      </w:r>
    </w:p>
    <w:p>
      <w:pPr>
        <w:pStyle w:val="2"/>
        <w:rPr>
          <w:rFonts w:hint="eastAsia"/>
        </w:rPr>
      </w:pPr>
    </w:p>
    <w:p>
      <w:pPr>
        <w:spacing w:line="560" w:lineRule="exact"/>
        <w:ind w:firstLine="640" w:firstLineChars="200"/>
        <w:jc w:val="left"/>
        <w:rPr>
          <w:rFonts w:ascii="黑体" w:hAnsi="黑体" w:eastAsia="黑体"/>
          <w:snapToGrid w:val="0"/>
          <w:kern w:val="0"/>
          <w:sz w:val="32"/>
          <w:szCs w:val="32"/>
        </w:rPr>
      </w:pPr>
      <w:r>
        <w:rPr>
          <w:rFonts w:hint="eastAsia" w:ascii="黑体" w:hAnsi="黑体" w:eastAsia="黑体"/>
          <w:snapToGrid w:val="0"/>
          <w:kern w:val="0"/>
          <w:sz w:val="32"/>
          <w:szCs w:val="32"/>
        </w:rPr>
        <w:t>七、研究与交流成果</w:t>
      </w:r>
    </w:p>
    <w:p>
      <w:pPr>
        <w:overflowPunct w:val="0"/>
        <w:spacing w:line="560" w:lineRule="exact"/>
        <w:ind w:firstLine="700" w:firstLineChars="2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无</w:t>
      </w:r>
    </w:p>
    <w:p>
      <w:pPr>
        <w:spacing w:line="560" w:lineRule="exact"/>
        <w:ind w:firstLine="640" w:firstLineChars="200"/>
        <w:jc w:val="left"/>
        <w:rPr>
          <w:rFonts w:ascii="黑体" w:hAnsi="黑体" w:eastAsia="黑体"/>
          <w:snapToGrid w:val="0"/>
          <w:kern w:val="0"/>
          <w:sz w:val="32"/>
          <w:szCs w:val="32"/>
        </w:rPr>
      </w:pPr>
      <w:r>
        <w:rPr>
          <w:rFonts w:hint="eastAsia" w:ascii="黑体" w:hAnsi="黑体" w:eastAsia="黑体"/>
          <w:snapToGrid w:val="0"/>
          <w:kern w:val="0"/>
          <w:sz w:val="32"/>
          <w:szCs w:val="32"/>
        </w:rPr>
        <w:t>八、典型实践和案例</w:t>
      </w:r>
    </w:p>
    <w:p>
      <w:pPr>
        <w:spacing w:line="560"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（一）金融机构绿色金融产品创新案例</w:t>
      </w:r>
    </w:p>
    <w:p>
      <w:pPr>
        <w:pStyle w:val="16"/>
        <w:spacing w:before="0" w:after="0" w:line="560" w:lineRule="exact"/>
        <w:ind w:firstLine="703" w:firstLineChars="200"/>
        <w:rPr>
          <w:rFonts w:ascii="仿宋_GB2312" w:hAnsi="仿宋_GB2312" w:eastAsia="仿宋_GB2312" w:cs="仿宋_GB2312"/>
          <w:spacing w:val="15"/>
          <w:kern w:val="2"/>
          <w:sz w:val="32"/>
          <w:szCs w:val="32"/>
        </w:rPr>
      </w:pPr>
      <w:r>
        <w:rPr>
          <w:rFonts w:hint="eastAsia" w:ascii="仿宋_GB2312" w:hAnsi="仿宋_GB2312" w:eastAsia="仿宋_GB2312" w:cs="仿宋_GB2312"/>
          <w:b/>
          <w:bCs/>
          <w:spacing w:val="15"/>
          <w:kern w:val="2"/>
          <w:sz w:val="32"/>
          <w:szCs w:val="32"/>
        </w:rPr>
        <w:t>1.案例背景。</w:t>
      </w:r>
      <w:r>
        <w:rPr>
          <w:rFonts w:hint="eastAsia" w:ascii="仿宋_GB2312" w:hAnsi="仿宋_GB2312" w:eastAsia="仿宋_GB2312" w:cs="仿宋_GB2312"/>
          <w:spacing w:val="15"/>
          <w:kern w:val="2"/>
          <w:sz w:val="32"/>
          <w:szCs w:val="32"/>
        </w:rPr>
        <w:t>近年来，我联社立足古田县“3+N”特色产业布局，依托宁德市农村生产要素流转服务体系、省联社福农e林平台，坚守“生态优先、绿色发展”理念，将生物多样性保护、生态产品价值实现作为绿色金融核心发力方向。聚焦食用菌、红曲、林竹三大支柱绿色产业，补齐特色产业绿色融资短板，创新本土化绿色信贷产品，优化全流程金融服务，构建适配古田县域、农信专属的生物多样性金融服务体系，助力产业升级与生态保护双向共赢。</w:t>
      </w:r>
    </w:p>
    <w:p>
      <w:pPr>
        <w:pStyle w:val="5"/>
        <w:widowControl/>
        <w:spacing w:beforeAutospacing="0" w:afterAutospacing="0" w:line="560" w:lineRule="exact"/>
        <w:ind w:firstLine="703" w:firstLineChars="200"/>
        <w:rPr>
          <w:rFonts w:ascii="仿宋_GB2312" w:hAnsi="仿宋_GB2312" w:eastAsia="仿宋_GB2312" w:cs="仿宋_GB2312"/>
          <w:spacing w:val="15"/>
          <w:kern w:val="2"/>
          <w:sz w:val="32"/>
          <w:szCs w:val="32"/>
        </w:rPr>
      </w:pPr>
      <w:r>
        <w:rPr>
          <w:rFonts w:hint="eastAsia" w:ascii="仿宋_GB2312" w:hAnsi="仿宋_GB2312" w:eastAsia="仿宋_GB2312" w:cs="仿宋_GB2312"/>
          <w:b/>
          <w:bCs/>
          <w:spacing w:val="15"/>
          <w:kern w:val="2"/>
          <w:sz w:val="32"/>
          <w:szCs w:val="32"/>
        </w:rPr>
        <w:t>2.主要做法。</w:t>
      </w:r>
      <w:r>
        <w:rPr>
          <w:rFonts w:hint="eastAsia" w:ascii="仿宋_GB2312" w:hAnsi="仿宋_GB2312" w:eastAsia="仿宋_GB2312" w:cs="仿宋_GB2312"/>
          <w:spacing w:val="15"/>
          <w:kern w:val="2"/>
          <w:sz w:val="32"/>
          <w:szCs w:val="32"/>
        </w:rPr>
        <w:t>一是深耕产业需求，丰富产品矩阵。围绕食用菌产业绿色转型需求，创新推广“光伏菇棚贷”“福菌贷”两大核心产品，专项支持菇棚光伏改造、新能源烘干设备替换、清洁化生产升级；针对林竹、红曲产业，配套推出“林e贷”“福曲贷”等产品，同时落地“技改贷”服务制造类主体绿色升级，全方位覆盖县域绿色主体融资需求。二是依托要素平台，创新授信模式。深度对接宁德生产要素流转平台与省联社绿金系统，完成菇棚、茶园、林地等生产要素确权建档，将要素规模、交易流水、绿色认证数据转化为授信依据，破解小农户、中小微绿色企业缺抵押物、融资难痛点。三是优化服务体系，降低融资成本。开通绿色审批通道，精简审批流程；落实差异化利率优惠政策，对生态种植、绿色技改主体给予降息扶持；推广“村支部领办合作社+农信授信+要素托管”服务模式，联动产业链上下游主体，推行批量授信、组合授信；同步对接央行绿色再贷款工具，进一步压降绿色主体综合融资成本。</w:t>
      </w:r>
    </w:p>
    <w:p>
      <w:pPr>
        <w:pStyle w:val="16"/>
        <w:spacing w:before="0" w:after="0" w:line="560" w:lineRule="exact"/>
        <w:ind w:firstLine="703" w:firstLineChars="200"/>
        <w:rPr>
          <w:rFonts w:ascii="仿宋_GB2312" w:hAnsi="仿宋_GB2312" w:eastAsia="仿宋_GB2312" w:cs="仿宋_GB2312"/>
          <w:spacing w:val="15"/>
          <w:kern w:val="2"/>
          <w:sz w:val="32"/>
          <w:szCs w:val="32"/>
        </w:rPr>
      </w:pPr>
      <w:r>
        <w:rPr>
          <w:rFonts w:hint="eastAsia" w:ascii="仿宋_GB2312" w:hAnsi="仿宋_GB2312" w:eastAsia="仿宋_GB2312" w:cs="仿宋_GB2312"/>
          <w:b/>
          <w:bCs/>
          <w:spacing w:val="15"/>
          <w:kern w:val="2"/>
          <w:sz w:val="32"/>
          <w:szCs w:val="32"/>
        </w:rPr>
        <w:t>3.实施成效。</w:t>
      </w:r>
      <w:r>
        <w:rPr>
          <w:rFonts w:hint="eastAsia" w:ascii="仿宋_GB2312" w:hAnsi="仿宋_GB2312" w:eastAsia="仿宋_GB2312" w:cs="仿宋_GB2312"/>
          <w:spacing w:val="15"/>
          <w:kern w:val="2"/>
          <w:sz w:val="32"/>
          <w:szCs w:val="32"/>
        </w:rPr>
        <w:t>我联社成功盘活县域闲置菇棚、林地等绿色沉睡资源，打通生态资源向金融资产转化的通道。信贷资金精准投放于食用菌绿色生产、生态竹林养护、有机红曲加工等领域，有效提升区域生物多样性保护成效，降低传统生产模式带来的环境污染问题。同时有效稳固产业链利益联结机制，推动古田食用菌、红曲、水果产业向绿色有机、低碳高效方向转型，实现生态保护、产业增效、农户增收、机构赋能四方共赢，形成可复制、可推广的县域绿色普惠金融实践样板。</w:t>
      </w:r>
    </w:p>
    <w:p>
      <w:pPr>
        <w:spacing w:line="560" w:lineRule="exact"/>
        <w:ind w:firstLine="643"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（二）碳中和银行网点建设情况</w:t>
      </w:r>
    </w:p>
    <w:p>
      <w:pPr>
        <w:overflowPunct w:val="0"/>
        <w:spacing w:line="560" w:lineRule="exact"/>
        <w:ind w:firstLine="1050" w:firstLineChars="3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无</w:t>
      </w:r>
    </w:p>
    <w:p>
      <w:pPr>
        <w:spacing w:line="560" w:lineRule="exact"/>
        <w:ind w:firstLine="640" w:firstLineChars="200"/>
        <w:jc w:val="left"/>
        <w:rPr>
          <w:rFonts w:ascii="仿宋_GB2312" w:hAnsi="仿宋_GB2312" w:eastAsia="仿宋_GB2312" w:cs="仿宋_GB2312"/>
          <w:b/>
          <w:bCs/>
          <w:spacing w:val="15"/>
          <w:sz w:val="32"/>
          <w:szCs w:val="32"/>
        </w:rPr>
      </w:pPr>
      <w:r>
        <w:rPr>
          <w:rFonts w:hint="eastAsia" w:ascii="黑体" w:hAnsi="黑体" w:eastAsia="黑体"/>
          <w:snapToGrid w:val="0"/>
          <w:kern w:val="0"/>
          <w:sz w:val="32"/>
          <w:szCs w:val="32"/>
        </w:rPr>
        <w:t>九、其他信息</w:t>
      </w:r>
    </w:p>
    <w:p>
      <w:pPr>
        <w:overflowPunct w:val="0"/>
        <w:spacing w:line="560" w:lineRule="exact"/>
        <w:ind w:firstLine="1050" w:firstLineChars="300"/>
        <w:jc w:val="left"/>
        <w:rPr>
          <w:rFonts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无</w:t>
      </w:r>
    </w:p>
    <w:p>
      <w:pPr>
        <w:overflowPunct w:val="0"/>
        <w:spacing w:line="578" w:lineRule="exact"/>
        <w:ind w:firstLine="700" w:firstLineChars="200"/>
        <w:rPr>
          <w:rFonts w:ascii="仿宋_GB2312" w:hAnsi="仿宋_GB2312" w:eastAsia="仿宋_GB2312" w:cs="仿宋_GB2312"/>
          <w:spacing w:val="15"/>
          <w:sz w:val="32"/>
          <w:szCs w:val="32"/>
        </w:rPr>
      </w:pPr>
    </w:p>
    <w:p>
      <w:pPr>
        <w:overflowPunct w:val="0"/>
        <w:spacing w:line="578" w:lineRule="exact"/>
        <w:ind w:firstLine="700" w:firstLineChars="200"/>
        <w:rPr>
          <w:rFonts w:ascii="仿宋_GB2312" w:hAnsi="仿宋_GB2312" w:eastAsia="仿宋_GB2312" w:cs="仿宋_GB2312"/>
          <w:spacing w:val="15"/>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162"/>
      <w:rPr>
        <w:rFonts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r>
      <w:rPr>
        <w:rFonts w:eastAsia="Calibri" w:cs="Calibri"/>
        <w:sz w:val="18"/>
        <w:szCs w:val="18"/>
      </w:rP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6C1F8"/>
    <w:multiLevelType w:val="singleLevel"/>
    <w:tmpl w:val="B006C1F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2ZTg1N2JkY2VhMDYxZmQ5NDgxZjFjZjlkNWExNGUifQ=="/>
  </w:docVars>
  <w:rsids>
    <w:rsidRoot w:val="00172A27"/>
    <w:rsid w:val="00004BDE"/>
    <w:rsid w:val="000677D9"/>
    <w:rsid w:val="00081951"/>
    <w:rsid w:val="000A30D2"/>
    <w:rsid w:val="000D5BDA"/>
    <w:rsid w:val="000F73AF"/>
    <w:rsid w:val="00117C69"/>
    <w:rsid w:val="00162523"/>
    <w:rsid w:val="00163196"/>
    <w:rsid w:val="00172A27"/>
    <w:rsid w:val="001D301E"/>
    <w:rsid w:val="00203F2B"/>
    <w:rsid w:val="00204AAA"/>
    <w:rsid w:val="0020625E"/>
    <w:rsid w:val="002443CA"/>
    <w:rsid w:val="0028732A"/>
    <w:rsid w:val="002F677B"/>
    <w:rsid w:val="0034594A"/>
    <w:rsid w:val="003B0C5F"/>
    <w:rsid w:val="00405D83"/>
    <w:rsid w:val="00431226"/>
    <w:rsid w:val="00447B3D"/>
    <w:rsid w:val="00480BE6"/>
    <w:rsid w:val="004B429A"/>
    <w:rsid w:val="00530EAC"/>
    <w:rsid w:val="00544857"/>
    <w:rsid w:val="00561892"/>
    <w:rsid w:val="00566AB6"/>
    <w:rsid w:val="0057334D"/>
    <w:rsid w:val="00576E60"/>
    <w:rsid w:val="00582B3D"/>
    <w:rsid w:val="00592C5D"/>
    <w:rsid w:val="00612486"/>
    <w:rsid w:val="006250E4"/>
    <w:rsid w:val="0067773F"/>
    <w:rsid w:val="00677DF3"/>
    <w:rsid w:val="006D4D95"/>
    <w:rsid w:val="007040D7"/>
    <w:rsid w:val="00716652"/>
    <w:rsid w:val="00734519"/>
    <w:rsid w:val="007E2DD5"/>
    <w:rsid w:val="00807F67"/>
    <w:rsid w:val="00811F24"/>
    <w:rsid w:val="0084325A"/>
    <w:rsid w:val="00890B9B"/>
    <w:rsid w:val="008E66A6"/>
    <w:rsid w:val="008F2C04"/>
    <w:rsid w:val="009006EF"/>
    <w:rsid w:val="009142FD"/>
    <w:rsid w:val="00955354"/>
    <w:rsid w:val="009D084B"/>
    <w:rsid w:val="00A77FE4"/>
    <w:rsid w:val="00AB11B9"/>
    <w:rsid w:val="00AE0916"/>
    <w:rsid w:val="00AE3A0A"/>
    <w:rsid w:val="00AE3C7C"/>
    <w:rsid w:val="00AE6B18"/>
    <w:rsid w:val="00B106DD"/>
    <w:rsid w:val="00B3580A"/>
    <w:rsid w:val="00B55F20"/>
    <w:rsid w:val="00BA0EC7"/>
    <w:rsid w:val="00C0769B"/>
    <w:rsid w:val="00C34686"/>
    <w:rsid w:val="00C4432A"/>
    <w:rsid w:val="00C61EBB"/>
    <w:rsid w:val="00CC30A6"/>
    <w:rsid w:val="00D62727"/>
    <w:rsid w:val="00D6722F"/>
    <w:rsid w:val="00D7130E"/>
    <w:rsid w:val="00D94A70"/>
    <w:rsid w:val="00DD229A"/>
    <w:rsid w:val="00E02EE4"/>
    <w:rsid w:val="00E42605"/>
    <w:rsid w:val="00E855E1"/>
    <w:rsid w:val="00ED1463"/>
    <w:rsid w:val="00EF2926"/>
    <w:rsid w:val="00F0542C"/>
    <w:rsid w:val="00F30EA0"/>
    <w:rsid w:val="00F627CE"/>
    <w:rsid w:val="00FB2474"/>
    <w:rsid w:val="00FE3ABB"/>
    <w:rsid w:val="00FF4DFE"/>
    <w:rsid w:val="00FF7EC7"/>
    <w:rsid w:val="01124EC1"/>
    <w:rsid w:val="0394658D"/>
    <w:rsid w:val="047F2D99"/>
    <w:rsid w:val="085D1E11"/>
    <w:rsid w:val="087150EF"/>
    <w:rsid w:val="092572D4"/>
    <w:rsid w:val="09DE6C5B"/>
    <w:rsid w:val="0B907F82"/>
    <w:rsid w:val="10D6121D"/>
    <w:rsid w:val="16D30781"/>
    <w:rsid w:val="19AD7F51"/>
    <w:rsid w:val="1B566154"/>
    <w:rsid w:val="1C98760D"/>
    <w:rsid w:val="1FB8489F"/>
    <w:rsid w:val="21640FCD"/>
    <w:rsid w:val="216435EB"/>
    <w:rsid w:val="2288435D"/>
    <w:rsid w:val="25650075"/>
    <w:rsid w:val="27BF5F8D"/>
    <w:rsid w:val="2A473745"/>
    <w:rsid w:val="2DEE0AC5"/>
    <w:rsid w:val="2FFD0E93"/>
    <w:rsid w:val="304C1D62"/>
    <w:rsid w:val="30C276BB"/>
    <w:rsid w:val="30D05D96"/>
    <w:rsid w:val="32BE6DFA"/>
    <w:rsid w:val="332133FB"/>
    <w:rsid w:val="33977431"/>
    <w:rsid w:val="348C0943"/>
    <w:rsid w:val="34A672F2"/>
    <w:rsid w:val="359230DC"/>
    <w:rsid w:val="3BB36AD0"/>
    <w:rsid w:val="3C936DD0"/>
    <w:rsid w:val="3FB20241"/>
    <w:rsid w:val="4179559E"/>
    <w:rsid w:val="419224E3"/>
    <w:rsid w:val="423F1A50"/>
    <w:rsid w:val="42613F25"/>
    <w:rsid w:val="46C64100"/>
    <w:rsid w:val="4A057900"/>
    <w:rsid w:val="4C963BE4"/>
    <w:rsid w:val="4F021BCA"/>
    <w:rsid w:val="51AE3AD4"/>
    <w:rsid w:val="57100087"/>
    <w:rsid w:val="5ACE0789"/>
    <w:rsid w:val="5B6634E0"/>
    <w:rsid w:val="5C3910AF"/>
    <w:rsid w:val="625F1208"/>
    <w:rsid w:val="626B2AC3"/>
    <w:rsid w:val="66E3632D"/>
    <w:rsid w:val="680C1875"/>
    <w:rsid w:val="6A80346D"/>
    <w:rsid w:val="6ACE0032"/>
    <w:rsid w:val="6B53068C"/>
    <w:rsid w:val="6BD43284"/>
    <w:rsid w:val="6BF26C0D"/>
    <w:rsid w:val="6D015823"/>
    <w:rsid w:val="727A2107"/>
    <w:rsid w:val="72B575D4"/>
    <w:rsid w:val="739E7757"/>
    <w:rsid w:val="74DF5039"/>
    <w:rsid w:val="75875C2D"/>
    <w:rsid w:val="75B422FE"/>
    <w:rsid w:val="78AF508D"/>
    <w:rsid w:val="7C4902F7"/>
    <w:rsid w:val="7E23750D"/>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pPr>
    <w:rPr>
      <w:sz w:val="18"/>
    </w:rPr>
  </w:style>
  <w:style w:type="paragraph" w:styleId="4">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51"/>
    <w:basedOn w:val="8"/>
    <w:qFormat/>
    <w:uiPriority w:val="0"/>
    <w:rPr>
      <w:rFonts w:hint="eastAsia" w:ascii="宋体" w:hAnsi="宋体" w:eastAsia="宋体" w:cs="宋体"/>
      <w:color w:val="000000"/>
      <w:sz w:val="21"/>
      <w:szCs w:val="21"/>
      <w:u w:val="none"/>
    </w:rPr>
  </w:style>
  <w:style w:type="character" w:customStyle="1" w:styleId="10">
    <w:name w:val="font41"/>
    <w:basedOn w:val="8"/>
    <w:qFormat/>
    <w:uiPriority w:val="0"/>
    <w:rPr>
      <w:rFonts w:hint="eastAsia" w:ascii="宋体" w:hAnsi="宋体" w:eastAsia="宋体" w:cs="宋体"/>
      <w:color w:val="FF0000"/>
      <w:sz w:val="21"/>
      <w:szCs w:val="21"/>
      <w:u w:val="none"/>
    </w:rPr>
  </w:style>
  <w:style w:type="character" w:customStyle="1" w:styleId="11">
    <w:name w:val="font11"/>
    <w:basedOn w:val="8"/>
    <w:qFormat/>
    <w:uiPriority w:val="0"/>
    <w:rPr>
      <w:rFonts w:hint="eastAsia" w:ascii="宋体" w:hAnsi="宋体" w:eastAsia="宋体" w:cs="宋体"/>
      <w:color w:val="000000"/>
      <w:sz w:val="21"/>
      <w:szCs w:val="21"/>
      <w:u w:val="none"/>
    </w:rPr>
  </w:style>
  <w:style w:type="character" w:customStyle="1" w:styleId="12">
    <w:name w:val="font31"/>
    <w:basedOn w:val="8"/>
    <w:qFormat/>
    <w:uiPriority w:val="0"/>
    <w:rPr>
      <w:rFonts w:hint="eastAsia" w:ascii="宋体" w:hAnsi="宋体" w:eastAsia="宋体" w:cs="宋体"/>
      <w:color w:val="000000"/>
      <w:sz w:val="21"/>
      <w:szCs w:val="21"/>
      <w:u w:val="none"/>
    </w:rPr>
  </w:style>
  <w:style w:type="character" w:customStyle="1" w:styleId="13">
    <w:name w:val="font61"/>
    <w:basedOn w:val="8"/>
    <w:qFormat/>
    <w:uiPriority w:val="0"/>
    <w:rPr>
      <w:rFonts w:hint="eastAsia" w:ascii="宋体" w:hAnsi="宋体" w:eastAsia="宋体" w:cs="宋体"/>
      <w:color w:val="FF0000"/>
      <w:sz w:val="21"/>
      <w:szCs w:val="21"/>
      <w:u w:val="none"/>
    </w:rPr>
  </w:style>
  <w:style w:type="character" w:customStyle="1" w:styleId="14">
    <w:name w:val="font21"/>
    <w:basedOn w:val="8"/>
    <w:qFormat/>
    <w:uiPriority w:val="0"/>
    <w:rPr>
      <w:rFonts w:hint="eastAsia" w:ascii="宋体" w:hAnsi="宋体" w:eastAsia="宋体" w:cs="宋体"/>
      <w:color w:val="000000"/>
      <w:sz w:val="21"/>
      <w:szCs w:val="21"/>
      <w:u w:val="none"/>
    </w:rPr>
  </w:style>
  <w:style w:type="character" w:customStyle="1" w:styleId="15">
    <w:name w:val="font01"/>
    <w:basedOn w:val="8"/>
    <w:qFormat/>
    <w:uiPriority w:val="0"/>
    <w:rPr>
      <w:rFonts w:hint="eastAsia" w:ascii="宋体" w:hAnsi="宋体" w:eastAsia="宋体" w:cs="宋体"/>
      <w:color w:val="FF0000"/>
      <w:sz w:val="21"/>
      <w:szCs w:val="21"/>
      <w:u w:val="none"/>
    </w:rPr>
  </w:style>
  <w:style w:type="paragraph" w:customStyle="1" w:styleId="16">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17">
    <w:name w:val="页眉 字符"/>
    <w:basedOn w:val="8"/>
    <w:link w:val="4"/>
    <w:qFormat/>
    <w:uiPriority w:val="0"/>
    <w:rPr>
      <w:rFonts w:ascii="Calibri" w:hAnsi="Calibri" w:cs="Arial"/>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1452</Words>
  <Characters>8277</Characters>
  <Lines>68</Lines>
  <Paragraphs>19</Paragraphs>
  <TotalTime>5</TotalTime>
  <ScaleCrop>false</ScaleCrop>
  <LinksUpToDate>false</LinksUpToDate>
  <CharactersWithSpaces>9710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2026-05-14T10:03:00Z</dcterms:created>
  <dc:creator>ELI-AN00</dc:creator>
  <cp:lastModifiedBy>gtls</cp:lastModifiedBy>
  <dcterms:modified xsi:type="dcterms:W3CDTF">2026-06-30T03:31:21Z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4DA6D0797A5E40C98B8A77D1CECF1B3E_13</vt:lpwstr>
  </property>
  <property fmtid="{D5CDD505-2E9C-101B-9397-08002B2CF9AE}" pid="3" name="KSOProductBuildVer">
    <vt:lpwstr>2052-12.8.2.15209</vt:lpwstr>
  </property>
</Properties>
</file>