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福建农信2025年度社会责任报告</w:t>
      </w:r>
    </w:p>
    <w:p>
      <w:pPr>
        <w:spacing w:line="540" w:lineRule="exact"/>
        <w:ind w:firstLine="643" w:firstLineChars="200"/>
        <w:rPr>
          <w:rFonts w:ascii="仿宋_GB2312" w:hAnsi="仿宋_GB2312" w:eastAsia="仿宋_GB2312" w:cs="仿宋_GB2312"/>
          <w:b/>
          <w:bCs/>
          <w:sz w:val="32"/>
          <w:szCs w:val="32"/>
        </w:rPr>
      </w:pPr>
    </w:p>
    <w:p>
      <w:pPr>
        <w:spacing w:line="540" w:lineRule="exact"/>
        <w:ind w:firstLine="640" w:firstLineChars="200"/>
        <w:rPr>
          <w:rFonts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2025年，福建农信以习近平新时代中国特色社会主义思想为指引，深入学习贯彻习近平总书记在福建考察时的重要讲话精神及习近平同志在闽金融论述与实践，全面落实党的二十大和二十届历次全会精神，</w:t>
      </w:r>
      <w:r>
        <w:rPr>
          <w:rFonts w:hint="eastAsia" w:ascii="仿宋_GB2312" w:hAnsi="仿宋_GB2312" w:eastAsia="仿宋_GB2312" w:cs="仿宋_GB2312"/>
          <w:sz w:val="32"/>
          <w:szCs w:val="32"/>
        </w:rPr>
        <w:t>认真贯彻落实省委、省政府决策部署和</w:t>
      </w:r>
      <w:r>
        <w:rPr>
          <w:rFonts w:ascii="仿宋_GB2312" w:hAnsi="仿宋_GB2312" w:eastAsia="仿宋_GB2312" w:cs="仿宋_GB2312"/>
          <w:sz w:val="32"/>
          <w:szCs w:val="32"/>
        </w:rPr>
        <w:t>监管部门工作要求</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bidi="ar"/>
        </w:rPr>
        <w:t>践行金融工作的政治性与人民性，持续深化拓展“三争”行动，始终坚守“支农支小”战略定位，纵深推进“数字化转型、精细化管理、特色化经营、差异化发展”，</w:t>
      </w:r>
      <w:r>
        <w:rPr>
          <w:rFonts w:hint="eastAsia" w:ascii="仿宋_GB2312" w:hAnsi="仿宋_GB2312" w:eastAsia="仿宋_GB2312" w:cs="仿宋_GB2312"/>
          <w:sz w:val="32"/>
          <w:szCs w:val="32"/>
        </w:rPr>
        <w:t>以ESG治理理念为指引，全面履行社会责任，推动绿色金融发展，助力乡村振兴，</w:t>
      </w:r>
      <w:r>
        <w:rPr>
          <w:rFonts w:hint="eastAsia" w:ascii="仿宋_GB2312" w:hAnsi="仿宋_GB2312" w:eastAsia="仿宋_GB2312" w:cs="仿宋_GB2312"/>
          <w:sz w:val="32"/>
          <w:szCs w:val="32"/>
          <w:lang w:bidi="ar"/>
        </w:rPr>
        <w:t>各项工作稳中有进、进中提质，为福建经济社会高质量发展贡献了坚实的农信力量。</w:t>
      </w:r>
    </w:p>
    <w:p>
      <w:pPr>
        <w:spacing w:line="54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一、福建农信介绍</w:t>
      </w:r>
    </w:p>
    <w:p>
      <w:pPr>
        <w:spacing w:line="540" w:lineRule="exact"/>
        <w:ind w:firstLine="643" w:firstLineChars="200"/>
        <w:outlineLvl w:val="1"/>
        <w:rPr>
          <w:rFonts w:ascii="楷体_GB2312" w:hAnsi="楷体" w:eastAsia="楷体_GB2312" w:cs="楷体"/>
          <w:b/>
          <w:bCs/>
          <w:sz w:val="32"/>
          <w:szCs w:val="32"/>
        </w:rPr>
      </w:pPr>
      <w:r>
        <w:rPr>
          <w:rFonts w:hint="eastAsia" w:ascii="楷体_GB2312" w:hAnsi="楷体" w:eastAsia="楷体_GB2312" w:cs="楷体"/>
          <w:b/>
          <w:bCs/>
          <w:sz w:val="32"/>
          <w:szCs w:val="32"/>
        </w:rPr>
        <w:t>（一）基本情况</w:t>
      </w:r>
    </w:p>
    <w:p>
      <w:pPr>
        <w:spacing w:line="540" w:lineRule="exact"/>
        <w:ind w:firstLine="640" w:firstLineChars="200"/>
      </w:pPr>
      <w:r>
        <w:rPr>
          <w:rFonts w:hint="eastAsia" w:ascii="仿宋_GB2312" w:hAnsi="仿宋_GB2312" w:eastAsia="仿宋_GB2312" w:cs="仿宋_GB2312"/>
          <w:sz w:val="32"/>
          <w:szCs w:val="32"/>
        </w:rPr>
        <w:t>福建农信的源头可追溯至1929年中国共产党在闽西革命根据地领导创办的永定太平区信用合作社，这是全国首批红色信用合作社，为福建农信注入红色基因。1951年8月，福建省第一家农村信用社在福州市郊新店乡成立。2005年7月29日，福建省农村信用社联合社（以下简称“省联社”）正式挂牌成立，作为省政府管理全省农信系统的专门机构，承担对67家农信社、农商银行的管理、指导、协调和服务职能。至2025年末（下同），福建农信资产总额达1.47万亿元，各项存款余额1.15万亿元、各项贷款余额7717亿元，营业网点1874个、农村普惠金融服务点约1万个，从业人员2万多名，住户存款市场份额保持全省首位，涉农、涉林等多项普惠金融指标居全省首位，是全省银行业网点和从业人员最多、服务覆盖最广、支农力度最强的金融机构。全年累计纳税41.67亿元，资本充足率、拨备覆盖率、不良贷款率三项核心监管指标均优于全国农信平均水平，连续五年保持无高风险机构，省联社监管履职评价保持全国农信前列。</w:t>
      </w:r>
    </w:p>
    <w:p>
      <w:pPr>
        <w:pStyle w:val="4"/>
        <w:spacing w:line="540" w:lineRule="exact"/>
        <w:ind w:firstLine="643" w:firstLineChars="200"/>
        <w:rPr>
          <w:rFonts w:ascii="楷体_GB2312" w:hAnsi="楷体" w:eastAsia="楷体_GB2312" w:cs="楷体"/>
          <w:b/>
          <w:bCs/>
          <w:sz w:val="32"/>
          <w:szCs w:val="32"/>
        </w:rPr>
      </w:pPr>
      <w:r>
        <w:rPr>
          <w:rFonts w:hint="eastAsia" w:ascii="楷体_GB2312" w:hAnsi="楷体" w:eastAsia="楷体_GB2312" w:cs="楷体"/>
          <w:b/>
          <w:bCs/>
          <w:sz w:val="32"/>
          <w:szCs w:val="32"/>
        </w:rPr>
        <w:t>（二）获得荣誉</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1.福建农信荣获2025年度福建省金融机构服务乡村振兴考核评估“优秀”等次，福建农信连续6年获此殊荣；</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2.福建农信荣获2024年度福建省银行机构服务民营企业和中小微企业发展激励评价第一档（共2名）；</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3.福建农信依托福农综合服务平台创新推出的农村要素盘活“1231”金融赋能方案，荣获“2024年度福建省金融创新成果项目”二类项目；</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4.福建农信荣获“2025年度福建省金融机构科技金融服务质效评估”优秀等次；</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5.福建农信荣获“2025年度福建省金融机构绿色金融考核评估”优秀等次；</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6.福建农信财会队伍在第六届省会计知识大赛中斩获团体二等奖，是全省唯一获奖的金融机构；</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7.福建农信“农村集体资金‘非现金’结算服务体系”项目，荣获2025年福建省总工会“匠心杯”班组创新创造劳动竞赛“创新应用类”赛道二等奖；</w:t>
      </w:r>
    </w:p>
    <w:p>
      <w:pPr>
        <w:spacing w:line="540" w:lineRule="exact"/>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8.福建农信《“链”上作为 打造支持乡村振兴服务范式》《创新“农票贷” 助力农村集体产权制度改革》入选中国银行业协会《农村中小银行服务乡村全面振兴优秀案例选编》；</w:t>
      </w:r>
    </w:p>
    <w:p>
      <w:pPr>
        <w:spacing w:line="540" w:lineRule="exact"/>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9.福建农信泉州办事处数据中心建设入选中国人民银行福建省分行出版的《福建省金融科技发展行动计划（2023-2025年）实施案例》；</w:t>
      </w:r>
    </w:p>
    <w:p>
      <w:pPr>
        <w:spacing w:line="540" w:lineRule="exact"/>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10.福建农信“公共数据+特色产业构建金融服务新链式”项目获评2025年“数据要素X”大赛福建分赛金融服务赛道优秀奖；</w:t>
      </w:r>
    </w:p>
    <w:p>
      <w:pPr>
        <w:spacing w:line="540" w:lineRule="exact"/>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11.福建农信“企业服务‘0证明’赋能民营经济创新应用”入选国家公共数据“跑起来”示范场景；</w:t>
      </w:r>
    </w:p>
    <w:p>
      <w:pPr>
        <w:spacing w:line="540" w:lineRule="exact"/>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12.福建农信多维数据共融的“泉心”数智体系荣获2025年“数据要素×”大赛金融服务赛道福建省赛一等奖和全国总决赛十强，同时获评全国总决赛商业价值奖；</w:t>
      </w:r>
    </w:p>
    <w:p>
      <w:pPr>
        <w:spacing w:line="540" w:lineRule="exact"/>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13.福建农信课题《净息差底线与金融周期背景下地方法人金融机构经营的适度规模研究》《农金机构行业研究范式探讨》分别获福建省金融学会重点课题一等奖、二等奖。</w:t>
      </w:r>
    </w:p>
    <w:p>
      <w:pPr>
        <w:spacing w:line="54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二、治企有道，筑牢发展“压舱石”</w:t>
      </w:r>
    </w:p>
    <w:p>
      <w:pPr>
        <w:spacing w:line="54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（一）擎旗铸魂，以党建引领把稳前进航向</w:t>
      </w:r>
    </w:p>
    <w:p>
      <w:pPr>
        <w:spacing w:line="540" w:lineRule="exact"/>
        <w:ind w:firstLine="643" w:firstLineChars="200"/>
        <w:outlineLvl w:val="1"/>
        <w:rPr>
          <w:rFonts w:ascii="仿宋_GB2312" w:hAnsi="仿宋_GB2312" w:eastAsia="仿宋_GB2312" w:cs="仿宋_GB2312"/>
          <w:sz w:val="32"/>
          <w:szCs w:val="32"/>
        </w:rPr>
      </w:pPr>
      <w:r>
        <w:rPr>
          <w:rFonts w:hint="eastAsia" w:ascii="仿宋_GB2312" w:hAnsi="仿宋_GB2312" w:eastAsia="仿宋_GB2312" w:cs="仿宋_GB2312"/>
          <w:b/>
          <w:bCs/>
          <w:sz w:val="32"/>
          <w:szCs w:val="32"/>
          <w:lang w:bidi="ar"/>
        </w:rPr>
        <w:t>1.坚持党建引领，把牢政治发展方向。</w:t>
      </w:r>
      <w:r>
        <w:rPr>
          <w:rFonts w:hint="eastAsia" w:ascii="仿宋_GB2312" w:hAnsi="仿宋_GB2312" w:eastAsia="仿宋_GB2312" w:cs="仿宋_GB2312"/>
          <w:sz w:val="32"/>
          <w:szCs w:val="32"/>
        </w:rPr>
        <w:t>坚决贯彻落实党中央决策部署和省委工作要求，进一步规范“三重一大”决策事项及党委前置清单。</w:t>
      </w:r>
      <w:r>
        <w:rPr>
          <w:rFonts w:hint="eastAsia" w:ascii="仿宋_GB2312" w:hAnsi="仿宋_GB2312" w:eastAsia="仿宋_GB2312" w:cs="仿宋_GB2312"/>
          <w:sz w:val="32"/>
          <w:szCs w:val="32"/>
          <w:lang w:bidi="ar"/>
        </w:rPr>
        <w:t>严格落实“第一议题”制度，</w:t>
      </w:r>
      <w:r>
        <w:rPr>
          <w:rFonts w:hint="eastAsia" w:ascii="仿宋_GB2312" w:hAnsi="仿宋_GB2312" w:eastAsia="仿宋_GB2312" w:cs="仿宋_GB2312"/>
          <w:sz w:val="32"/>
          <w:szCs w:val="32"/>
        </w:rPr>
        <w:t>扎实开展深入贯彻中央八项规定精神学习教育，深入学习宣传贯彻习近平同志在闽金融论述与实践，承办全省金融系统宣讲活动，推动理论学习走深走实。</w:t>
      </w:r>
    </w:p>
    <w:p>
      <w:pPr>
        <w:spacing w:line="540" w:lineRule="exact"/>
        <w:ind w:firstLine="643" w:firstLineChars="200"/>
        <w:outlineLvl w:val="2"/>
        <w:rPr>
          <w:rFonts w:ascii="仿宋_GB2312" w:hAnsi="仿宋_GB2312" w:eastAsia="仿宋_GB2312" w:cs="仿宋_GB2312"/>
          <w:sz w:val="32"/>
          <w:szCs w:val="32"/>
          <w:lang w:bidi="ar"/>
        </w:rPr>
      </w:pPr>
      <w:r>
        <w:rPr>
          <w:rFonts w:hint="eastAsia" w:ascii="仿宋_GB2312" w:hAnsi="仿宋_GB2312" w:eastAsia="仿宋_GB2312" w:cs="仿宋_GB2312"/>
          <w:b/>
          <w:bCs/>
          <w:sz w:val="32"/>
          <w:szCs w:val="32"/>
          <w:lang w:bidi="ar"/>
        </w:rPr>
        <w:t>2.深化党业融合，持续</w:t>
      </w:r>
      <w:r>
        <w:rPr>
          <w:rFonts w:hint="eastAsia" w:ascii="仿宋_GB2312" w:hAnsi="仿宋_GB2312" w:eastAsia="仿宋_GB2312" w:cs="仿宋_GB2312"/>
          <w:b/>
          <w:bCs/>
          <w:sz w:val="32"/>
          <w:szCs w:val="32"/>
        </w:rPr>
        <w:t>夯实战斗堡垒</w:t>
      </w:r>
      <w:r>
        <w:rPr>
          <w:rFonts w:hint="eastAsia" w:ascii="仿宋_GB2312" w:hAnsi="仿宋_GB2312" w:eastAsia="仿宋_GB2312" w:cs="仿宋_GB2312"/>
          <w:b/>
          <w:bCs/>
          <w:sz w:val="32"/>
          <w:szCs w:val="32"/>
          <w:lang w:bidi="ar"/>
        </w:rPr>
        <w:t>。</w:t>
      </w:r>
      <w:r>
        <w:rPr>
          <w:rFonts w:hint="eastAsia" w:ascii="仿宋_GB2312" w:hAnsi="仿宋_GB2312" w:eastAsia="仿宋_GB2312" w:cs="仿宋_GB2312"/>
          <w:sz w:val="32"/>
          <w:szCs w:val="32"/>
        </w:rPr>
        <w:t>深入实施“党建+金融助理+多社融合”战略工程，对接党政机构、涉农部门、村级组织，开展党建共建1524次，推动构建“乡村振兴市场共同体”</w:t>
      </w:r>
      <w:r>
        <w:rPr>
          <w:rFonts w:hint="eastAsia" w:ascii="仿宋_GB2312" w:hAnsi="仿宋_GB2312" w:eastAsia="仿宋_GB2312" w:cs="仿宋_GB2312"/>
          <w:sz w:val="32"/>
          <w:szCs w:val="32"/>
          <w:lang w:bidi="ar"/>
        </w:rPr>
        <w:t>。</w:t>
      </w:r>
      <w:r>
        <w:rPr>
          <w:rFonts w:hint="eastAsia" w:ascii="仿宋_GB2312" w:hAnsi="仿宋_GB2312" w:eastAsia="仿宋_GB2312" w:cs="仿宋_GB2312"/>
          <w:sz w:val="32"/>
          <w:szCs w:val="32"/>
        </w:rPr>
        <w:t>联合组织部门等选派6400多名金融助理员，与驻村第一书记、科技特派员、乡村振兴指导员构建形成“一书记三大员”工作机制，有效发挥多社融合联络员、金融政策宣传员、增收致富辅导员、基层治理协理员作用。</w:t>
      </w:r>
    </w:p>
    <w:p>
      <w:pPr>
        <w:spacing w:line="540" w:lineRule="exact"/>
        <w:ind w:firstLine="643" w:firstLineChars="200"/>
        <w:outlineLvl w:val="2"/>
        <w:rPr>
          <w:rFonts w:ascii="仿宋_GB2312" w:hAnsi="仿宋_GB2312" w:eastAsia="仿宋_GB2312" w:cs="仿宋_GB2312"/>
          <w:sz w:val="32"/>
          <w:szCs w:val="32"/>
        </w:rPr>
      </w:pPr>
      <w:r>
        <w:rPr>
          <w:rFonts w:hint="eastAsia" w:ascii="仿宋_GB2312" w:hAnsi="仿宋_GB2312" w:eastAsia="仿宋_GB2312" w:cs="仿宋_GB2312"/>
          <w:b/>
          <w:sz w:val="32"/>
          <w:szCs w:val="32"/>
        </w:rPr>
        <w:t>3.强化品牌管理，守牢意识形态阵地。</w:t>
      </w:r>
      <w:r>
        <w:rPr>
          <w:rFonts w:hint="eastAsia" w:ascii="仿宋_GB2312" w:hAnsi="仿宋_GB2312" w:eastAsia="仿宋_GB2312" w:cs="仿宋_GB2312"/>
          <w:color w:val="000000"/>
          <w:sz w:val="32"/>
          <w:szCs w:val="32"/>
        </w:rPr>
        <w:t>按照党管宣传、党管意识形态的原则，加强宣传工作协同联动，形成“上下贯通、同频共振”的传播闭环。持续做好党的二十届四中全会精神等常态化政治宣传，深入宣传中国特色金融文化。以政务信息为载体，传</w:t>
      </w:r>
      <w:bookmarkStart w:id="0" w:name="_GoBack"/>
      <w:bookmarkEnd w:id="0"/>
      <w:r>
        <w:rPr>
          <w:rFonts w:hint="eastAsia" w:ascii="仿宋_GB2312" w:hAnsi="仿宋_GB2312" w:eastAsia="仿宋_GB2312" w:cs="仿宋_GB2312"/>
          <w:color w:val="000000"/>
          <w:sz w:val="32"/>
          <w:szCs w:val="32"/>
        </w:rPr>
        <w:t>递农信成效、服务上级决策，彰显福建农信价值与担当。</w:t>
      </w:r>
    </w:p>
    <w:p>
      <w:pPr>
        <w:spacing w:line="54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（二）固本强基，以治理赋能筑牢发展根基</w:t>
      </w:r>
    </w:p>
    <w:p>
      <w:pPr>
        <w:spacing w:line="540" w:lineRule="exact"/>
        <w:ind w:firstLine="643" w:firstLineChars="200"/>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1.持续规范公司治理。</w:t>
      </w:r>
      <w:r>
        <w:rPr>
          <w:rFonts w:hint="eastAsia" w:ascii="仿宋_GB2312" w:hAnsi="仿宋_GB2312" w:eastAsia="仿宋_GB2312" w:cs="仿宋_GB2312"/>
          <w:bCs/>
          <w:color w:val="000000"/>
          <w:sz w:val="32"/>
          <w:szCs w:val="32"/>
        </w:rPr>
        <w:t>组织开展省联社理事年度履职评价工作，科学设定提案质量、决策水平等多维度的评价指标体系，强化董理事履职规范与保障。</w:t>
      </w:r>
      <w:r>
        <w:rPr>
          <w:rFonts w:hint="eastAsia" w:ascii="仿宋_GB2312" w:hAnsi="仿宋_GB2312" w:eastAsia="仿宋_GB2312" w:cs="仿宋_GB2312"/>
          <w:color w:val="000000"/>
          <w:sz w:val="32"/>
          <w:szCs w:val="32"/>
        </w:rPr>
        <w:t>开展公司治理专项排查和公司治理提升三年行动收官工作，修订规范“三重一大”“党委前置”制度，规范民主决策，提高科学决策水平。</w:t>
      </w:r>
    </w:p>
    <w:p>
      <w:pPr>
        <w:spacing w:line="540" w:lineRule="exact"/>
        <w:ind w:firstLine="643" w:firstLineChars="200"/>
        <w:rPr>
          <w:rFonts w:ascii="仿宋_GB2312" w:hAnsi="仿宋_GB2312" w:eastAsia="仿宋_GB2312" w:cs="仿宋_GB2312"/>
          <w:color w:val="000000"/>
          <w:sz w:val="32"/>
          <w:szCs w:val="32"/>
        </w:rPr>
      </w:pPr>
      <w:r>
        <w:rPr>
          <w:rFonts w:hint="eastAsia" w:ascii="仿宋_GB2312" w:eastAsia="仿宋_GB2312"/>
          <w:b/>
          <w:bCs/>
          <w:sz w:val="32"/>
          <w:szCs w:val="32"/>
        </w:rPr>
        <w:t>2.</w:t>
      </w:r>
      <w:r>
        <w:rPr>
          <w:rFonts w:hint="eastAsia" w:ascii="仿宋_GB2312" w:hAnsi="Courier New" w:eastAsia="仿宋_GB2312" w:cs="Courier New"/>
          <w:b/>
          <w:color w:val="000000"/>
          <w:sz w:val="32"/>
          <w:szCs w:val="32"/>
        </w:rPr>
        <w:t>完善内部治理体系。</w:t>
      </w:r>
      <w:r>
        <w:rPr>
          <w:rFonts w:hint="eastAsia" w:ascii="仿宋_GB2312" w:eastAsia="仿宋_GB2312"/>
          <w:sz w:val="32"/>
          <w:szCs w:val="32"/>
        </w:rPr>
        <w:t>做实提速“全省一盘棋、农信一家亲”的机制建设，</w:t>
      </w:r>
      <w:r>
        <w:rPr>
          <w:rFonts w:hint="eastAsia" w:ascii="仿宋_GB2312" w:eastAsia="仿宋_GB2312" w:cs="Courier New"/>
          <w:bCs/>
          <w:color w:val="000000"/>
          <w:sz w:val="32"/>
          <w:szCs w:val="32"/>
        </w:rPr>
        <w:t>重点建立健全全面监督体系、完善科技研发工作体系、优化省联社职能架构和派出机构工作体系；</w:t>
      </w:r>
      <w:r>
        <w:rPr>
          <w:rFonts w:hint="eastAsia" w:ascii="仿宋_GB2312" w:hAnsi="Courier New" w:eastAsia="仿宋_GB2312" w:cs="Courier New"/>
          <w:bCs/>
          <w:color w:val="000000"/>
          <w:sz w:val="32"/>
          <w:szCs w:val="32"/>
        </w:rPr>
        <w:t>制订完善监事会改革方案，梳理改革时间安排、审计委员会议事规则等，并配套修订福建农信示范章程</w:t>
      </w:r>
      <w:r>
        <w:rPr>
          <w:rFonts w:hint="eastAsia" w:ascii="仿宋_GB2312" w:hAnsi="仿宋_GB2312" w:eastAsia="仿宋_GB2312" w:cs="仿宋_GB2312"/>
          <w:color w:val="000000"/>
          <w:sz w:val="32"/>
          <w:szCs w:val="32"/>
        </w:rPr>
        <w:t>。</w:t>
      </w:r>
    </w:p>
    <w:p>
      <w:pPr>
        <w:spacing w:line="540" w:lineRule="exact"/>
        <w:ind w:firstLine="643" w:firstLineChars="200"/>
        <w:rPr>
          <w:rFonts w:ascii="仿宋_GB2312" w:eastAsia="仿宋_GB2312" w:cs="Courier New"/>
          <w:bCs/>
          <w:color w:val="000000"/>
          <w:sz w:val="32"/>
          <w:szCs w:val="32"/>
        </w:rPr>
      </w:pPr>
      <w:r>
        <w:rPr>
          <w:rFonts w:hint="eastAsia" w:ascii="仿宋_GB2312" w:hAnsi="仿宋_GB2312" w:eastAsia="仿宋_GB2312"/>
          <w:b/>
          <w:color w:val="000000"/>
          <w:sz w:val="32"/>
          <w:szCs w:val="32"/>
        </w:rPr>
        <w:t>3.</w:t>
      </w:r>
      <w:r>
        <w:rPr>
          <w:rFonts w:hint="eastAsia" w:ascii="仿宋_GB2312" w:hAnsi="Courier New" w:eastAsia="仿宋_GB2312" w:cs="Courier New"/>
          <w:b/>
          <w:color w:val="000000"/>
          <w:sz w:val="32"/>
          <w:szCs w:val="32"/>
        </w:rPr>
        <w:t>推进村镇银行改革</w:t>
      </w:r>
      <w:r>
        <w:rPr>
          <w:rFonts w:hint="eastAsia" w:ascii="仿宋_GB2312" w:hAnsi="仿宋_GB2312" w:eastAsia="仿宋_GB2312"/>
          <w:b/>
          <w:color w:val="000000"/>
          <w:sz w:val="32"/>
          <w:szCs w:val="32"/>
        </w:rPr>
        <w:t>。</w:t>
      </w:r>
      <w:r>
        <w:rPr>
          <w:rFonts w:hint="eastAsia" w:ascii="仿宋_GB2312" w:eastAsia="仿宋_GB2312" w:cs="Courier New"/>
          <w:bCs/>
          <w:color w:val="000000"/>
          <w:sz w:val="32"/>
          <w:szCs w:val="32"/>
        </w:rPr>
        <w:t>完成15家村镇银行主发起行变更置换，3家村镇银行改制为支行，并启动新一批“村改支”工作，村镇银行减量提质取得实质性进展。</w:t>
      </w:r>
    </w:p>
    <w:p>
      <w:pPr>
        <w:spacing w:line="54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（三）守正护航，以合规经营织密风险防线</w:t>
      </w:r>
    </w:p>
    <w:p>
      <w:pPr>
        <w:widowControl/>
        <w:spacing w:line="54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1.组织合规专业培训。</w:t>
      </w:r>
      <w:r>
        <w:rPr>
          <w:rFonts w:hint="eastAsia" w:ascii="仿宋_GB2312" w:hAnsi="仿宋_GB2312" w:eastAsia="仿宋_GB2312" w:cs="仿宋_GB2312"/>
          <w:sz w:val="32"/>
          <w:szCs w:val="32"/>
        </w:rPr>
        <w:t>举办全省合规条线培训班，邀请省高院、监管及同业专家进行授课；组织员工参加</w:t>
      </w:r>
      <w:r>
        <w:rPr>
          <w:rFonts w:hint="eastAsia" w:ascii="仿宋_GB2312" w:eastAsia="仿宋_GB2312" w:cs="仿宋_GB2312"/>
          <w:color w:val="000000"/>
          <w:kern w:val="0"/>
          <w:sz w:val="32"/>
          <w:szCs w:val="32"/>
          <w:lang w:bidi="ar"/>
        </w:rPr>
        <w:t>“</w:t>
      </w:r>
      <w:r>
        <w:rPr>
          <w:rFonts w:hint="eastAsia" w:ascii="仿宋_GB2312" w:hAnsi="仿宋_GB2312" w:eastAsia="仿宋_GB2312" w:cs="仿宋_GB2312"/>
          <w:sz w:val="32"/>
          <w:szCs w:val="32"/>
        </w:rPr>
        <w:t>2025年度辖区农村中小机构高级管理人员合规培训班</w:t>
      </w:r>
      <w:r>
        <w:rPr>
          <w:rFonts w:hint="eastAsia" w:ascii="仿宋_GB2312" w:eastAsia="仿宋_GB2312" w:cs="仿宋_GB2312"/>
          <w:color w:val="000000"/>
          <w:kern w:val="0"/>
          <w:sz w:val="32"/>
          <w:szCs w:val="32"/>
          <w:lang w:bidi="ar"/>
        </w:rPr>
        <w:t>”</w:t>
      </w:r>
      <w:r>
        <w:rPr>
          <w:rFonts w:hint="eastAsia" w:ascii="仿宋_GB2312" w:hAnsi="仿宋_GB2312" w:eastAsia="仿宋_GB2312" w:cs="仿宋_GB2312"/>
          <w:sz w:val="32"/>
          <w:szCs w:val="32"/>
        </w:rPr>
        <w:t>“</w:t>
      </w:r>
      <w:r>
        <w:rPr>
          <w:rFonts w:hint="eastAsia" w:ascii="仿宋_GB2312" w:eastAsia="仿宋_GB2312"/>
          <w:sz w:val="32"/>
          <w:szCs w:val="32"/>
          <w:lang w:bidi="ar"/>
        </w:rPr>
        <w:t>2025年商业银行合规管理与案件风险培训班</w:t>
      </w:r>
      <w:r>
        <w:rPr>
          <w:rFonts w:ascii="仿宋_GB2312" w:hAnsi="仿宋_GB2312" w:eastAsia="仿宋_GB2312" w:cs="仿宋_GB2312"/>
          <w:sz w:val="32"/>
          <w:szCs w:val="32"/>
        </w:rPr>
        <w:t>”</w:t>
      </w:r>
      <w:r>
        <w:rPr>
          <w:rFonts w:hint="eastAsia" w:ascii="仿宋_GB2312" w:eastAsia="仿宋_GB2312"/>
          <w:sz w:val="32"/>
          <w:szCs w:val="32"/>
          <w:lang w:bidi="ar"/>
        </w:rPr>
        <w:t>等培训，提升行社合规经营与案件防控能力</w:t>
      </w:r>
      <w:r>
        <w:rPr>
          <w:rFonts w:hint="eastAsia" w:ascii="仿宋_GB2312" w:hAnsi="仿宋_GB2312" w:eastAsia="仿宋_GB2312" w:cs="仿宋_GB2312"/>
          <w:sz w:val="32"/>
          <w:szCs w:val="32"/>
        </w:rPr>
        <w:t>。聚焦“新员工合规教育、中层干部合规深化、高管合规管理战略”三个层次需求，完成10门合规精品课程研发。</w:t>
      </w:r>
    </w:p>
    <w:p>
      <w:pPr>
        <w:spacing w:line="54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2.</w:t>
      </w:r>
      <w:r>
        <w:rPr>
          <w:rFonts w:ascii="仿宋_GB2312" w:hAnsi="仿宋_GB2312" w:eastAsia="仿宋_GB2312" w:cs="仿宋_GB2312"/>
          <w:b/>
          <w:bCs/>
          <w:sz w:val="32"/>
          <w:szCs w:val="32"/>
        </w:rPr>
        <w:t>推进数字</w:t>
      </w:r>
      <w:r>
        <w:rPr>
          <w:rFonts w:hint="eastAsia" w:ascii="仿宋_GB2312" w:hAnsi="仿宋_GB2312" w:eastAsia="仿宋_GB2312" w:cs="仿宋_GB2312"/>
          <w:b/>
          <w:bCs/>
          <w:sz w:val="32"/>
          <w:szCs w:val="32"/>
        </w:rPr>
        <w:t>风险防控。</w:t>
      </w:r>
      <w:r>
        <w:rPr>
          <w:rFonts w:hint="eastAsia" w:ascii="仿宋_GB2312" w:hAnsi="仿宋_GB2312" w:eastAsia="仿宋_GB2312" w:cs="仿宋_GB2312"/>
          <w:sz w:val="32"/>
          <w:szCs w:val="32"/>
          <w:lang w:bidi="ar"/>
        </w:rPr>
        <w:t>构建“人控+制控+技控”风险管理模式，信用风控中台投产运行，通过“风控仪”实现信贷重点环节实时预警，从源头遏制风险滋生。建立防“爆雷”长效机制，牢牢守住不发生系统性风险的底线。</w:t>
      </w:r>
      <w:r>
        <w:rPr>
          <w:rFonts w:ascii="仿宋_GB2312" w:eastAsia="仿宋_GB2312" w:cs="仿宋_GB2312"/>
          <w:sz w:val="32"/>
          <w:szCs w:val="32"/>
          <w:lang w:bidi="ar"/>
        </w:rPr>
        <w:t>上线</w:t>
      </w:r>
      <w:r>
        <w:rPr>
          <w:rFonts w:hint="eastAsia" w:ascii="仿宋_GB2312" w:eastAsia="仿宋_GB2312" w:cs="仿宋_GB2312"/>
          <w:sz w:val="32"/>
          <w:szCs w:val="32"/>
          <w:lang w:bidi="ar"/>
        </w:rPr>
        <w:t>不良贷款管理系统</w:t>
      </w:r>
      <w:r>
        <w:rPr>
          <w:rFonts w:ascii="仿宋_GB2312" w:eastAsia="仿宋_GB2312" w:cs="仿宋_GB2312"/>
          <w:sz w:val="32"/>
          <w:szCs w:val="32"/>
          <w:lang w:bidi="ar"/>
        </w:rPr>
        <w:t>，做到</w:t>
      </w:r>
      <w:r>
        <w:rPr>
          <w:rFonts w:hint="eastAsia" w:ascii="仿宋_GB2312" w:eastAsia="仿宋_GB2312" w:cs="仿宋_GB2312"/>
          <w:sz w:val="32"/>
          <w:szCs w:val="32"/>
          <w:lang w:bidi="ar"/>
        </w:rPr>
        <w:t>“</w:t>
      </w:r>
      <w:r>
        <w:rPr>
          <w:rFonts w:ascii="仿宋_GB2312" w:eastAsia="仿宋_GB2312" w:cs="仿宋_GB2312"/>
          <w:sz w:val="32"/>
          <w:szCs w:val="32"/>
          <w:lang w:bidi="ar"/>
        </w:rPr>
        <w:t>过程+结果</w:t>
      </w:r>
      <w:r>
        <w:rPr>
          <w:rFonts w:hint="eastAsia" w:ascii="仿宋_GB2312" w:eastAsia="仿宋_GB2312" w:cs="仿宋_GB2312"/>
          <w:sz w:val="32"/>
          <w:szCs w:val="32"/>
          <w:lang w:bidi="ar"/>
        </w:rPr>
        <w:t>”双</w:t>
      </w:r>
      <w:r>
        <w:rPr>
          <w:rFonts w:ascii="仿宋_GB2312" w:eastAsia="仿宋_GB2312" w:cs="仿宋_GB2312"/>
          <w:sz w:val="32"/>
          <w:szCs w:val="32"/>
          <w:lang w:bidi="ar"/>
        </w:rPr>
        <w:t>管控。</w:t>
      </w:r>
    </w:p>
    <w:p>
      <w:pPr>
        <w:spacing w:line="540" w:lineRule="exact"/>
        <w:ind w:firstLine="643" w:firstLineChars="200"/>
        <w:rPr>
          <w:rFonts w:ascii="仿宋_GB2312" w:hAnsi="仿宋_GB2312" w:eastAsia="仿宋_GB2312" w:cs="仿宋_GB2312"/>
          <w:sz w:val="32"/>
          <w:szCs w:val="32"/>
          <w:lang w:bidi="ar"/>
        </w:rPr>
      </w:pPr>
      <w:r>
        <w:rPr>
          <w:rFonts w:hint="eastAsia" w:ascii="仿宋_GB2312" w:hAnsi="仿宋_GB2312" w:eastAsia="仿宋_GB2312" w:cs="仿宋_GB2312"/>
          <w:b/>
          <w:bCs/>
          <w:sz w:val="32"/>
          <w:szCs w:val="32"/>
        </w:rPr>
        <w:t>3.打击金融“黑灰产”。</w:t>
      </w:r>
      <w:r>
        <w:rPr>
          <w:rFonts w:hint="eastAsia" w:ascii="仿宋_GB2312" w:hAnsi="仿宋_GB2312" w:eastAsia="仿宋_GB2312" w:cs="仿宋_GB2312"/>
          <w:sz w:val="32"/>
          <w:szCs w:val="32"/>
        </w:rPr>
        <w:t>组织开展“职业背债人”专项排查，</w:t>
      </w:r>
      <w:r>
        <w:rPr>
          <w:rFonts w:hint="eastAsia" w:ascii="仿宋_GB2312" w:hAnsi="仿宋_GB2312" w:eastAsia="仿宋_GB2312" w:cs="仿宋_GB2312"/>
          <w:sz w:val="32"/>
          <w:szCs w:val="32"/>
          <w:lang w:bidi="ar"/>
        </w:rPr>
        <w:t>相关工作经验获监管部门认可，</w:t>
      </w:r>
      <w:r>
        <w:rPr>
          <w:rFonts w:hint="eastAsia" w:ascii="仿宋_GB2312" w:hAnsi="仿宋_GB2312" w:eastAsia="仿宋_GB2312" w:cs="仿宋_GB2312"/>
          <w:sz w:val="32"/>
          <w:szCs w:val="32"/>
        </w:rPr>
        <w:t>作为全国唯一银行类机构在公安部、监管总局联合会议上作经验交流</w:t>
      </w:r>
      <w:r>
        <w:rPr>
          <w:rFonts w:hint="eastAsia" w:ascii="仿宋_GB2312" w:hAnsi="仿宋_GB2312" w:eastAsia="仿宋_GB2312" w:cs="仿宋_GB2312"/>
          <w:sz w:val="32"/>
          <w:szCs w:val="32"/>
          <w:lang w:bidi="ar"/>
        </w:rPr>
        <w:t>。开展反电诈“资金链”治理，涉案账户同比下降超20%，保护潜在受害者资金超40亿元。</w:t>
      </w:r>
    </w:p>
    <w:p>
      <w:pPr>
        <w:spacing w:line="54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三、深耕本土，浇灌实体“繁茂林”</w:t>
      </w:r>
    </w:p>
    <w:p>
      <w:pPr>
        <w:spacing w:line="54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（一）深耕不辍，为三农发展增添动力</w:t>
      </w:r>
    </w:p>
    <w:p>
      <w:pPr>
        <w:spacing w:line="54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1.筑牢乡村振兴金融根基。</w:t>
      </w:r>
      <w:r>
        <w:rPr>
          <w:rFonts w:hint="eastAsia" w:ascii="仿宋_GB2312" w:hAnsi="仿宋_GB2312" w:eastAsia="仿宋_GB2312" w:cs="仿宋_GB2312"/>
          <w:sz w:val="32"/>
          <w:szCs w:val="32"/>
        </w:rPr>
        <w:t>推动乡村振兴农信元素——“金融助理员”写入省委一号文件，“福建农信助力乡村振兴工程”纳入省委实施乡村振兴战略十大行动重点任务，“完善金融助理员制度”纳入农业农村体制机制改革专项工作小组2025年工作要点。涉农贷款余额超47</w:t>
      </w:r>
      <w:r>
        <w:rPr>
          <w:rFonts w:ascii="仿宋_GB2312" w:hAnsi="仿宋_GB2312" w:eastAsia="仿宋_GB2312" w:cs="仿宋_GB2312"/>
          <w:sz w:val="32"/>
          <w:szCs w:val="32"/>
        </w:rPr>
        <w:t>00</w:t>
      </w:r>
      <w:r>
        <w:rPr>
          <w:rFonts w:hint="eastAsia" w:ascii="仿宋_GB2312" w:hAnsi="仿宋_GB2312" w:eastAsia="仿宋_GB2312" w:cs="仿宋_GB2312"/>
          <w:sz w:val="32"/>
          <w:szCs w:val="32"/>
        </w:rPr>
        <w:t>亿元，完成“涉农贷款余额持续增长”监管要求；普惠型涉农贷款余额超3500</w:t>
      </w:r>
      <w:r>
        <w:rPr>
          <w:rFonts w:ascii="仿宋_GB2312" w:hAnsi="仿宋_GB2312" w:eastAsia="仿宋_GB2312" w:cs="仿宋_GB2312"/>
          <w:sz w:val="32"/>
          <w:szCs w:val="32"/>
        </w:rPr>
        <w:t>亿元。</w:t>
      </w:r>
    </w:p>
    <w:p>
      <w:pPr>
        <w:spacing w:line="54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2.提升乡村服务普惠效能。</w:t>
      </w:r>
      <w:r>
        <w:rPr>
          <w:rFonts w:hint="eastAsia" w:ascii="仿宋_GB2312" w:hAnsi="仿宋_GB2312" w:eastAsia="仿宋_GB2312" w:cs="仿宋_GB2312"/>
          <w:sz w:val="32"/>
          <w:szCs w:val="32"/>
        </w:rPr>
        <w:t>主动融入我省“千村示范引领、万村共富共美”工程建设，开发“福农e村”系统，累计服务乡村振兴示范村、“一村一品”专业村等乡村振兴重点村超</w:t>
      </w:r>
      <w:r>
        <w:rPr>
          <w:rFonts w:ascii="仿宋_GB2312" w:hAnsi="仿宋_GB2312" w:eastAsia="仿宋_GB2312" w:cs="仿宋_GB2312"/>
          <w:sz w:val="32"/>
          <w:szCs w:val="32"/>
        </w:rPr>
        <w:t>3400个。</w:t>
      </w:r>
      <w:r>
        <w:rPr>
          <w:rFonts w:hint="eastAsia" w:ascii="仿宋_GB2312" w:hAnsi="仿宋_GB2312" w:eastAsia="仿宋_GB2312" w:cs="仿宋_GB2312"/>
          <w:sz w:val="32"/>
          <w:szCs w:val="32"/>
        </w:rPr>
        <w:t>与省财政厅联合推广“福农e政2.0”，累计通过“福农e政”代发惠民惠农资金补贴超150亿元，惠及超3100万人次。</w:t>
      </w:r>
    </w:p>
    <w:p>
      <w:pPr>
        <w:pStyle w:val="9"/>
        <w:widowControl/>
        <w:spacing w:beforeAutospacing="0" w:afterAutospacing="0" w:line="540" w:lineRule="exact"/>
        <w:ind w:firstLine="643" w:firstLineChars="200"/>
        <w:jc w:val="both"/>
      </w:pPr>
      <w:r>
        <w:rPr>
          <w:rFonts w:hint="eastAsia" w:ascii="仿宋_GB2312" w:eastAsia="仿宋_GB2312" w:cs="仿宋_GB2312"/>
          <w:b/>
          <w:bCs/>
          <w:sz w:val="32"/>
          <w:szCs w:val="32"/>
          <w:lang w:bidi="ar"/>
        </w:rPr>
        <w:t>3.</w:t>
      </w:r>
      <w:r>
        <w:rPr>
          <w:rFonts w:hint="eastAsia" w:ascii="仿宋_GB2312" w:hAnsi="仿宋_GB2312" w:eastAsia="仿宋_GB2312" w:cs="仿宋_GB2312"/>
          <w:b/>
          <w:bCs/>
          <w:sz w:val="32"/>
          <w:szCs w:val="32"/>
        </w:rPr>
        <w:t>推动资源要素价值转化</w:t>
      </w:r>
      <w:r>
        <w:rPr>
          <w:rFonts w:hint="eastAsia" w:ascii="仿宋_GB2312" w:eastAsia="仿宋_GB2312" w:cs="仿宋_GB2312"/>
          <w:b/>
          <w:bCs/>
          <w:sz w:val="32"/>
          <w:szCs w:val="32"/>
          <w:lang w:bidi="ar"/>
        </w:rPr>
        <w:t>。</w:t>
      </w:r>
      <w:r>
        <w:rPr>
          <w:rFonts w:hint="eastAsia" w:ascii="仿宋_GB2312" w:hAnsi="仿宋_GB2312" w:eastAsia="仿宋_GB2312" w:cs="仿宋_GB2312"/>
          <w:sz w:val="32"/>
          <w:szCs w:val="32"/>
        </w:rPr>
        <w:t>自主开发福农综合服务平台，打造“三资”、农村产权、林业、新农主体等特色运用系统，激活农村“沉睡”资产，促进农村资源要素价值向经济价值转化，信贷户数超</w:t>
      </w:r>
      <w:r>
        <w:rPr>
          <w:rFonts w:ascii="仿宋_GB2312" w:hAnsi="仿宋_GB2312" w:eastAsia="仿宋_GB2312" w:cs="仿宋_GB2312"/>
          <w:sz w:val="32"/>
          <w:szCs w:val="32"/>
        </w:rPr>
        <w:t>13万户，</w:t>
      </w:r>
      <w:r>
        <w:rPr>
          <w:rFonts w:hint="eastAsia" w:ascii="仿宋_GB2312" w:hAnsi="仿宋_GB2312" w:eastAsia="仿宋_GB2312" w:cs="仿宋_GB2312"/>
          <w:sz w:val="32"/>
          <w:szCs w:val="32"/>
        </w:rPr>
        <w:t>2</w:t>
      </w:r>
      <w:r>
        <w:rPr>
          <w:rFonts w:ascii="仿宋_GB2312" w:hAnsi="仿宋_GB2312" w:eastAsia="仿宋_GB2312" w:cs="仿宋_GB2312"/>
          <w:sz w:val="32"/>
          <w:szCs w:val="32"/>
        </w:rPr>
        <w:t>025</w:t>
      </w:r>
      <w:r>
        <w:rPr>
          <w:rFonts w:hint="eastAsia" w:ascii="仿宋_GB2312" w:hAnsi="仿宋_GB2312" w:eastAsia="仿宋_GB2312" w:cs="仿宋_GB2312"/>
          <w:sz w:val="32"/>
          <w:szCs w:val="32"/>
        </w:rPr>
        <w:t>年全省农信推动产权项目成交超95亿元。</w:t>
      </w:r>
    </w:p>
    <w:p>
      <w:pPr>
        <w:spacing w:line="54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（二）金融聚力，为小微企业增添动能</w:t>
      </w:r>
    </w:p>
    <w:p>
      <w:pPr>
        <w:spacing w:line="540" w:lineRule="exact"/>
        <w:ind w:firstLine="643" w:firstLineChars="200"/>
        <w:outlineLvl w:val="2"/>
      </w:pPr>
      <w:r>
        <w:rPr>
          <w:rFonts w:hint="eastAsia" w:ascii="仿宋_GB2312" w:hAnsi="仿宋_GB2312" w:eastAsia="仿宋_GB2312" w:cs="仿宋_GB2312"/>
          <w:b/>
          <w:bCs/>
          <w:sz w:val="32"/>
          <w:szCs w:val="32"/>
        </w:rPr>
        <w:t>1.加大小微信贷投放。</w:t>
      </w:r>
      <w:r>
        <w:rPr>
          <w:rFonts w:hint="eastAsia" w:ascii="仿宋_GB2312" w:hAnsi="仿宋_GB2312" w:eastAsia="仿宋_GB2312" w:cs="仿宋_GB2312"/>
          <w:sz w:val="32"/>
          <w:szCs w:val="32"/>
        </w:rPr>
        <w:t>出台《福建农信2025年小微企业和民营企业金融服务指导意见》，全力支持小微企业发展，累计投放政策性贷款超720</w:t>
      </w:r>
      <w:r>
        <w:rPr>
          <w:rFonts w:ascii="仿宋_GB2312" w:hAnsi="仿宋_GB2312" w:eastAsia="仿宋_GB2312" w:cs="仿宋_GB2312"/>
          <w:sz w:val="32"/>
          <w:szCs w:val="32"/>
        </w:rPr>
        <w:t>亿元，小</w:t>
      </w:r>
      <w:r>
        <w:rPr>
          <w:rFonts w:hint="eastAsia" w:ascii="仿宋_GB2312" w:hAnsi="仿宋_GB2312" w:eastAsia="仿宋_GB2312" w:cs="仿宋_GB2312"/>
          <w:sz w:val="32"/>
          <w:szCs w:val="32"/>
        </w:rPr>
        <w:t>微企业贷款余额超4400</w:t>
      </w:r>
      <w:r>
        <w:rPr>
          <w:rFonts w:ascii="仿宋_GB2312" w:hAnsi="仿宋_GB2312" w:eastAsia="仿宋_GB2312" w:cs="仿宋_GB2312"/>
          <w:sz w:val="32"/>
          <w:szCs w:val="32"/>
        </w:rPr>
        <w:t>亿元。</w:t>
      </w:r>
      <w:r>
        <w:rPr>
          <w:rFonts w:hint="eastAsia" w:ascii="仿宋_GB2312" w:hAnsi="仿宋_GB2312" w:eastAsia="仿宋_GB2312" w:cs="仿宋_GB2312"/>
          <w:sz w:val="32"/>
          <w:szCs w:val="32"/>
          <w:lang w:bidi="ar"/>
        </w:rPr>
        <w:t>连续三年荣获省银行机构服务民营企业和中小微企业发展激励评价第一</w:t>
      </w:r>
      <w:r>
        <w:rPr>
          <w:rFonts w:ascii="仿宋_GB2312" w:hAnsi="仿宋_GB2312" w:eastAsia="仿宋_GB2312" w:cs="仿宋_GB2312"/>
          <w:sz w:val="32"/>
          <w:szCs w:val="32"/>
          <w:lang w:bidi="ar"/>
        </w:rPr>
        <w:t>档</w:t>
      </w:r>
      <w:r>
        <w:rPr>
          <w:rFonts w:hint="eastAsia" w:ascii="仿宋_GB2312" w:hAnsi="仿宋_GB2312" w:eastAsia="仿宋_GB2312" w:cs="仿宋_GB2312"/>
          <w:sz w:val="32"/>
          <w:szCs w:val="32"/>
          <w:lang w:bidi="ar"/>
        </w:rPr>
        <w:t>。</w:t>
      </w:r>
    </w:p>
    <w:p>
      <w:pPr>
        <w:pStyle w:val="5"/>
        <w:spacing w:line="540" w:lineRule="exact"/>
        <w:ind w:left="0"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lang w:bidi="ar"/>
        </w:rPr>
        <w:t>2.助力“四链”融合发展。</w:t>
      </w:r>
      <w:r>
        <w:rPr>
          <w:rFonts w:hint="eastAsia" w:ascii="仿宋_GB2312" w:hAnsi="仿宋_GB2312" w:eastAsia="仿宋_GB2312" w:cs="仿宋_GB2312"/>
          <w:sz w:val="32"/>
          <w:szCs w:val="32"/>
          <w:lang w:bidi="ar"/>
        </w:rPr>
        <w:t>深耕县域重点产业链和特色现代农业，紧扣全省特色现代农业“</w:t>
      </w:r>
      <w:r>
        <w:rPr>
          <w:rFonts w:ascii="仿宋_GB2312" w:hAnsi="仿宋_GB2312" w:eastAsia="仿宋_GB2312" w:cs="仿宋_GB2312"/>
          <w:sz w:val="32"/>
          <w:szCs w:val="32"/>
          <w:lang w:bidi="ar"/>
        </w:rPr>
        <w:t>3212”工程部署，服务产业集群贷款余额</w:t>
      </w:r>
      <w:r>
        <w:rPr>
          <w:rFonts w:hint="eastAsia" w:ascii="仿宋_GB2312" w:hAnsi="仿宋_GB2312" w:eastAsia="仿宋_GB2312" w:cs="仿宋_GB2312"/>
          <w:sz w:val="32"/>
          <w:szCs w:val="32"/>
          <w:lang w:bidi="ar"/>
        </w:rPr>
        <w:t>超520</w:t>
      </w:r>
      <w:r>
        <w:rPr>
          <w:rFonts w:ascii="仿宋_GB2312" w:hAnsi="仿宋_GB2312" w:eastAsia="仿宋_GB2312" w:cs="仿宋_GB2312"/>
          <w:sz w:val="32"/>
          <w:szCs w:val="32"/>
          <w:lang w:bidi="ar"/>
        </w:rPr>
        <w:t>523.25亿元</w:t>
      </w:r>
      <w:r>
        <w:rPr>
          <w:rFonts w:hint="eastAsia" w:ascii="仿宋_GB2312" w:hAnsi="仿宋_GB2312" w:eastAsia="仿宋_GB2312" w:cs="仿宋_GB2312"/>
          <w:sz w:val="32"/>
          <w:szCs w:val="32"/>
          <w:lang w:bidi="ar"/>
        </w:rPr>
        <w:t>；</w:t>
      </w:r>
      <w:r>
        <w:rPr>
          <w:rFonts w:hint="eastAsia" w:ascii="仿宋_GB2312" w:hAnsi="仿宋_GB2312" w:eastAsia="仿宋_GB2312" w:cs="仿宋_GB2312"/>
          <w:sz w:val="32"/>
          <w:szCs w:val="32"/>
        </w:rPr>
        <w:t>为县域重点产业链企业建档数近6万</w:t>
      </w:r>
      <w:r>
        <w:rPr>
          <w:rFonts w:ascii="仿宋_GB2312" w:hAnsi="仿宋_GB2312" w:eastAsia="仿宋_GB2312" w:cs="仿宋_GB2312"/>
          <w:sz w:val="32"/>
          <w:szCs w:val="32"/>
        </w:rPr>
        <w:t>户，建档率</w:t>
      </w:r>
      <w:r>
        <w:rPr>
          <w:rFonts w:hint="eastAsia" w:ascii="仿宋_GB2312" w:hAnsi="仿宋_GB2312" w:eastAsia="仿宋_GB2312" w:cs="仿宋_GB2312"/>
          <w:sz w:val="32"/>
          <w:szCs w:val="32"/>
        </w:rPr>
        <w:t>超95</w:t>
      </w:r>
      <w:r>
        <w:rPr>
          <w:rFonts w:ascii="仿宋_GB2312" w:hAnsi="仿宋_GB2312" w:eastAsia="仿宋_GB2312" w:cs="仿宋_GB2312"/>
          <w:sz w:val="32"/>
          <w:szCs w:val="32"/>
        </w:rPr>
        <w:t>%，授信户数</w:t>
      </w:r>
      <w:r>
        <w:rPr>
          <w:rFonts w:hint="eastAsia" w:ascii="仿宋_GB2312" w:hAnsi="仿宋_GB2312" w:eastAsia="仿宋_GB2312" w:cs="仿宋_GB2312"/>
          <w:sz w:val="32"/>
          <w:szCs w:val="32"/>
        </w:rPr>
        <w:t>超</w:t>
      </w:r>
      <w:r>
        <w:rPr>
          <w:rFonts w:ascii="仿宋_GB2312" w:hAnsi="仿宋_GB2312" w:eastAsia="仿宋_GB2312" w:cs="仿宋_GB2312"/>
          <w:sz w:val="32"/>
          <w:szCs w:val="32"/>
        </w:rPr>
        <w:t>3万户，授信覆盖率</w:t>
      </w:r>
      <w:r>
        <w:rPr>
          <w:rFonts w:hint="eastAsia" w:ascii="仿宋_GB2312" w:hAnsi="仿宋_GB2312" w:eastAsia="仿宋_GB2312" w:cs="仿宋_GB2312"/>
          <w:sz w:val="32"/>
          <w:szCs w:val="32"/>
        </w:rPr>
        <w:t>超</w:t>
      </w:r>
      <w:r>
        <w:rPr>
          <w:rFonts w:ascii="仿宋_GB2312" w:hAnsi="仿宋_GB2312" w:eastAsia="仿宋_GB2312" w:cs="仿宋_GB2312"/>
          <w:sz w:val="32"/>
          <w:szCs w:val="32"/>
        </w:rPr>
        <w:t>50%；县域重点产业</w:t>
      </w:r>
      <w:r>
        <w:rPr>
          <w:rFonts w:hint="eastAsia" w:ascii="仿宋_GB2312" w:hAnsi="仿宋_GB2312" w:eastAsia="仿宋_GB2312" w:cs="仿宋_GB2312"/>
          <w:sz w:val="32"/>
          <w:szCs w:val="32"/>
        </w:rPr>
        <w:t>链贷款余额近380</w:t>
      </w:r>
      <w:r>
        <w:rPr>
          <w:rFonts w:ascii="仿宋_GB2312" w:hAnsi="仿宋_GB2312" w:eastAsia="仿宋_GB2312" w:cs="仿宋_GB2312"/>
          <w:sz w:val="32"/>
          <w:szCs w:val="32"/>
        </w:rPr>
        <w:t>亿元</w:t>
      </w:r>
      <w:r>
        <w:rPr>
          <w:rFonts w:hint="eastAsia" w:ascii="仿宋_GB2312" w:hAnsi="仿宋_GB2312" w:eastAsia="仿宋_GB2312" w:cs="仿宋_GB2312"/>
          <w:sz w:val="32"/>
          <w:szCs w:val="32"/>
        </w:rPr>
        <w:t>。</w:t>
      </w:r>
    </w:p>
    <w:p>
      <w:pPr>
        <w:spacing w:line="540" w:lineRule="exact"/>
        <w:ind w:firstLine="643" w:firstLineChars="200"/>
        <w:outlineLvl w:val="2"/>
        <w:rPr>
          <w:rFonts w:ascii="仿宋_GB2312" w:hAnsi="仿宋_GB2312" w:eastAsia="仿宋_GB2312" w:cs="仿宋_GB2312"/>
          <w:sz w:val="32"/>
          <w:szCs w:val="32"/>
        </w:rPr>
      </w:pPr>
      <w:r>
        <w:rPr>
          <w:rFonts w:hint="eastAsia" w:ascii="仿宋_GB2312" w:hAnsi="仿宋_GB2312" w:eastAsia="仿宋_GB2312" w:cs="仿宋_GB2312"/>
          <w:b/>
          <w:bCs/>
          <w:sz w:val="32"/>
          <w:szCs w:val="32"/>
          <w:lang w:bidi="ar"/>
        </w:rPr>
        <w:t>3.</w:t>
      </w:r>
      <w:r>
        <w:rPr>
          <w:rFonts w:hint="eastAsia" w:ascii="仿宋_GB2312" w:hAnsi="仿宋_GB2312" w:eastAsia="仿宋_GB2312" w:cs="仿宋_GB2312"/>
          <w:b/>
          <w:bCs/>
          <w:sz w:val="32"/>
          <w:szCs w:val="32"/>
        </w:rPr>
        <w:t>用好金融货币政策。</w:t>
      </w:r>
      <w:r>
        <w:rPr>
          <w:rFonts w:hint="eastAsia" w:ascii="仿宋_GB2312" w:hAnsi="仿宋_GB2312" w:eastAsia="仿宋_GB2312" w:cs="仿宋_GB2312"/>
          <w:sz w:val="32"/>
          <w:szCs w:val="32"/>
        </w:rPr>
        <w:t>支农支小再贷款余额647.43亿元，占全省银行业份额超50%；金服云平台合作业务规模稳居全省银行业首位，“乡村振兴贷”投放量占比超50%</w:t>
      </w:r>
      <w:r>
        <w:rPr>
          <w:rFonts w:hint="eastAsia" w:ascii="仿宋_GB2312" w:hAnsi="仿宋" w:eastAsia="仿宋_GB2312" w:cs="仿宋"/>
          <w:sz w:val="32"/>
          <w:szCs w:val="32"/>
        </w:rPr>
        <w:t>。</w:t>
      </w:r>
      <w:r>
        <w:rPr>
          <w:rFonts w:hint="eastAsia" w:ascii="仿宋_GB2312" w:hAnsi="仿宋_GB2312" w:eastAsia="仿宋_GB2312" w:cs="仿宋_GB2312"/>
          <w:sz w:val="32"/>
          <w:szCs w:val="32"/>
        </w:rPr>
        <w:t>发挥金融政策工具作用，扩大债券发行覆盖面，推动福州、晋江等5家行社成功发行“三农、小微”等金融债券13亿元，</w:t>
      </w:r>
      <w:r>
        <w:rPr>
          <w:rFonts w:hint="eastAsia" w:ascii="仿宋_GB2312" w:hAnsi="仿宋_GB2312" w:eastAsia="仿宋_GB2312" w:cs="仿宋_GB2312"/>
          <w:color w:val="000000"/>
          <w:sz w:val="32"/>
          <w:szCs w:val="32"/>
          <w:lang w:bidi="ar"/>
        </w:rPr>
        <w:t>成功发行“科技创新债”，首获“福建省政府债券优秀承销商”荣誉。</w:t>
      </w:r>
    </w:p>
    <w:p>
      <w:pPr>
        <w:spacing w:line="54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（三）精准滴灌，为创新创业注入动能</w:t>
      </w:r>
    </w:p>
    <w:p>
      <w:pPr>
        <w:pStyle w:val="4"/>
        <w:spacing w:line="54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1.深化多方协同机制。</w:t>
      </w:r>
      <w:r>
        <w:rPr>
          <w:rFonts w:hint="eastAsia" w:ascii="仿宋_GB2312" w:hAnsi="仿宋_GB2312" w:eastAsia="仿宋_GB2312" w:cs="仿宋_GB2312"/>
          <w:sz w:val="32"/>
          <w:szCs w:val="32"/>
        </w:rPr>
        <w:t>积极开展“千企万户大走访”，全面摸排企业金融需求，通过小微融资机制放款超</w:t>
      </w:r>
      <w:r>
        <w:rPr>
          <w:rFonts w:ascii="仿宋_GB2312" w:hAnsi="仿宋_GB2312" w:eastAsia="仿宋_GB2312" w:cs="仿宋_GB2312"/>
          <w:sz w:val="32"/>
          <w:szCs w:val="32"/>
        </w:rPr>
        <w:t>45万笔、金额</w:t>
      </w:r>
      <w:r>
        <w:rPr>
          <w:rFonts w:hint="eastAsia" w:ascii="仿宋_GB2312" w:hAnsi="仿宋_GB2312" w:eastAsia="仿宋_GB2312" w:cs="仿宋_GB2312"/>
          <w:sz w:val="32"/>
          <w:szCs w:val="32"/>
        </w:rPr>
        <w:t>超</w:t>
      </w:r>
      <w:r>
        <w:rPr>
          <w:rFonts w:ascii="仿宋_GB2312" w:hAnsi="仿宋_GB2312" w:eastAsia="仿宋_GB2312" w:cs="仿宋_GB2312"/>
          <w:sz w:val="32"/>
          <w:szCs w:val="32"/>
        </w:rPr>
        <w:t>2400亿元，</w:t>
      </w:r>
      <w:r>
        <w:rPr>
          <w:rFonts w:hint="eastAsia" w:ascii="仿宋_GB2312" w:hAnsi="仿宋_GB2312" w:eastAsia="仿宋_GB2312" w:cs="仿宋_GB2312"/>
          <w:sz w:val="32"/>
          <w:szCs w:val="32"/>
        </w:rPr>
        <w:t>累计投放笔数、金额均位全省银行业首位。依托“商户快贷”产品及创新推出的“福商·焕新贷”，加大对个体工商户支持力度，支持个体工商户贷款超</w:t>
      </w:r>
      <w:r>
        <w:rPr>
          <w:rFonts w:ascii="仿宋_GB2312" w:hAnsi="仿宋_GB2312" w:eastAsia="仿宋_GB2312" w:cs="仿宋_GB2312"/>
          <w:sz w:val="32"/>
          <w:szCs w:val="32"/>
        </w:rPr>
        <w:t>53万户。</w:t>
      </w:r>
    </w:p>
    <w:p>
      <w:pPr>
        <w:pStyle w:val="4"/>
        <w:spacing w:line="54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2.构建产业金融生态。</w:t>
      </w:r>
      <w:r>
        <w:rPr>
          <w:rFonts w:hint="eastAsia" w:ascii="仿宋_GB2312" w:hAnsi="仿宋" w:eastAsia="仿宋_GB2312"/>
          <w:sz w:val="32"/>
        </w:rPr>
        <w:t>紧扣全省164条县域重点产业链和特色现代农业“3212”工程，构建“政策+产品+服务+平台+机制”五位一体金融支撑体系，</w:t>
      </w:r>
      <w:r>
        <w:rPr>
          <w:rFonts w:hint="eastAsia" w:ascii="仿宋_GB2312" w:hAnsi="仿宋_GB2312" w:eastAsia="仿宋_GB2312" w:cs="仿宋_GB2312"/>
          <w:color w:val="0F1115"/>
          <w:sz w:val="32"/>
          <w:szCs w:val="32"/>
          <w:shd w:val="clear" w:color="auto" w:fill="FFFFFF"/>
        </w:rPr>
        <w:t>20家农信机构担任24条县域重点产业链的牵头联络银行</w:t>
      </w:r>
      <w:r>
        <w:rPr>
          <w:rFonts w:hint="eastAsia" w:ascii="仿宋_GB2312" w:hAnsi="仿宋" w:eastAsia="仿宋_GB2312"/>
          <w:sz w:val="32"/>
        </w:rPr>
        <w:t>。首创“客户互荐、服务接力”跨区域联动模式</w:t>
      </w:r>
      <w:r>
        <w:rPr>
          <w:rFonts w:hint="eastAsia" w:ascii="仿宋_GB2312" w:hAnsi="仿宋" w:eastAsia="仿宋_GB2312" w:cs="仿宋"/>
          <w:sz w:val="32"/>
          <w:szCs w:val="40"/>
        </w:rPr>
        <w:t>，</w:t>
      </w:r>
      <w:r>
        <w:rPr>
          <w:rFonts w:ascii="仿宋_GB2312" w:hAnsi="仿宋" w:eastAsia="仿宋_GB2312" w:cs="仿宋"/>
          <w:sz w:val="32"/>
          <w:szCs w:val="32"/>
        </w:rPr>
        <w:t>打造</w:t>
      </w:r>
      <w:r>
        <w:rPr>
          <w:rFonts w:hint="eastAsia" w:ascii="仿宋_GB2312" w:hAnsi="仿宋" w:eastAsia="仿宋_GB2312" w:cs="仿宋"/>
          <w:sz w:val="32"/>
          <w:szCs w:val="32"/>
        </w:rPr>
        <w:t>“</w:t>
      </w:r>
      <w:r>
        <w:rPr>
          <w:rFonts w:ascii="仿宋_GB2312" w:hAnsi="仿宋" w:eastAsia="仿宋_GB2312" w:cs="仿宋"/>
          <w:sz w:val="32"/>
          <w:szCs w:val="32"/>
        </w:rPr>
        <w:t>福农e</w:t>
      </w:r>
      <w:r>
        <w:rPr>
          <w:rFonts w:hint="eastAsia" w:ascii="仿宋_GB2312" w:hAnsi="仿宋" w:eastAsia="仿宋_GB2312" w:cs="仿宋"/>
          <w:sz w:val="32"/>
          <w:szCs w:val="32"/>
        </w:rPr>
        <w:t>链”服务平台，</w:t>
      </w:r>
      <w:r>
        <w:rPr>
          <w:rFonts w:hint="eastAsia" w:ascii="仿宋_GB2312" w:hAnsi="仿宋" w:eastAsia="仿宋_GB2312"/>
          <w:sz w:val="32"/>
        </w:rPr>
        <w:t>沉淀县域重点产业链市场主体信息字段超50万条，创新推出“要素贷”“地标贷”等产品，推动“四链”深度融合，延展服务当地特色产业链，贷款余额超</w:t>
      </w:r>
      <w:r>
        <w:rPr>
          <w:rFonts w:ascii="仿宋_GB2312" w:hAnsi="仿宋" w:eastAsia="仿宋_GB2312"/>
          <w:sz w:val="32"/>
        </w:rPr>
        <w:t>490</w:t>
      </w:r>
      <w:r>
        <w:rPr>
          <w:rFonts w:hint="eastAsia" w:ascii="仿宋_GB2312" w:hAnsi="仿宋" w:eastAsia="仿宋_GB2312"/>
          <w:sz w:val="32"/>
        </w:rPr>
        <w:t>亿元。</w:t>
      </w:r>
    </w:p>
    <w:p>
      <w:pPr>
        <w:pStyle w:val="9"/>
        <w:widowControl/>
        <w:spacing w:beforeAutospacing="0" w:afterAutospacing="0" w:line="540" w:lineRule="exact"/>
        <w:ind w:firstLine="643" w:firstLineChars="200"/>
        <w:jc w:val="both"/>
      </w:pPr>
      <w:r>
        <w:rPr>
          <w:rFonts w:hint="eastAsia" w:ascii="仿宋_GB2312" w:hAnsi="仿宋_GB2312" w:eastAsia="仿宋_GB2312" w:cs="仿宋_GB2312"/>
          <w:b/>
          <w:bCs/>
          <w:kern w:val="2"/>
          <w:sz w:val="32"/>
          <w:szCs w:val="32"/>
        </w:rPr>
        <w:t>3.助力科技自立自强。</w:t>
      </w:r>
      <w:r>
        <w:rPr>
          <w:rFonts w:hint="eastAsia" w:ascii="仿宋_GB2312" w:hAnsi="仿宋_GB2312" w:eastAsia="仿宋_GB2312" w:cs="仿宋_GB2312"/>
          <w:sz w:val="32"/>
          <w:szCs w:val="32"/>
        </w:rPr>
        <w:t>贯彻落实省专精特新中小企业专项资金贷款政策，积极对接高新技术企业、“专精特新”企业等金融服务需求，</w:t>
      </w:r>
      <w:r>
        <w:rPr>
          <w:rFonts w:hint="eastAsia" w:ascii="仿宋_GB2312" w:hAnsi="仿宋_GB2312" w:eastAsia="仿宋_GB2312" w:cs="仿宋_GB2312"/>
          <w:kern w:val="2"/>
          <w:sz w:val="32"/>
          <w:szCs w:val="32"/>
        </w:rPr>
        <w:t>强化科技金融供给。全省农信科技金融贷款余额超</w:t>
      </w:r>
      <w:r>
        <w:rPr>
          <w:rFonts w:ascii="仿宋_GB2312" w:hAnsi="仿宋_GB2312" w:eastAsia="仿宋_GB2312" w:cs="仿宋_GB2312"/>
          <w:sz w:val="32"/>
          <w:szCs w:val="32"/>
        </w:rPr>
        <w:t>230亿元</w:t>
      </w:r>
      <w:r>
        <w:rPr>
          <w:rFonts w:hint="eastAsia" w:ascii="仿宋_GB2312" w:hAnsi="仿宋_GB2312" w:eastAsia="仿宋_GB2312" w:cs="仿宋_GB2312"/>
          <w:kern w:val="2"/>
          <w:sz w:val="32"/>
          <w:szCs w:val="32"/>
        </w:rPr>
        <w:t>。累计</w:t>
      </w:r>
      <w:r>
        <w:rPr>
          <w:rFonts w:hint="eastAsia" w:ascii="仿宋_GB2312" w:hAnsi="仿宋_GB2312" w:eastAsia="仿宋_GB2312" w:cs="仿宋_GB2312"/>
          <w:sz w:val="32"/>
          <w:szCs w:val="32"/>
        </w:rPr>
        <w:t>发放科技贷超14亿元、技改贷超16亿元、专精特新企业贷款超19亿元。总结推广南平农信系统“科特派”服务模式，构建“融智+融资+融技”科技金融服务体系，累计发放“科特贷”10.57亿元。</w:t>
      </w:r>
    </w:p>
    <w:p>
      <w:pPr>
        <w:spacing w:line="54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四、逐绿前行，绘就生态“青绿图”</w:t>
      </w:r>
    </w:p>
    <w:p>
      <w:pPr>
        <w:spacing w:line="54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（一）夯实“绿色根基”，以顶层设计引领发展方向</w:t>
      </w:r>
    </w:p>
    <w:p>
      <w:pPr>
        <w:spacing w:line="54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1.完善机制，强化组织保障</w:t>
      </w:r>
      <w:r>
        <w:rPr>
          <w:rFonts w:hint="eastAsia" w:ascii="仿宋_GB2312" w:hAnsi="仿宋_GB2312" w:eastAsia="仿宋_GB2312" w:cs="仿宋_GB2312"/>
          <w:sz w:val="32"/>
          <w:szCs w:val="32"/>
        </w:rPr>
        <w:t>。省联社与各行社均成立绿色金融工作领导小组，各行社已建立绿色金融事业部34个，绿色金融服务中心47个，绿色支行23个，绿色金融专业团队20个共140人。将绿色信贷工作纳入行社经营绩效考核指标体系，有效提升行社投放绿色信贷的积极性和主动性。建立环境信息披露机制，建设“绿色金融业务管理辅助系统”为环境信息披露提供数据测算辅助功能，推动43家行社按要求发布环境信息披露报告。</w:t>
      </w:r>
    </w:p>
    <w:p>
      <w:pPr>
        <w:spacing w:line="54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2.建章立制，明确政策导向。</w:t>
      </w:r>
      <w:r>
        <w:rPr>
          <w:rFonts w:hint="eastAsia" w:ascii="仿宋_GB2312" w:hAnsi="仿宋_GB2312" w:eastAsia="仿宋_GB2312" w:cs="仿宋_GB2312"/>
          <w:sz w:val="32"/>
          <w:szCs w:val="32"/>
        </w:rPr>
        <w:t>印发《福建农信推进绿色金融高质量发展行动方案（2025-2027年）》，明确未来三年绿色金融工作主要目标和18项重点工作任务。发布《绿色金融服务规范》，完善绿色金融标准体系建设，明确绿色金融服务对象、领域及产品服务和业务流程，促进绿色金融业务规范健康发展。</w:t>
      </w:r>
    </w:p>
    <w:p>
      <w:pPr>
        <w:spacing w:line="54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3.服务创新，拓宽转化路径。</w:t>
      </w:r>
      <w:r>
        <w:rPr>
          <w:rFonts w:hint="eastAsia" w:ascii="仿宋_GB2312" w:hAnsi="仿宋_GB2312" w:eastAsia="仿宋_GB2312" w:cs="仿宋_GB2312"/>
          <w:sz w:val="32"/>
          <w:szCs w:val="32"/>
        </w:rPr>
        <w:t>聚焦林票、碳票、竹票、绿票等权票创新拓展绿色金融产品，发行绿色金融债券与绿金卡，创新推出福建首个农村产权专属产品“福鉴贷”，支持农村产权交易主体2.47亿元。聚焦武夷山茶农生态化改造资金需求，创新推出“生物多样性+VEP+整村授信”融资模式</w:t>
      </w:r>
      <w:r>
        <w:rPr>
          <w:rFonts w:ascii="仿宋_GB2312" w:hAnsi="仿宋_GB2312" w:eastAsia="仿宋_GB2312" w:cs="仿宋_GB2312"/>
          <w:sz w:val="32"/>
          <w:szCs w:val="32"/>
        </w:rPr>
        <w:t>。</w:t>
      </w:r>
    </w:p>
    <w:p>
      <w:pPr>
        <w:spacing w:line="54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（二）聚焦“绿色领域”，以精准投放支持绿色转型</w:t>
      </w:r>
    </w:p>
    <w:p>
      <w:pPr>
        <w:spacing w:line="54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1.深耕林业金融，擦亮“福林”品牌。</w:t>
      </w:r>
      <w:r>
        <w:rPr>
          <w:rFonts w:hint="eastAsia" w:ascii="仿宋_GB2312" w:hAnsi="仿宋_GB2312" w:eastAsia="仿宋_GB2312" w:cs="仿宋_GB2312"/>
          <w:sz w:val="32"/>
          <w:szCs w:val="32"/>
        </w:rPr>
        <w:t>深入参与林业金融创新改革，创新打造“福林”金融服务品牌，探索推广“信用+林业要素”“产业龙头+上下游”“在线贷款+收储担保”“平台+产品”四大服务模式。涉林贷款余额达495.54亿元，市场份额近30%，连续十余年保持全省银行业前列。</w:t>
      </w:r>
    </w:p>
    <w:p>
      <w:pPr>
        <w:spacing w:line="54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2.支持绿色产业，赋能循环发展</w:t>
      </w:r>
      <w:r>
        <w:rPr>
          <w:rFonts w:hint="eastAsia" w:ascii="仿宋_GB2312" w:hAnsi="仿宋_GB2312" w:eastAsia="仿宋_GB2312" w:cs="仿宋_GB2312"/>
          <w:sz w:val="32"/>
          <w:szCs w:val="32"/>
        </w:rPr>
        <w:t>。加大对绿色优质农产品生产加工、以竹代塑等领域支持力度，为云霄县地标产业协会授信40亿元助力地理标志产业加快发展，发放超1亿元贷款支持建瓯市“以竹代塑”产业。支持水资源循环利用、工业固体废弃物综合利用，发放贷款1400万元支持晋江市印染企业集控区污水处理企业技术改造升级，推动产业绿色化、低碳化转型。</w:t>
      </w:r>
    </w:p>
    <w:p>
      <w:pPr>
        <w:spacing w:line="54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3.助力绿色升级，完善基础设施。</w:t>
      </w:r>
      <w:r>
        <w:rPr>
          <w:rFonts w:hint="eastAsia" w:ascii="仿宋_GB2312" w:hAnsi="仿宋_GB2312" w:eastAsia="仿宋_GB2312" w:cs="仿宋_GB2312"/>
          <w:sz w:val="32"/>
          <w:szCs w:val="32"/>
        </w:rPr>
        <w:t>支持新能源充换电设施建设等项目，为南安市英都镇民山村经联社发放贷款100万元建设新能源充电桩，促进乡村增绿、增收；在仙游以充电桩设备及其运营收费权作为质押，发放“福工·电桩贷”100万元支持公共充电桩建设，以金融力量补齐乡村绿色基础设施短板。</w:t>
      </w:r>
    </w:p>
    <w:p>
      <w:pPr>
        <w:spacing w:line="54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（三）坚持“创新驱动”，以数智赋能激发绿色活力</w:t>
      </w:r>
    </w:p>
    <w:p>
      <w:pPr>
        <w:spacing w:line="54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1.强化平台对接，拓宽服务渠道。</w:t>
      </w:r>
      <w:r>
        <w:rPr>
          <w:rFonts w:hint="eastAsia" w:ascii="仿宋_GB2312" w:hAnsi="仿宋_GB2312" w:eastAsia="仿宋_GB2312" w:cs="仿宋_GB2312"/>
          <w:sz w:val="32"/>
          <w:szCs w:val="32"/>
        </w:rPr>
        <w:t>对接“金服云”平台绿色专区服务，在“金服云”碳金融专区、林业金融专区、三明绿色金融专区、南平绿色金融专区共上线43款绿色金融产品，运用“金服云”的绿色企业项目认定功能，推动绿色金融服务扩面增量，实现绿色项目与金融资源的精准匹配。</w:t>
      </w:r>
    </w:p>
    <w:p>
      <w:pPr>
        <w:spacing w:line="54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2.深化平台运用，激活要素价值。</w:t>
      </w:r>
      <w:r>
        <w:rPr>
          <w:rFonts w:hint="eastAsia" w:ascii="仿宋_GB2312" w:hAnsi="仿宋_GB2312" w:eastAsia="仿宋_GB2312" w:cs="仿宋_GB2312"/>
          <w:sz w:val="32"/>
          <w:szCs w:val="32"/>
        </w:rPr>
        <w:t>依托“福农e林”平台，充分挖掘林业绿色要素价值，探索林权抵押自评估</w:t>
      </w:r>
      <w:r>
        <w:rPr>
          <w:rFonts w:ascii="仿宋_GB2312" w:hAnsi="仿宋_GB2312" w:eastAsia="仿宋_GB2312" w:cs="仿宋_GB2312"/>
          <w:sz w:val="32"/>
          <w:szCs w:val="32"/>
        </w:rPr>
        <w:t>，为客户节约评估费</w:t>
      </w:r>
      <w:r>
        <w:rPr>
          <w:rFonts w:hint="eastAsia" w:ascii="仿宋_GB2312" w:hAnsi="仿宋_GB2312" w:eastAsia="仿宋_GB2312" w:cs="仿宋_GB2312"/>
          <w:sz w:val="32"/>
          <w:szCs w:val="32"/>
        </w:rPr>
        <w:t>用</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通过数字化手段降低融资成本，激活绿色要素价值，提升绿色要素流转效率。</w:t>
      </w:r>
    </w:p>
    <w:p>
      <w:pPr>
        <w:spacing w:line="54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3.加快产品创新，抢占新兴赛道。</w:t>
      </w:r>
      <w:r>
        <w:rPr>
          <w:rFonts w:hint="eastAsia" w:ascii="仿宋_GB2312" w:hAnsi="仿宋_GB2312" w:eastAsia="仿宋_GB2312" w:cs="仿宋_GB2312"/>
          <w:sz w:val="32"/>
          <w:szCs w:val="32"/>
        </w:rPr>
        <w:t>创新“气象×金融”双轮驱动绿色金融服务新模式，在晋江、安溪、漳平等地联合气象部门创新落地“气候贷”“水仙茶·气象贷”等产品。在邵武、永春加快生物多样性金融标准试用，推出“无固定期限+可持续林业”生物多样性绩效挂钩贷，打造“生物多样点绿成金贷”“生物多样林下掘金贷”“生物多样厚土载富贷”等首批生物多样贷产品矩阵。</w:t>
      </w:r>
    </w:p>
    <w:p>
      <w:pPr>
        <w:spacing w:line="54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五、金融为民，传递民生“暖温度”</w:t>
      </w:r>
    </w:p>
    <w:p>
      <w:pPr>
        <w:spacing w:line="54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（一）坚守“支农支小”，以精准滴灌润泽乡村振兴</w:t>
      </w:r>
    </w:p>
    <w:p>
      <w:pPr>
        <w:spacing w:line="54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1.筑牢防贫底线，脱贫信贷全省领跑。</w:t>
      </w:r>
      <w:r>
        <w:rPr>
          <w:rFonts w:hint="eastAsia" w:ascii="仿宋_GB2312" w:hAnsi="仿宋_GB2312" w:eastAsia="仿宋_GB2312" w:cs="仿宋_GB2312"/>
          <w:sz w:val="32"/>
          <w:szCs w:val="32"/>
        </w:rPr>
        <w:t>坚持脱贫人口小额信贷的普惠性与精准性，脱贫人口小额信贷余额达2.25亿元，占全省银行业95%以上的市场份额。通过“乡村振兴贷”与小额信贷的双轮驱动，有效巩固脱贫攻坚成果，两项指标投放量均稳居全省银行业首位，为乡村发展注入源头活水。</w:t>
      </w:r>
    </w:p>
    <w:p>
      <w:pPr>
        <w:spacing w:line="54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2.护航求学梦想，助学贷款规模突破。</w:t>
      </w:r>
      <w:r>
        <w:rPr>
          <w:rFonts w:hint="eastAsia" w:ascii="仿宋_GB2312" w:hAnsi="仿宋_GB2312" w:eastAsia="仿宋_GB2312" w:cs="仿宋_GB2312"/>
          <w:sz w:val="32"/>
          <w:szCs w:val="32"/>
        </w:rPr>
        <w:t>深耕生源地信用助学贷款，累计发放助学贷款金额超</w:t>
      </w:r>
      <w:r>
        <w:rPr>
          <w:rFonts w:ascii="仿宋_GB2312" w:hAnsi="仿宋_GB2312" w:eastAsia="仿宋_GB2312" w:cs="仿宋_GB2312"/>
          <w:sz w:val="32"/>
          <w:szCs w:val="32"/>
        </w:rPr>
        <w:t>140亿元，</w:t>
      </w:r>
      <w:r>
        <w:rPr>
          <w:rFonts w:hint="eastAsia" w:ascii="仿宋_GB2312" w:hAnsi="仿宋_GB2312" w:eastAsia="仿宋_GB2312" w:cs="仿宋_GB2312"/>
          <w:sz w:val="32"/>
          <w:szCs w:val="32"/>
        </w:rPr>
        <w:t>惠及超</w:t>
      </w:r>
      <w:r>
        <w:rPr>
          <w:rFonts w:ascii="仿宋_GB2312" w:hAnsi="仿宋_GB2312" w:eastAsia="仿宋_GB2312" w:cs="仿宋_GB2312"/>
          <w:sz w:val="32"/>
          <w:szCs w:val="32"/>
        </w:rPr>
        <w:t>57万名家庭经济困难大学生</w:t>
      </w:r>
      <w:r>
        <w:rPr>
          <w:rFonts w:hint="eastAsia" w:ascii="仿宋_GB2312" w:hAnsi="仿宋_GB2312" w:eastAsia="仿宋_GB2312" w:cs="仿宋_GB2312"/>
          <w:sz w:val="32"/>
          <w:szCs w:val="32"/>
        </w:rPr>
        <w:t>，以金融之力助力困难学子圆梦大学，生源地信用助学贷款发放量位居全省银行业首位。</w:t>
      </w:r>
    </w:p>
    <w:p>
      <w:pPr>
        <w:spacing w:line="54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3.扶持就业创业，普惠金融扩面增量。</w:t>
      </w:r>
      <w:r>
        <w:rPr>
          <w:rFonts w:hint="eastAsia" w:ascii="仿宋_GB2312" w:hAnsi="仿宋_GB2312" w:eastAsia="仿宋_GB2312" w:cs="仿宋_GB2312"/>
          <w:sz w:val="32"/>
          <w:szCs w:val="32"/>
        </w:rPr>
        <w:t>依托“金服云”平台深化银企对接，发放“创保贷”支持了创业带动就业。通过构建“信贷+就业”的服务闭环，让金融活水精准流向实体经济的毛细血管，创业担保贷款投放量居全省银行业首位。</w:t>
      </w:r>
    </w:p>
    <w:p>
      <w:pPr>
        <w:spacing w:line="54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（二）深耕“场景生态”，以暖心服务构建便民圈</w:t>
      </w:r>
    </w:p>
    <w:p>
      <w:pPr>
        <w:spacing w:line="54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1.丰富服务功能，打造“有温度”网点。</w:t>
      </w:r>
      <w:r>
        <w:rPr>
          <w:rFonts w:hint="eastAsia" w:ascii="仿宋_GB2312" w:hAnsi="仿宋_GB2312" w:eastAsia="仿宋_GB2312" w:cs="仿宋_GB2312"/>
          <w:sz w:val="32"/>
          <w:szCs w:val="32"/>
        </w:rPr>
        <w:t>构建社保服务“就近办”体系，在8个地区设立182个挂牌网点。全方位升级营业场所适老化设施，设立无障碍通道、爱心专座及急救专区，打造具有福建农信特色的适老主题银行。</w:t>
      </w:r>
    </w:p>
    <w:p>
      <w:pPr>
        <w:spacing w:line="54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2.拓宽惠民场景，实现“一站式”互联。</w:t>
      </w:r>
      <w:r>
        <w:rPr>
          <w:rFonts w:hint="eastAsia" w:ascii="仿宋_GB2312" w:hAnsi="仿宋_GB2312" w:eastAsia="仿宋_GB2312" w:cs="仿宋_GB2312"/>
          <w:sz w:val="32"/>
          <w:szCs w:val="32"/>
        </w:rPr>
        <w:t>依托“福农e付”收银平台，推动场景建设从“单点接入”向“全省通用”跨越，构建覆盖政务、生产、生活的“一体化”生态圈。全省农信场景商户破</w:t>
      </w:r>
      <w:r>
        <w:rPr>
          <w:rFonts w:ascii="仿宋_GB2312" w:hAnsi="仿宋_GB2312" w:eastAsia="仿宋_GB2312" w:cs="仿宋_GB2312"/>
          <w:sz w:val="32"/>
          <w:szCs w:val="32"/>
        </w:rPr>
        <w:t>万户，</w:t>
      </w:r>
      <w:r>
        <w:rPr>
          <w:rFonts w:hint="eastAsia" w:ascii="仿宋_GB2312" w:hAnsi="仿宋_GB2312" w:eastAsia="仿宋_GB2312" w:cs="仿宋_GB2312"/>
          <w:sz w:val="32"/>
          <w:szCs w:val="32"/>
        </w:rPr>
        <w:t>覆盖29个行业领域。紧扣政策契机</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助力解决校园餐费管理及公务餐改革痛点。</w:t>
      </w:r>
    </w:p>
    <w:p>
      <w:pPr>
        <w:spacing w:line="54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3.落实减费让利，激发“小微端”活力。</w:t>
      </w:r>
      <w:r>
        <w:rPr>
          <w:rFonts w:ascii="仿宋_GB2312" w:eastAsia="仿宋_GB2312"/>
          <w:sz w:val="32"/>
          <w:szCs w:val="32"/>
        </w:rPr>
        <w:t>累计减费让利</w:t>
      </w:r>
      <w:r>
        <w:rPr>
          <w:rFonts w:hint="eastAsia" w:ascii="仿宋_GB2312" w:eastAsia="仿宋_GB2312"/>
          <w:sz w:val="32"/>
          <w:szCs w:val="32"/>
        </w:rPr>
        <w:t>达49</w:t>
      </w:r>
      <w:r>
        <w:rPr>
          <w:rFonts w:ascii="仿宋_GB2312" w:eastAsia="仿宋_GB2312"/>
          <w:sz w:val="32"/>
          <w:szCs w:val="32"/>
        </w:rPr>
        <w:t>亿元，</w:t>
      </w:r>
      <w:r>
        <w:rPr>
          <w:rFonts w:hint="eastAsia" w:ascii="仿宋_GB2312" w:hAnsi="仿宋_GB2312" w:eastAsia="仿宋_GB2312" w:cs="仿宋_GB2312"/>
          <w:sz w:val="32"/>
          <w:szCs w:val="32"/>
        </w:rPr>
        <w:t>为全省近</w:t>
      </w:r>
      <w:r>
        <w:rPr>
          <w:rFonts w:ascii="仿宋_GB2312" w:hAnsi="仿宋_GB2312" w:eastAsia="仿宋_GB2312" w:cs="仿宋_GB2312"/>
          <w:sz w:val="32"/>
          <w:szCs w:val="32"/>
        </w:rPr>
        <w:t>73万户小微企业、个体工商户及小微商户</w:t>
      </w:r>
      <w:r>
        <w:rPr>
          <w:rFonts w:hint="eastAsia" w:ascii="仿宋_GB2312" w:hAnsi="仿宋_GB2312" w:eastAsia="仿宋_GB2312" w:cs="仿宋_GB2312"/>
          <w:sz w:val="32"/>
          <w:szCs w:val="32"/>
        </w:rPr>
        <w:t>减免</w:t>
      </w:r>
      <w:r>
        <w:rPr>
          <w:rFonts w:ascii="仿宋_GB2312" w:hAnsi="仿宋_GB2312" w:eastAsia="仿宋_GB2312" w:cs="仿宋_GB2312"/>
          <w:sz w:val="32"/>
          <w:szCs w:val="32"/>
        </w:rPr>
        <w:t>收单交易手续费助力经营商户轻装上阵；</w:t>
      </w:r>
      <w:r>
        <w:rPr>
          <w:rFonts w:hint="eastAsia" w:ascii="仿宋_GB2312" w:hAnsi="仿宋_GB2312" w:eastAsia="仿宋_GB2312" w:cs="仿宋_GB2312"/>
          <w:sz w:val="32"/>
          <w:szCs w:val="32"/>
        </w:rPr>
        <w:t>同时</w:t>
      </w:r>
      <w:r>
        <w:rPr>
          <w:rFonts w:ascii="仿宋_GB2312" w:hAnsi="仿宋_GB2312" w:eastAsia="仿宋_GB2312" w:cs="仿宋_GB2312"/>
          <w:sz w:val="32"/>
          <w:szCs w:val="32"/>
        </w:rPr>
        <w:t>减免其他支付服务手续费</w:t>
      </w:r>
      <w:r>
        <w:rPr>
          <w:rFonts w:hint="eastAsia" w:ascii="仿宋_GB2312" w:hAnsi="仿宋_GB2312" w:eastAsia="仿宋_GB2312" w:cs="仿宋_GB2312"/>
          <w:sz w:val="32"/>
          <w:szCs w:val="32"/>
        </w:rPr>
        <w:t>持续提升客户消费体验和获得感。</w:t>
      </w:r>
    </w:p>
    <w:p>
      <w:pPr>
        <w:spacing w:line="54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（三）践行“社会责任”，以公益善举彰显农信担当</w:t>
      </w:r>
    </w:p>
    <w:p>
      <w:pPr>
        <w:spacing w:line="54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1.汇聚公益暖流，点亮困难群体希望。</w:t>
      </w:r>
      <w:r>
        <w:rPr>
          <w:rFonts w:hint="eastAsia" w:ascii="仿宋_GB2312" w:hAnsi="仿宋_GB2312" w:eastAsia="仿宋_GB2312" w:cs="仿宋_GB2312"/>
          <w:sz w:val="32"/>
          <w:szCs w:val="32"/>
        </w:rPr>
        <w:t>将捐资助学范围扩大至中小学困难学子，依托福建农信慈善基金会，发放助学金超千</w:t>
      </w:r>
      <w:r>
        <w:rPr>
          <w:rFonts w:ascii="仿宋_GB2312" w:hAnsi="仿宋_GB2312" w:eastAsia="仿宋_GB2312" w:cs="仿宋_GB2312"/>
          <w:sz w:val="32"/>
          <w:szCs w:val="32"/>
        </w:rPr>
        <w:t>万元，资助</w:t>
      </w:r>
      <w:r>
        <w:rPr>
          <w:rFonts w:hint="eastAsia" w:ascii="仿宋_GB2312" w:hAnsi="仿宋_GB2312" w:eastAsia="仿宋_GB2312" w:cs="仿宋_GB2312"/>
          <w:sz w:val="32"/>
          <w:szCs w:val="32"/>
        </w:rPr>
        <w:t>超3400</w:t>
      </w:r>
      <w:r>
        <w:rPr>
          <w:rFonts w:ascii="仿宋_GB2312" w:hAnsi="仿宋_GB2312" w:eastAsia="仿宋_GB2312" w:cs="仿宋_GB2312"/>
          <w:sz w:val="32"/>
          <w:szCs w:val="32"/>
        </w:rPr>
        <w:t>名学子。</w:t>
      </w:r>
      <w:r>
        <w:rPr>
          <w:rFonts w:hint="eastAsia" w:ascii="仿宋_GB2312" w:hAnsi="仿宋_GB2312" w:eastAsia="仿宋_GB2312" w:cs="仿宋_GB2312"/>
          <w:sz w:val="32"/>
          <w:szCs w:val="32"/>
        </w:rPr>
        <w:t>助力“扬帆计划”，为大学生实习提供近1500个岗位，开展“我在乡间有亩田”等志愿活动，搭建起青年人才实践与乡村振兴互助的桥梁。</w:t>
      </w:r>
    </w:p>
    <w:p>
      <w:pPr>
        <w:spacing w:line="54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2.深化普法宣传，构建和谐金融环境。</w:t>
      </w:r>
      <w:r>
        <w:rPr>
          <w:rFonts w:hint="eastAsia" w:ascii="仿宋_GB2312" w:hAnsi="仿宋_GB2312" w:eastAsia="仿宋_GB2312" w:cs="仿宋_GB2312"/>
          <w:sz w:val="32"/>
          <w:szCs w:val="32"/>
        </w:rPr>
        <w:t>联合司法部门开展“蒲公英”普法志愿服务，深入企业、社区、高校举办活动129场。成功调解金融纠纷超</w:t>
      </w:r>
      <w:r>
        <w:rPr>
          <w:rFonts w:ascii="仿宋_GB2312" w:hAnsi="仿宋_GB2312" w:eastAsia="仿宋_GB2312" w:cs="仿宋_GB2312"/>
          <w:sz w:val="32"/>
          <w:szCs w:val="32"/>
        </w:rPr>
        <w:t>6500件，</w:t>
      </w:r>
      <w:r>
        <w:rPr>
          <w:rFonts w:hint="eastAsia" w:ascii="仿宋_GB2312" w:hAnsi="仿宋_GB2312" w:eastAsia="仿宋_GB2312" w:cs="仿宋_GB2312"/>
          <w:sz w:val="32"/>
          <w:szCs w:val="32"/>
        </w:rPr>
        <w:t>助力维护区域金融秩序稳定，畅通法治宣传的“最后一公里”。</w:t>
      </w:r>
    </w:p>
    <w:p>
      <w:pPr>
        <w:spacing w:line="54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3.强化消保宣教，提升全民金融素养。</w:t>
      </w:r>
      <w:r>
        <w:rPr>
          <w:rFonts w:hint="eastAsia" w:ascii="仿宋_GB2312" w:hAnsi="仿宋_GB2312" w:eastAsia="仿宋_GB2312" w:cs="仿宋_GB2312"/>
          <w:sz w:val="32"/>
          <w:szCs w:val="32"/>
        </w:rPr>
        <w:t>精心组织“3·15”、金融教育宣传周等系列活动，创新运用直播、短视频等新媒体手段，开展宣教活动7217次，触达客户超956万人次。积极融入全省防范非法集资宣传大局，通过高频次、广覆盖的知识普及，构筑起防范非法集资的坚实防线。</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2025年，福建农信全面履行社会责任，在服务实体经济、深化普惠金融、助力乡村振兴的征程上留下了坚实的足迹。站在“十四五”收官与“十五五”谋篇的交汇点，福建农信将继续秉承“服务三农、服务小微、服务民生”的使命，在服务中国式现代化福建实践中继续奋楫争先，让金融活水润泽山海，让农信初心照亮振兴之路。</w:t>
      </w:r>
    </w:p>
    <w:p>
      <w:pPr>
        <w:spacing w:line="540" w:lineRule="exact"/>
        <w:rPr>
          <w:rFonts w:ascii="仿宋_GB2312" w:hAnsi="仿宋_GB2312" w:eastAsia="仿宋_GB2312" w:cs="仿宋_GB2312"/>
          <w:sz w:val="32"/>
          <w:szCs w:val="32"/>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方正小标宋简体">
    <w:altName w:val="黑体"/>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attachedTemplate r:id="rId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DEF2997"/>
    <w:rsid w:val="0007617F"/>
    <w:rsid w:val="003030CF"/>
    <w:rsid w:val="00306C26"/>
    <w:rsid w:val="00344D4B"/>
    <w:rsid w:val="00515AC8"/>
    <w:rsid w:val="00574032"/>
    <w:rsid w:val="00791550"/>
    <w:rsid w:val="007B6A20"/>
    <w:rsid w:val="00834F80"/>
    <w:rsid w:val="00A64E16"/>
    <w:rsid w:val="00C34A06"/>
    <w:rsid w:val="00C43F04"/>
    <w:rsid w:val="00CD0120"/>
    <w:rsid w:val="00DF5353"/>
    <w:rsid w:val="00F04DD3"/>
    <w:rsid w:val="00F82436"/>
    <w:rsid w:val="04736AC1"/>
    <w:rsid w:val="05A83240"/>
    <w:rsid w:val="075D7AF1"/>
    <w:rsid w:val="08D05008"/>
    <w:rsid w:val="08EF42D3"/>
    <w:rsid w:val="0AE35A50"/>
    <w:rsid w:val="0CA47274"/>
    <w:rsid w:val="0F932B48"/>
    <w:rsid w:val="1C4D101B"/>
    <w:rsid w:val="1C541C8E"/>
    <w:rsid w:val="1E8B3323"/>
    <w:rsid w:val="20633778"/>
    <w:rsid w:val="29B02FBA"/>
    <w:rsid w:val="2D8C3818"/>
    <w:rsid w:val="3409624F"/>
    <w:rsid w:val="35F789D5"/>
    <w:rsid w:val="365C6ECC"/>
    <w:rsid w:val="382A4381"/>
    <w:rsid w:val="389D778F"/>
    <w:rsid w:val="38F273AC"/>
    <w:rsid w:val="43B00CB8"/>
    <w:rsid w:val="450A653C"/>
    <w:rsid w:val="477B19A4"/>
    <w:rsid w:val="487160E6"/>
    <w:rsid w:val="494D203F"/>
    <w:rsid w:val="4B1B7480"/>
    <w:rsid w:val="4B315A21"/>
    <w:rsid w:val="4C4470CD"/>
    <w:rsid w:val="5496222A"/>
    <w:rsid w:val="5D2870EA"/>
    <w:rsid w:val="5EE03675"/>
    <w:rsid w:val="63DC0AFC"/>
    <w:rsid w:val="65E82D66"/>
    <w:rsid w:val="6EB917AD"/>
    <w:rsid w:val="76CB3D95"/>
    <w:rsid w:val="95BDEE4B"/>
    <w:rsid w:val="FDEF29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iPriority="99" w:semiHidden="0" w:name="Normal Indent"/>
    <w:lsdException w:qFormat="1" w:unhideWhenUsed="0" w:uiPriority="0" w:semiHidden="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semiHidden="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3"/>
    <w:basedOn w:val="1"/>
    <w:next w:val="1"/>
    <w:semiHidden/>
    <w:unhideWhenUsed/>
    <w:qFormat/>
    <w:uiPriority w:val="0"/>
    <w:pPr>
      <w:spacing w:beforeAutospacing="1" w:afterAutospacing="1"/>
      <w:jc w:val="left"/>
      <w:outlineLvl w:val="2"/>
    </w:pPr>
    <w:rPr>
      <w:rFonts w:hint="eastAsia" w:ascii="宋体" w:hAnsi="宋体"/>
      <w:b/>
      <w:bCs/>
      <w:kern w:val="0"/>
      <w:sz w:val="27"/>
      <w:szCs w:val="27"/>
    </w:rPr>
  </w:style>
  <w:style w:type="character" w:default="1" w:styleId="11">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4">
    <w:name w:val="Balloon Text"/>
    <w:basedOn w:val="1"/>
    <w:next w:val="5"/>
    <w:qFormat/>
    <w:uiPriority w:val="0"/>
    <w:rPr>
      <w:sz w:val="18"/>
      <w:szCs w:val="18"/>
    </w:rPr>
  </w:style>
  <w:style w:type="paragraph" w:customStyle="1" w:styleId="5">
    <w:name w:val="正文缩进311"/>
    <w:next w:val="1"/>
    <w:qFormat/>
    <w:uiPriority w:val="0"/>
    <w:pPr>
      <w:wordWrap w:val="0"/>
      <w:ind w:left="3400"/>
      <w:jc w:val="both"/>
    </w:pPr>
    <w:rPr>
      <w:rFonts w:ascii="Times New Roman" w:hAnsi="宋体" w:eastAsia="宋体" w:cs="Times New Roman"/>
      <w:sz w:val="21"/>
      <w:szCs w:val="22"/>
      <w:lang w:val="en-US" w:eastAsia="zh-CN" w:bidi="ar-SA"/>
    </w:r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footnote text"/>
    <w:basedOn w:val="1"/>
    <w:qFormat/>
    <w:uiPriority w:val="0"/>
    <w:pPr>
      <w:snapToGrid w:val="0"/>
      <w:jc w:val="left"/>
    </w:pPr>
    <w:rPr>
      <w:sz w:val="18"/>
    </w:rPr>
  </w:style>
  <w:style w:type="paragraph" w:styleId="9">
    <w:name w:val="Normal (Web)"/>
    <w:basedOn w:val="1"/>
    <w:qFormat/>
    <w:uiPriority w:val="0"/>
    <w:pPr>
      <w:spacing w:beforeAutospacing="1" w:afterAutospacing="1"/>
      <w:jc w:val="left"/>
    </w:pPr>
    <w:rPr>
      <w:kern w:val="0"/>
      <w:sz w:val="24"/>
    </w:rPr>
  </w:style>
  <w:style w:type="character" w:styleId="12">
    <w:name w:val="Strong"/>
    <w:basedOn w:val="11"/>
    <w:qFormat/>
    <w:uiPriority w:val="0"/>
    <w:rPr>
      <w:b/>
    </w:rPr>
  </w:style>
  <w:style w:type="character" w:styleId="13">
    <w:name w:val="footnote reference"/>
    <w:basedOn w:val="11"/>
    <w:qFormat/>
    <w:uiPriority w:val="0"/>
    <w:rPr>
      <w:vertAlign w:val="superscript"/>
    </w:rPr>
  </w:style>
  <w:style w:type="paragraph" w:customStyle="1" w:styleId="14">
    <w:name w:val="Char Char Char Char Char Char Char Char Char Char Char Char Char Char"/>
    <w:basedOn w:val="1"/>
    <w:qFormat/>
    <w:uiPriority w:val="0"/>
    <w:rPr>
      <w:rFonts w:ascii="仿宋_GB2312" w:hAnsi="Tahoma" w:eastAsia="仿宋_GB2312"/>
      <w:sz w:val="30"/>
      <w:szCs w:val="3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home\smrcb\&#26700;&#38754;\WPS&#25991;&#23383;&#25991;&#26723;%20-%20&#21103;&#26412;(1).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WPS文字文档 - 副本(1).dot</Template>
  <Company>HP Inc.</Company>
  <Pages>12</Pages>
  <Words>1032</Words>
  <Characters>5883</Characters>
  <Lines>49</Lines>
  <Paragraphs>13</Paragraphs>
  <TotalTime>98</TotalTime>
  <ScaleCrop>false</ScaleCrop>
  <LinksUpToDate>false</LinksUpToDate>
  <CharactersWithSpaces>6902</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2026-03-19T11:37:00Z</dcterms:created>
  <dc:creator>smrcb</dc:creator>
  <cp:lastModifiedBy>admin</cp:lastModifiedBy>
  <cp:lastPrinted>2026-04-27T02:05:00Z</cp:lastPrinted>
  <dcterms:modified xsi:type="dcterms:W3CDTF">2026-04-29T08:18:43Z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302B93F53429407CACE861FCF99086D7</vt:lpwstr>
  </property>
</Properties>
</file>