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533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福建长乐农村商业银行股份有限公司</w:t>
      </w:r>
    </w:p>
    <w:p w14:paraId="795D4476">
      <w:pPr>
        <w:spacing w:line="560" w:lineRule="exact"/>
        <w:jc w:val="center"/>
        <w:rPr>
          <w:rFonts w:ascii="方正小标宋简体" w:hAnsi="方正小标宋简体" w:eastAsia="方正小标宋简体" w:cs="方正小标宋简体"/>
          <w:sz w:val="44"/>
          <w:szCs w:val="44"/>
        </w:rPr>
      </w:pPr>
      <w:bookmarkStart w:id="1" w:name="_GoBack"/>
      <w:bookmarkEnd w:id="1"/>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年度环境信息披露报告</w:t>
      </w:r>
    </w:p>
    <w:p w14:paraId="28EB15EA">
      <w:pPr>
        <w:spacing w:line="560" w:lineRule="exact"/>
        <w:jc w:val="center"/>
        <w:rPr>
          <w:rFonts w:ascii="黑体" w:hAnsi="黑体" w:eastAsia="黑体" w:cs="黑体"/>
          <w:sz w:val="36"/>
          <w:szCs w:val="36"/>
        </w:rPr>
      </w:pPr>
    </w:p>
    <w:p w14:paraId="0D26C773">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一、关于本报告</w:t>
      </w:r>
    </w:p>
    <w:p w14:paraId="365C91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《福建长乐农村商业银行股份有限公司202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环境信息披露报告》（以下简称“本报告”），旨在披露福建长乐农村商业银行股份有限公司在环境保护、绿色金融及绿色运营等环境方面的相关信息。除特别说明外，本报告中“本行”指代福建长乐农村商业银行股份有限公司。</w:t>
      </w:r>
    </w:p>
    <w:p w14:paraId="6B4334ED">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（一）涵盖期间</w:t>
      </w:r>
    </w:p>
    <w:p w14:paraId="7A85C1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本报告涵盖期限为202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年1月1日至202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年12月31日。</w:t>
      </w:r>
    </w:p>
    <w:p w14:paraId="0512AA1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（二）报告周期</w:t>
      </w:r>
    </w:p>
    <w:p w14:paraId="1EFBA52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本报告为年度报告。</w:t>
      </w:r>
    </w:p>
    <w:p w14:paraId="1612D20D">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（三）报告范围</w:t>
      </w:r>
    </w:p>
    <w:p w14:paraId="3EE736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除特别说明外，本报告披露范围包含福建长乐农村商业银行股份有限公司及所辖分支机构。</w:t>
      </w:r>
    </w:p>
    <w:p w14:paraId="68F000E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（四）报告数据说明</w:t>
      </w:r>
    </w:p>
    <w:p w14:paraId="172F49E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报告中财务数据以202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为主，部分包括以前年度数据。数据主要来自于本行内部文件和相关统计资料，可能会有部分数据因统计口径因素与年报数据有差异，以年度数据为准。本报告中“绿色信贷”如无特别说明，均指“满足人民银行印发的《绿色贷款专项统计制度》的绿色信贷”。</w:t>
      </w:r>
    </w:p>
    <w:p w14:paraId="5C861A1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（五）编制依据</w:t>
      </w:r>
    </w:p>
    <w:p w14:paraId="102936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本报告内容根据《中国人民银行福建省分行关于推进福建省金融机构环境信息披露工作的通知》及信息披露工作安排等相关要求。</w:t>
      </w:r>
    </w:p>
    <w:p w14:paraId="3A3E4BD7">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二、总体概况</w:t>
      </w:r>
    </w:p>
    <w:p w14:paraId="695ECA0D">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（一）年度总体概况、关键成果与绩效</w:t>
      </w:r>
    </w:p>
    <w:p w14:paraId="1014A7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本行以习近平新时代中国特色社会主义思想为指导，全面贯彻落实习近平生态文明思想，坚定不移践行“绿水青山就是金山银山”的绿色发展理念，主动将绿色金融融入</w:t>
      </w:r>
      <w:r>
        <w:rPr>
          <w:rFonts w:hint="eastAsia" w:ascii="仿宋_GB2312" w:hAnsi="Arial" w:eastAsia="仿宋_GB2312" w:cs="Arial"/>
          <w:color w:val="000000" w:themeColor="text1"/>
          <w:sz w:val="32"/>
          <w:szCs w:val="32"/>
        </w:rPr>
        <w:t>《“十四五”战略发展规划》和自身高质量发展需求</w:t>
      </w:r>
      <w:r>
        <w:rPr>
          <w:rFonts w:hint="eastAsia" w:ascii="仿宋_GB2312" w:hAnsi="仿宋_GB2312" w:eastAsia="仿宋_GB2312" w:cs="仿宋_GB2312"/>
          <w:sz w:val="32"/>
          <w:szCs w:val="32"/>
        </w:rPr>
        <w:t>，建立健全绿色金融服务体系，创新丰富绿色金融产品和服务，着力推进绿色低碳运营，把更多金融资源用于促进绿色发展，做好绿色金融大文章，努力实现经济效益、社会效益和生态效益的有机统一，</w:t>
      </w:r>
      <w:r>
        <w:rPr>
          <w:rFonts w:hint="eastAsia" w:ascii="仿宋_GB2312" w:eastAsia="仿宋_GB2312"/>
          <w:sz w:val="32"/>
          <w:szCs w:val="32"/>
        </w:rPr>
        <w:t>为建设“百姓富、生态美”的新长乐提供有力金融保障，助力福建生态省战略实施。</w:t>
      </w:r>
    </w:p>
    <w:p w14:paraId="643BBC5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（二）下一年度规划与目标</w:t>
      </w:r>
    </w:p>
    <w:p w14:paraId="414C479C">
      <w:pPr>
        <w:spacing w:line="560" w:lineRule="exact"/>
        <w:ind w:firstLine="640" w:firstLineChars="200"/>
        <w:rPr>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年，本行将根据监管部门发展要求和自身发展实际，以践行自身运营“碳中和”和投融资“炭中和”的“双中和”银行为最终目标，从总量占比、工作机制、业务品种等方面推进总体目标实现。</w:t>
      </w:r>
    </w:p>
    <w:p w14:paraId="61FC2BAB">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1.绿色信贷总量全面提升</w:t>
      </w:r>
    </w:p>
    <w:p w14:paraId="5D67B56E">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本行将聚焦民生林业、绿色农业、生态旅游、绿色城镇和美丽乡村、节能减排、水土治理等重点领域，按照“投向绿色、授信绿色、产品绿色、渠道绿色、服务绿色”的发展思路，进一步做好“三农”领域的绿色金融服务工作，</w:t>
      </w:r>
      <w:r>
        <w:rPr>
          <w:rFonts w:hint="eastAsia" w:ascii="仿宋_GB2312" w:hAnsi="仿宋_GB2312" w:eastAsia="仿宋_GB2312" w:cs="仿宋_GB2312"/>
          <w:sz w:val="32"/>
          <w:szCs w:val="32"/>
        </w:rPr>
        <w:t>实现绿色信贷“三个不低于”目标，力争实现“四个不低于”目标。</w:t>
      </w:r>
      <w:r>
        <w:rPr>
          <w:rFonts w:hint="eastAsia" w:ascii="仿宋_GB2312" w:eastAsia="仿宋_GB2312"/>
          <w:sz w:val="32"/>
          <w:szCs w:val="32"/>
        </w:rPr>
        <w:t>（即：绿色信贷增速不低于各项贷款平均增速，绿色信贷增量不低于上年同期水平，绿色信贷客户数不低于上年同期水平，绿色信贷余额占各项贷款比重每年提升幅度不低于1个百分点）。</w:t>
      </w:r>
    </w:p>
    <w:p w14:paraId="5415FAF6">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2.绿色工作机制不断健全</w:t>
      </w:r>
    </w:p>
    <w:p w14:paraId="71E711E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（1）健全绿色金融服务机制。</w:t>
      </w:r>
      <w:r>
        <w:rPr>
          <w:rFonts w:hint="eastAsia" w:ascii="仿宋_GB2312" w:hAnsi="仿宋_GB2312" w:eastAsia="仿宋_GB2312" w:cs="仿宋_GB2312"/>
          <w:sz w:val="32"/>
          <w:szCs w:val="32"/>
        </w:rPr>
        <w:t>把绿色金融融入公司治理、发展战略、信贷文化、管理流程等环节之中，建立起绿色信贷发展长效机制。逐步建立培育专业绿色金融人员、绿色金融统计人员队伍，为发展绿色金融提供坚强的人才支撑与保障。</w:t>
      </w:r>
    </w:p>
    <w:p w14:paraId="208D7E5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（2）配套绿色金融考核机制。</w:t>
      </w:r>
      <w:r>
        <w:rPr>
          <w:rFonts w:hint="eastAsia" w:ascii="仿宋_GB2312" w:eastAsia="仿宋_GB2312"/>
          <w:sz w:val="32"/>
          <w:szCs w:val="32"/>
        </w:rPr>
        <w:t>将绿色金融纳入绩效考核范围，制定绿色金融工作的激励措施和惩戒手段，完善绿色金融服务尽职免责制度，提高相关工作人员对绿色金融的执行力度。将绿色金融执行情况纳入内控合规检查范围，对检查发现的问题依据规定进行谈话、问责，推动绿色金融相关政策制度的有效落实。</w:t>
      </w:r>
    </w:p>
    <w:p w14:paraId="41DBEC2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（3）健全绿色授信管理机制。</w:t>
      </w:r>
      <w:r>
        <w:rPr>
          <w:rFonts w:hint="eastAsia" w:ascii="仿宋_GB2312" w:eastAsia="仿宋_GB2312"/>
          <w:sz w:val="32"/>
          <w:szCs w:val="32"/>
        </w:rPr>
        <w:t>将绿色理念全面融入信贷授信流程，</w:t>
      </w:r>
      <w:r>
        <w:rPr>
          <w:rFonts w:hint="eastAsia" w:ascii="仿宋_GB2312" w:hAnsi="仿宋_GB2312" w:eastAsia="仿宋_GB2312" w:cs="仿宋_GB2312"/>
          <w:sz w:val="32"/>
          <w:szCs w:val="32"/>
        </w:rPr>
        <w:t>通过细分行业和客户群体，对符合绿色信贷产业客户，定制专属绿色信贷产品，在风险可控的前提下，简化信贷流程，实施差异化信贷管理流程，提高办贷效率，让绿色产业客户享受更加快捷便利的信贷服务，提高发展绿色产业的积极性。</w:t>
      </w:r>
    </w:p>
    <w:p w14:paraId="4F5C250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（4）加强绿色投向预警机制。</w:t>
      </w:r>
      <w:r>
        <w:rPr>
          <w:rFonts w:hint="eastAsia" w:ascii="仿宋_GB2312" w:eastAsia="仿宋_GB2312"/>
          <w:sz w:val="32"/>
          <w:szCs w:val="32"/>
        </w:rPr>
        <w:t>建立信贷投向与质量监控和风险预警制度，及时接收整理政府及监管部门反馈的重大环境、安全生产违法违规和未完成年度节能目标的企业名单信息，并将其纳入信贷管理系统“不宜贷款户”中。持续关注授信客户在节能减排、环境保护、清洁生产和安全生产等方面的行为，对存在重大环境和社会风险的客户实行名单制管理。</w:t>
      </w:r>
    </w:p>
    <w:p w14:paraId="5969AE12">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3.绿色金融产品持续创新</w:t>
      </w:r>
    </w:p>
    <w:p w14:paraId="230BC49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结合长乐区域的经济特征，</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绿色金融信贷产品，完善现有的绿色信贷产品，丰富“五福”系列产品。重点对接长乐区自然资源和规划局、长乐生态环境局等碳排放权交易主管部门，探索创新排污权、用能权、碳排放权等权利质押贷款，在有效控制风险和商业可持续的前提下，在贷款额度、贷款利率、还贷条件等方面量身定制，给予优先、优惠、高效的服务。</w:t>
      </w:r>
    </w:p>
    <w:p w14:paraId="4EE81430">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三、治理结构</w:t>
      </w:r>
    </w:p>
    <w:p w14:paraId="09674CC8">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（一）董事会层面</w:t>
      </w:r>
    </w:p>
    <w:p w14:paraId="7CA33129">
      <w:pPr>
        <w:pStyle w:val="3"/>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绿色金融发展是本行“十四五”战略发展规划的重要内容，董事会作为绿色金融管理的最高决策机构，负责确定绿色金融战略规划，审批高级管理层制定的绿色金融目标和绿色金融工作措施。</w:t>
      </w:r>
    </w:p>
    <w:p w14:paraId="390E698A">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（二）管理层层面</w:t>
      </w:r>
    </w:p>
    <w:p w14:paraId="4148219B">
      <w:pPr>
        <w:pStyle w:val="3"/>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高级管理层负责制定绿色金融工作措施，建立绿色金融工作机制和流程。高级管理层下设</w:t>
      </w:r>
      <w:r>
        <w:rPr>
          <w:rFonts w:hint="eastAsia" w:ascii="仿宋_GB2312" w:eastAsia="仿宋_GB2312"/>
          <w:sz w:val="32"/>
          <w:szCs w:val="32"/>
        </w:rPr>
        <w:t>绿色金融工作领导小组，由董事长担任组长，行长、副行长任副组长，职能部门负责人为小组成员。</w:t>
      </w:r>
    </w:p>
    <w:p w14:paraId="5E3E559C">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（三）总行部门层面</w:t>
      </w:r>
    </w:p>
    <w:p w14:paraId="4589FB86">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领导小组下设办公室，挂靠普惠金融部，负责本行绿色金融业务推进、督导和考评工作，做好绿色金融产品研发和网点业务培训，并定期向领导小组汇报绿色金融推进进度。</w:t>
      </w:r>
    </w:p>
    <w:p w14:paraId="30D3711E">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（四）分支机构层面</w:t>
      </w:r>
    </w:p>
    <w:p w14:paraId="55BB752F">
      <w:pPr>
        <w:pStyle w:val="3"/>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各基层网点根据总行安排，负责具体绿色金融工作的实施和活动组织等，围绕所在区域重点绿色领域，加大营销组织推进力度，并在经营中开展绿色运营、实践绿色行为、推动绿色采购、履行绿色价值。</w:t>
      </w:r>
    </w:p>
    <w:p w14:paraId="4C13077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四、政策制度</w:t>
      </w:r>
    </w:p>
    <w:p w14:paraId="5692185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（一）外部制度政策</w:t>
      </w:r>
    </w:p>
    <w:p w14:paraId="3F03B7B1">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rPr>
        <w:t>本人认真</w:t>
      </w:r>
      <w:r>
        <w:rPr>
          <w:rFonts w:hint="eastAsia" w:ascii="仿宋_GB2312" w:hAnsi="仿宋_GB2312" w:eastAsia="仿宋_GB2312" w:cs="仿宋_GB2312"/>
          <w:color w:val="auto"/>
          <w:sz w:val="32"/>
          <w:szCs w:val="32"/>
          <w:lang w:val="zh-TW"/>
        </w:rPr>
        <w:t>贯彻落实中共中央、国务院《关于加快推进生态文明建设的意见》、《生态文明体制改革总体方案》，七部委《关于构建绿色金融体系的指导意见》（银发〔2016）228号）等精神，践行“创新、协调、绿色、开放、共享”发展理念，坚持“绿水青山就是金山银山”的发展方向，助力推进生态文明建设，积极构建绿色金融体系，大力发展绿色信贷等业务，防范绿色环保相关金融风险，促进经济绿色转型发展。严格遵守《中华人民共和国环境保护法》《中华人民共和国节约能源法》《中华人民共和国固体废物污染环境防治法》等法律法规及其他规范性文件，开展绿色办公运营，坚持节能环保理念，制定节能减排制度措施，践行环境保护责任。</w:t>
      </w:r>
    </w:p>
    <w:p w14:paraId="7AFD8BD5">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（二）内部制度政策</w:t>
      </w:r>
    </w:p>
    <w:p w14:paraId="14265636">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为着力落实绿色金融总体规划，进一步推动本行绿色金融业务高质量发展，</w:t>
      </w:r>
      <w:r>
        <w:rPr>
          <w:rFonts w:hint="eastAsia" w:ascii="仿宋_GB2312" w:hAnsi="仿宋_GB2312" w:eastAsia="仿宋_GB2312" w:cs="仿宋_GB2312"/>
          <w:color w:val="auto"/>
          <w:sz w:val="32"/>
          <w:szCs w:val="32"/>
        </w:rPr>
        <w:t>本行</w:t>
      </w:r>
      <w:r>
        <w:rPr>
          <w:rFonts w:hint="eastAsia" w:ascii="仿宋_GB2312" w:hAnsi="仿宋_GB2312" w:eastAsia="仿宋_GB2312" w:cs="仿宋_GB2312"/>
          <w:color w:val="auto"/>
          <w:sz w:val="32"/>
          <w:szCs w:val="32"/>
          <w:lang w:val="zh-TW"/>
        </w:rPr>
        <w:t>制定《长乐农商银行推进绿色金融发展实施方案》，将绿色发展融入公司治理理念中，</w:t>
      </w:r>
      <w:r>
        <w:rPr>
          <w:rFonts w:hint="eastAsia" w:ascii="仿宋_GB2312" w:eastAsia="仿宋_GB2312"/>
          <w:sz w:val="32"/>
          <w:szCs w:val="32"/>
        </w:rPr>
        <w:t>按照“投向绿色、授信绿色、产品绿色、渠道绿色、服务绿色”的发展思路，</w:t>
      </w:r>
      <w:r>
        <w:rPr>
          <w:rFonts w:hint="eastAsia" w:ascii="仿宋_GB2312" w:hAnsi="仿宋_GB2312" w:eastAsia="仿宋_GB2312" w:cs="仿宋_GB2312"/>
          <w:color w:val="auto"/>
          <w:sz w:val="32"/>
          <w:szCs w:val="32"/>
          <w:lang w:val="zh-TW"/>
        </w:rPr>
        <w:t>健全绿色信贷全流程管理机制，全面提升绿色金融服务水平；加大绿色金融产品和服务创新，探索开展绿色信贷、绿色消费金融、碳金融等金融产品和服务创新。</w:t>
      </w:r>
    </w:p>
    <w:p w14:paraId="1E2F6BA2">
      <w:pPr>
        <w:pStyle w:val="9"/>
        <w:tabs>
          <w:tab w:val="left" w:pos="949"/>
        </w:tabs>
        <w:spacing w:line="560" w:lineRule="exact"/>
        <w:jc w:val="center"/>
        <w:rPr>
          <w:rFonts w:ascii="黑体" w:hAnsi="黑体" w:eastAsia="黑体" w:cs="黑体"/>
          <w:color w:val="auto"/>
          <w:kern w:val="0"/>
          <w:sz w:val="28"/>
          <w:szCs w:val="28"/>
          <w:lang w:val="zh-TW"/>
        </w:rPr>
      </w:pPr>
      <w:r>
        <w:rPr>
          <w:rFonts w:hint="eastAsia" w:ascii="黑体" w:hAnsi="黑体" w:eastAsia="黑体" w:cs="黑体"/>
          <w:color w:val="auto"/>
          <w:kern w:val="0"/>
          <w:sz w:val="28"/>
          <w:szCs w:val="28"/>
          <w:lang w:val="zh-TW"/>
        </w:rPr>
        <w:t>表</w:t>
      </w:r>
      <w:r>
        <w:rPr>
          <w:rFonts w:hint="eastAsia" w:ascii="黑体" w:hAnsi="黑体" w:eastAsia="黑体" w:cs="黑体"/>
          <w:color w:val="auto"/>
          <w:kern w:val="0"/>
          <w:sz w:val="28"/>
          <w:szCs w:val="28"/>
        </w:rPr>
        <w:t>1：</w:t>
      </w:r>
      <w:r>
        <w:rPr>
          <w:rFonts w:hint="eastAsia" w:ascii="黑体" w:hAnsi="黑体" w:eastAsia="黑体" w:cs="黑体"/>
          <w:color w:val="auto"/>
          <w:kern w:val="0"/>
          <w:sz w:val="28"/>
          <w:szCs w:val="28"/>
          <w:lang w:val="zh-TW"/>
        </w:rPr>
        <w:t>金融机构环境政策制度情况表</w:t>
      </w:r>
    </w:p>
    <w:tbl>
      <w:tblPr>
        <w:tblStyle w:val="7"/>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3"/>
        <w:gridCol w:w="1325"/>
        <w:gridCol w:w="1587"/>
        <w:gridCol w:w="1850"/>
        <w:gridCol w:w="1550"/>
      </w:tblGrid>
      <w:tr w14:paraId="7396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153" w:type="dxa"/>
          </w:tcPr>
          <w:p w14:paraId="1A251789">
            <w:pPr>
              <w:pStyle w:val="9"/>
              <w:tabs>
                <w:tab w:val="left" w:pos="949"/>
              </w:tabs>
              <w:spacing w:line="560" w:lineRule="exact"/>
              <w:jc w:val="center"/>
              <w:rPr>
                <w:rFonts w:ascii="仿宋" w:hAnsi="仿宋" w:eastAsia="仿宋" w:cs="仿宋"/>
                <w:b/>
                <w:bCs/>
                <w:color w:val="auto"/>
                <w:kern w:val="0"/>
                <w:sz w:val="24"/>
                <w:szCs w:val="24"/>
                <w:lang w:val="zh-TW"/>
              </w:rPr>
            </w:pPr>
            <w:r>
              <w:rPr>
                <w:rFonts w:hint="eastAsia" w:ascii="仿宋" w:hAnsi="仿宋" w:eastAsia="仿宋" w:cs="仿宋"/>
                <w:b/>
                <w:bCs/>
                <w:color w:val="auto"/>
                <w:kern w:val="0"/>
                <w:sz w:val="24"/>
                <w:szCs w:val="24"/>
                <w:lang w:val="zh-TW"/>
              </w:rPr>
              <w:t>文件名称</w:t>
            </w:r>
          </w:p>
        </w:tc>
        <w:tc>
          <w:tcPr>
            <w:tcW w:w="1325" w:type="dxa"/>
          </w:tcPr>
          <w:p w14:paraId="7298CCA5">
            <w:pPr>
              <w:pStyle w:val="9"/>
              <w:tabs>
                <w:tab w:val="left" w:pos="949"/>
              </w:tabs>
              <w:spacing w:line="560" w:lineRule="exact"/>
              <w:jc w:val="center"/>
              <w:rPr>
                <w:rFonts w:ascii="仿宋" w:hAnsi="仿宋" w:eastAsia="仿宋" w:cs="仿宋"/>
                <w:b/>
                <w:bCs/>
                <w:color w:val="auto"/>
                <w:kern w:val="0"/>
                <w:sz w:val="24"/>
                <w:szCs w:val="24"/>
                <w:lang w:val="zh-TW"/>
              </w:rPr>
            </w:pPr>
            <w:r>
              <w:rPr>
                <w:rFonts w:hint="eastAsia" w:ascii="仿宋" w:hAnsi="仿宋" w:eastAsia="仿宋" w:cs="仿宋"/>
                <w:b/>
                <w:bCs/>
                <w:color w:val="auto"/>
                <w:kern w:val="0"/>
                <w:sz w:val="24"/>
                <w:szCs w:val="24"/>
                <w:lang w:val="zh-TW"/>
              </w:rPr>
              <w:t>发文字号</w:t>
            </w:r>
          </w:p>
        </w:tc>
        <w:tc>
          <w:tcPr>
            <w:tcW w:w="1587" w:type="dxa"/>
          </w:tcPr>
          <w:p w14:paraId="0924C89D">
            <w:pPr>
              <w:pStyle w:val="9"/>
              <w:tabs>
                <w:tab w:val="left" w:pos="949"/>
              </w:tabs>
              <w:spacing w:line="560" w:lineRule="exact"/>
              <w:jc w:val="center"/>
              <w:rPr>
                <w:rFonts w:ascii="仿宋" w:hAnsi="仿宋" w:eastAsia="仿宋" w:cs="仿宋"/>
                <w:b/>
                <w:bCs/>
                <w:color w:val="auto"/>
                <w:kern w:val="0"/>
                <w:sz w:val="24"/>
                <w:szCs w:val="24"/>
                <w:lang w:val="zh-TW"/>
              </w:rPr>
            </w:pPr>
            <w:r>
              <w:rPr>
                <w:rFonts w:hint="eastAsia" w:ascii="仿宋" w:hAnsi="仿宋" w:eastAsia="仿宋" w:cs="仿宋"/>
                <w:b/>
                <w:bCs/>
                <w:color w:val="auto"/>
                <w:kern w:val="0"/>
                <w:sz w:val="24"/>
                <w:szCs w:val="24"/>
                <w:lang w:val="zh-TW"/>
              </w:rPr>
              <w:t>文件类型</w:t>
            </w:r>
          </w:p>
        </w:tc>
        <w:tc>
          <w:tcPr>
            <w:tcW w:w="1850" w:type="dxa"/>
          </w:tcPr>
          <w:p w14:paraId="2A43BA2B">
            <w:pPr>
              <w:pStyle w:val="9"/>
              <w:tabs>
                <w:tab w:val="left" w:pos="949"/>
              </w:tabs>
              <w:spacing w:line="560" w:lineRule="exact"/>
              <w:jc w:val="center"/>
              <w:rPr>
                <w:rFonts w:ascii="仿宋" w:hAnsi="仿宋" w:eastAsia="仿宋" w:cs="仿宋"/>
                <w:b/>
                <w:bCs/>
                <w:color w:val="auto"/>
                <w:kern w:val="0"/>
                <w:sz w:val="24"/>
                <w:szCs w:val="24"/>
                <w:lang w:val="zh-TW"/>
              </w:rPr>
            </w:pPr>
            <w:r>
              <w:rPr>
                <w:rFonts w:hint="eastAsia" w:ascii="仿宋" w:hAnsi="仿宋" w:eastAsia="仿宋" w:cs="仿宋"/>
                <w:b/>
                <w:bCs/>
                <w:color w:val="auto"/>
                <w:kern w:val="0"/>
                <w:sz w:val="24"/>
                <w:szCs w:val="24"/>
                <w:lang w:val="zh-TW"/>
              </w:rPr>
              <w:t>文件主要内容</w:t>
            </w:r>
          </w:p>
        </w:tc>
        <w:tc>
          <w:tcPr>
            <w:tcW w:w="1550" w:type="dxa"/>
          </w:tcPr>
          <w:p w14:paraId="4B8DC5C9">
            <w:pPr>
              <w:pStyle w:val="9"/>
              <w:tabs>
                <w:tab w:val="left" w:pos="949"/>
              </w:tabs>
              <w:spacing w:line="560" w:lineRule="exact"/>
              <w:jc w:val="center"/>
              <w:rPr>
                <w:rFonts w:ascii="仿宋" w:hAnsi="仿宋" w:eastAsia="仿宋" w:cs="仿宋"/>
                <w:b/>
                <w:bCs/>
                <w:color w:val="auto"/>
                <w:kern w:val="0"/>
                <w:sz w:val="24"/>
                <w:szCs w:val="24"/>
                <w:lang w:val="zh-TW"/>
              </w:rPr>
            </w:pPr>
            <w:r>
              <w:rPr>
                <w:rFonts w:hint="eastAsia" w:ascii="仿宋" w:hAnsi="仿宋" w:eastAsia="仿宋" w:cs="仿宋"/>
                <w:b/>
                <w:bCs/>
                <w:color w:val="auto"/>
                <w:kern w:val="0"/>
                <w:sz w:val="24"/>
                <w:szCs w:val="24"/>
                <w:lang w:val="zh-TW"/>
              </w:rPr>
              <w:t>备注</w:t>
            </w:r>
          </w:p>
        </w:tc>
      </w:tr>
      <w:tr w14:paraId="49FD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8" w:hRule="exact"/>
          <w:jc w:val="center"/>
        </w:trPr>
        <w:tc>
          <w:tcPr>
            <w:tcW w:w="2153" w:type="dxa"/>
            <w:vAlign w:val="center"/>
          </w:tcPr>
          <w:p w14:paraId="083DF8F8">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《中共中央国务院关于加快推进生态文明建设的意见》《生态文明体制改革总体方案》《中国人民银行银行财政部发展改革委环境保护部银监会证监会保监会关于构建绿色金融体系的指导意见》</w:t>
            </w:r>
          </w:p>
        </w:tc>
        <w:tc>
          <w:tcPr>
            <w:tcW w:w="1325" w:type="dxa"/>
            <w:vAlign w:val="center"/>
          </w:tcPr>
          <w:p w14:paraId="18C1E749">
            <w:pPr>
              <w:pStyle w:val="9"/>
              <w:tabs>
                <w:tab w:val="left" w:pos="949"/>
              </w:tabs>
              <w:spacing w:line="560" w:lineRule="exact"/>
              <w:jc w:val="center"/>
              <w:rPr>
                <w:rFonts w:ascii="仿宋" w:hAnsi="仿宋" w:eastAsia="仿宋" w:cs="仿宋"/>
                <w:color w:val="auto"/>
                <w:kern w:val="0"/>
                <w:sz w:val="24"/>
                <w:szCs w:val="24"/>
                <w:lang w:val="zh-TW"/>
              </w:rPr>
            </w:pPr>
          </w:p>
        </w:tc>
        <w:tc>
          <w:tcPr>
            <w:tcW w:w="1587" w:type="dxa"/>
            <w:vAlign w:val="center"/>
          </w:tcPr>
          <w:p w14:paraId="38DF71F2">
            <w:pPr>
              <w:pStyle w:val="9"/>
              <w:tabs>
                <w:tab w:val="left" w:pos="949"/>
              </w:tabs>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外部政策</w:t>
            </w:r>
          </w:p>
        </w:tc>
        <w:tc>
          <w:tcPr>
            <w:tcW w:w="1850" w:type="dxa"/>
            <w:vAlign w:val="center"/>
          </w:tcPr>
          <w:p w14:paraId="0DFAA4B4">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有关生态文明建设的各项要求。</w:t>
            </w:r>
          </w:p>
        </w:tc>
        <w:tc>
          <w:tcPr>
            <w:tcW w:w="1550" w:type="dxa"/>
            <w:vAlign w:val="center"/>
          </w:tcPr>
          <w:p w14:paraId="634396FC">
            <w:pPr>
              <w:pStyle w:val="9"/>
              <w:tabs>
                <w:tab w:val="left" w:pos="949"/>
              </w:tabs>
              <w:spacing w:line="560" w:lineRule="exact"/>
              <w:jc w:val="center"/>
              <w:rPr>
                <w:rFonts w:ascii="仿宋" w:hAnsi="仿宋" w:eastAsia="仿宋" w:cs="仿宋"/>
                <w:color w:val="auto"/>
                <w:kern w:val="0"/>
                <w:sz w:val="24"/>
                <w:szCs w:val="24"/>
                <w:lang w:val="zh-TW"/>
              </w:rPr>
            </w:pPr>
          </w:p>
        </w:tc>
      </w:tr>
      <w:tr w14:paraId="2295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1" w:hRule="exact"/>
          <w:jc w:val="center"/>
        </w:trPr>
        <w:tc>
          <w:tcPr>
            <w:tcW w:w="2153" w:type="dxa"/>
            <w:vAlign w:val="center"/>
          </w:tcPr>
          <w:p w14:paraId="14CCCE9C">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《中华人民共和国环境保护法》《中华人民共和国节约能源法》《中华人民共和国固体废物污染环境防治法》</w:t>
            </w:r>
          </w:p>
        </w:tc>
        <w:tc>
          <w:tcPr>
            <w:tcW w:w="1325" w:type="dxa"/>
            <w:vAlign w:val="center"/>
          </w:tcPr>
          <w:p w14:paraId="4DDEAD88">
            <w:pPr>
              <w:pStyle w:val="9"/>
              <w:tabs>
                <w:tab w:val="left" w:pos="949"/>
              </w:tabs>
              <w:jc w:val="center"/>
              <w:rPr>
                <w:rFonts w:ascii="仿宋" w:hAnsi="仿宋" w:eastAsia="仿宋" w:cs="仿宋"/>
                <w:color w:val="auto"/>
                <w:kern w:val="0"/>
                <w:sz w:val="24"/>
                <w:szCs w:val="24"/>
                <w:lang w:val="zh-TW"/>
              </w:rPr>
            </w:pPr>
          </w:p>
        </w:tc>
        <w:tc>
          <w:tcPr>
            <w:tcW w:w="1587" w:type="dxa"/>
            <w:vAlign w:val="center"/>
          </w:tcPr>
          <w:p w14:paraId="5913811C">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rPr>
              <w:t>外部政策</w:t>
            </w:r>
          </w:p>
        </w:tc>
        <w:tc>
          <w:tcPr>
            <w:tcW w:w="1850" w:type="dxa"/>
            <w:vAlign w:val="center"/>
          </w:tcPr>
          <w:p w14:paraId="3761D814">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有关节能环保的各项要求。</w:t>
            </w:r>
          </w:p>
        </w:tc>
        <w:tc>
          <w:tcPr>
            <w:tcW w:w="1550" w:type="dxa"/>
            <w:vAlign w:val="center"/>
          </w:tcPr>
          <w:p w14:paraId="560D41F4">
            <w:pPr>
              <w:pStyle w:val="9"/>
              <w:tabs>
                <w:tab w:val="left" w:pos="949"/>
              </w:tabs>
              <w:jc w:val="center"/>
              <w:rPr>
                <w:rFonts w:ascii="仿宋" w:hAnsi="仿宋" w:eastAsia="仿宋" w:cs="仿宋"/>
                <w:color w:val="auto"/>
                <w:kern w:val="0"/>
                <w:sz w:val="24"/>
                <w:szCs w:val="24"/>
                <w:lang w:val="zh-TW"/>
              </w:rPr>
            </w:pPr>
          </w:p>
        </w:tc>
      </w:tr>
      <w:tr w14:paraId="7E9A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exact"/>
          <w:jc w:val="center"/>
        </w:trPr>
        <w:tc>
          <w:tcPr>
            <w:tcW w:w="2153" w:type="dxa"/>
            <w:vAlign w:val="center"/>
          </w:tcPr>
          <w:p w14:paraId="15BA9F71">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《长乐农商银行推进绿色金融发展实施方案》（长农商〔2023〕54号）</w:t>
            </w:r>
          </w:p>
        </w:tc>
        <w:tc>
          <w:tcPr>
            <w:tcW w:w="1325" w:type="dxa"/>
            <w:vAlign w:val="center"/>
          </w:tcPr>
          <w:p w14:paraId="376256BF">
            <w:pPr>
              <w:pStyle w:val="9"/>
              <w:tabs>
                <w:tab w:val="left" w:pos="949"/>
              </w:tabs>
              <w:jc w:val="center"/>
              <w:rPr>
                <w:rFonts w:ascii="仿宋" w:hAnsi="仿宋" w:eastAsia="仿宋" w:cs="仿宋"/>
                <w:color w:val="auto"/>
                <w:kern w:val="0"/>
                <w:sz w:val="24"/>
                <w:szCs w:val="24"/>
                <w:lang w:val="zh-TW"/>
              </w:rPr>
            </w:pPr>
          </w:p>
        </w:tc>
        <w:tc>
          <w:tcPr>
            <w:tcW w:w="1587" w:type="dxa"/>
            <w:vAlign w:val="center"/>
          </w:tcPr>
          <w:p w14:paraId="1A47D557">
            <w:pPr>
              <w:pStyle w:val="9"/>
              <w:tabs>
                <w:tab w:val="left" w:pos="949"/>
              </w:tabs>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内部政策</w:t>
            </w:r>
          </w:p>
        </w:tc>
        <w:tc>
          <w:tcPr>
            <w:tcW w:w="1850" w:type="dxa"/>
            <w:vAlign w:val="center"/>
          </w:tcPr>
          <w:p w14:paraId="50BA3A76">
            <w:pPr>
              <w:pStyle w:val="9"/>
              <w:tabs>
                <w:tab w:val="left" w:pos="949"/>
              </w:tabs>
              <w:jc w:val="center"/>
              <w:rPr>
                <w:rFonts w:ascii="仿宋" w:hAnsi="仿宋" w:eastAsia="仿宋" w:cs="仿宋"/>
                <w:color w:val="auto"/>
                <w:kern w:val="0"/>
                <w:sz w:val="24"/>
                <w:szCs w:val="24"/>
                <w:lang w:val="zh-TW"/>
              </w:rPr>
            </w:pPr>
            <w:r>
              <w:rPr>
                <w:rFonts w:hint="eastAsia" w:ascii="仿宋" w:hAnsi="仿宋" w:eastAsia="仿宋" w:cs="仿宋"/>
                <w:color w:val="auto"/>
                <w:kern w:val="0"/>
                <w:sz w:val="24"/>
                <w:szCs w:val="24"/>
                <w:lang w:val="zh-TW"/>
              </w:rPr>
              <w:t>有关建立绿色金融工作机制和流程的组织架构。</w:t>
            </w:r>
          </w:p>
        </w:tc>
        <w:tc>
          <w:tcPr>
            <w:tcW w:w="1550" w:type="dxa"/>
            <w:vAlign w:val="center"/>
          </w:tcPr>
          <w:p w14:paraId="79CC6206">
            <w:pPr>
              <w:pStyle w:val="9"/>
              <w:tabs>
                <w:tab w:val="left" w:pos="949"/>
              </w:tabs>
              <w:jc w:val="center"/>
              <w:rPr>
                <w:rFonts w:ascii="仿宋" w:hAnsi="仿宋" w:eastAsia="仿宋" w:cs="仿宋"/>
                <w:color w:val="auto"/>
                <w:kern w:val="0"/>
                <w:sz w:val="24"/>
                <w:szCs w:val="24"/>
                <w:lang w:val="zh-TW"/>
              </w:rPr>
            </w:pPr>
          </w:p>
        </w:tc>
      </w:tr>
    </w:tbl>
    <w:p w14:paraId="064115EB">
      <w:pPr>
        <w:spacing w:line="560" w:lineRule="exact"/>
        <w:ind w:firstLine="640" w:firstLineChars="200"/>
        <w:rPr>
          <w:rFonts w:ascii="仿宋" w:hAnsi="仿宋" w:eastAsia="仿宋" w:cs="仿宋"/>
          <w:sz w:val="32"/>
          <w:szCs w:val="32"/>
        </w:rPr>
      </w:pPr>
    </w:p>
    <w:p w14:paraId="08F33D33">
      <w:pPr>
        <w:spacing w:line="560" w:lineRule="exact"/>
        <w:ind w:firstLine="640" w:firstLineChars="200"/>
        <w:rPr>
          <w:rFonts w:ascii="仿宋_GB2312" w:hAnsi="仿宋_GB2312" w:eastAsia="仿宋_GB2312" w:cs="仿宋_GB2312"/>
          <w:sz w:val="32"/>
          <w:szCs w:val="32"/>
          <w:lang w:val="zh-TW"/>
        </w:rPr>
      </w:pPr>
      <w:r>
        <w:rPr>
          <w:rFonts w:hint="eastAsia" w:ascii="黑体" w:hAnsi="黑体" w:eastAsia="黑体" w:cs="黑体"/>
          <w:sz w:val="32"/>
          <w:szCs w:val="32"/>
        </w:rPr>
        <w:t>五、产品创新与研究成果</w:t>
      </w:r>
    </w:p>
    <w:p w14:paraId="397CE9EA">
      <w:pPr>
        <w:pStyle w:val="9"/>
        <w:tabs>
          <w:tab w:val="left" w:pos="949"/>
        </w:tabs>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zh-TW"/>
        </w:rPr>
        <w:t>（</w:t>
      </w: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val="zh-TW"/>
        </w:rPr>
        <w:t>）“福海·养殖贷”</w:t>
      </w:r>
      <w:r>
        <w:rPr>
          <w:rFonts w:hint="eastAsia" w:ascii="楷体_GB2312" w:hAnsi="楷体_GB2312" w:eastAsia="楷体_GB2312" w:cs="楷体_GB2312"/>
          <w:b/>
          <w:bCs/>
          <w:color w:val="auto"/>
          <w:sz w:val="32"/>
          <w:szCs w:val="32"/>
        </w:rPr>
        <w:t>激活绿色渔业“新动能”</w:t>
      </w:r>
    </w:p>
    <w:p w14:paraId="48DF247E">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渔业养殖是长乐区唯一的海岛行政村——长屿岛的传统产业，也是支柱产业。202</w:t>
      </w:r>
      <w:r>
        <w:rPr>
          <w:rFonts w:ascii="仿宋_GB2312" w:hAnsi="仿宋_GB2312" w:eastAsia="PMingLiU" w:cs="仿宋_GB2312"/>
          <w:color w:val="auto"/>
          <w:sz w:val="32"/>
          <w:szCs w:val="32"/>
          <w:lang w:val="zh-TW" w:eastAsia="zh-TW"/>
        </w:rPr>
        <w:t>3</w:t>
      </w:r>
      <w:r>
        <w:rPr>
          <w:rFonts w:hint="eastAsia" w:ascii="仿宋_GB2312" w:hAnsi="仿宋_GB2312" w:eastAsia="仿宋_GB2312" w:cs="仿宋_GB2312"/>
          <w:color w:val="auto"/>
          <w:sz w:val="32"/>
          <w:szCs w:val="32"/>
          <w:lang w:val="zh-TW"/>
        </w:rPr>
        <w:t>年初，得益于养殖海权改革的政策红利，长屿岛进行海权改革试点工作，实现传统养殖业向深远海、绿色型发展。这项海权改革试点工作给长屿岛带来了发家致富的希望，但多数渔民苦于没有充足的资金支持，只能“望海兴叹”。</w:t>
      </w:r>
    </w:p>
    <w:p w14:paraId="0EFDCE81">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长乐农商银行了解这一情况后，</w:t>
      </w:r>
      <w:r>
        <w:rPr>
          <w:rFonts w:hint="eastAsia" w:ascii="仿宋_GB2312" w:hAnsi="仿宋_GB2312" w:eastAsia="仿宋_GB2312" w:cs="仿宋_GB2312"/>
          <w:color w:val="auto"/>
          <w:sz w:val="32"/>
          <w:szCs w:val="32"/>
        </w:rPr>
        <w:t>积极响应政策号召，</w:t>
      </w:r>
      <w:r>
        <w:rPr>
          <w:rFonts w:hint="eastAsia" w:ascii="仿宋_GB2312" w:hAnsi="仿宋_GB2312" w:eastAsia="仿宋_GB2312" w:cs="仿宋_GB2312"/>
          <w:color w:val="auto"/>
          <w:sz w:val="32"/>
          <w:szCs w:val="32"/>
          <w:lang w:val="zh-TW"/>
        </w:rPr>
        <w:t>以“党建+金融”双基联动为抓手，</w:t>
      </w:r>
      <w:r>
        <w:rPr>
          <w:rFonts w:hint="eastAsia" w:ascii="仿宋_GB2312" w:hAnsi="仿宋_GB2312" w:eastAsia="仿宋_GB2312" w:cs="仿宋_GB2312"/>
          <w:color w:val="auto"/>
          <w:sz w:val="32"/>
          <w:szCs w:val="32"/>
        </w:rPr>
        <w:t>主动加强与当地村委、养殖户联动，</w:t>
      </w:r>
      <w:r>
        <w:rPr>
          <w:rFonts w:hint="eastAsia" w:ascii="仿宋_GB2312" w:hAnsi="仿宋_GB2312" w:eastAsia="仿宋_GB2312" w:cs="仿宋_GB2312"/>
          <w:color w:val="auto"/>
          <w:sz w:val="32"/>
          <w:szCs w:val="32"/>
          <w:lang w:val="zh-TW"/>
        </w:rPr>
        <w:t>创新推出以水域滩涂养殖凭证为抵押的绿色金融产品——“福海·养殖贷”，</w:t>
      </w:r>
      <w:r>
        <w:rPr>
          <w:rFonts w:hint="eastAsia" w:ascii="仿宋_GB2312" w:hAnsi="仿宋_GB2312" w:eastAsia="仿宋_GB2312" w:cs="仿宋_GB2312"/>
          <w:color w:val="auto"/>
          <w:sz w:val="32"/>
          <w:szCs w:val="32"/>
        </w:rPr>
        <w:t>不仅对</w:t>
      </w:r>
      <w:r>
        <w:rPr>
          <w:rFonts w:hint="eastAsia" w:ascii="仿宋_GB2312" w:hAnsi="仿宋_GB2312" w:eastAsia="仿宋_GB2312" w:cs="仿宋_GB2312"/>
          <w:color w:val="auto"/>
          <w:sz w:val="32"/>
          <w:szCs w:val="32"/>
          <w:lang w:val="zh-TW"/>
        </w:rPr>
        <w:t>长屿岛持有养殖凭证的渔民给予</w:t>
      </w:r>
      <w:r>
        <w:rPr>
          <w:rFonts w:hint="eastAsia" w:ascii="仿宋_GB2312" w:hAnsi="仿宋_GB2312" w:eastAsia="仿宋_GB2312" w:cs="仿宋_GB2312"/>
          <w:color w:val="auto"/>
          <w:sz w:val="32"/>
          <w:szCs w:val="32"/>
        </w:rPr>
        <w:t>贷款优惠</w:t>
      </w:r>
      <w:r>
        <w:rPr>
          <w:rFonts w:hint="eastAsia" w:ascii="仿宋_GB2312" w:hAnsi="仿宋_GB2312" w:eastAsia="仿宋_GB2312" w:cs="仿宋_GB2312"/>
          <w:color w:val="auto"/>
          <w:sz w:val="32"/>
          <w:szCs w:val="32"/>
          <w:lang w:val="zh-TW"/>
        </w:rPr>
        <w:t>利率，还量身定制金融服务方案，</w:t>
      </w:r>
      <w:r>
        <w:rPr>
          <w:rFonts w:hint="eastAsia" w:ascii="仿宋_GB2312" w:hAnsi="仿宋_GB2312" w:eastAsia="仿宋_GB2312" w:cs="仿宋_GB2312"/>
          <w:color w:val="auto"/>
          <w:sz w:val="32"/>
          <w:szCs w:val="32"/>
        </w:rPr>
        <w:t>为渔民</w:t>
      </w:r>
      <w:r>
        <w:rPr>
          <w:rFonts w:hint="eastAsia" w:ascii="仿宋_GB2312" w:hAnsi="仿宋_GB2312" w:eastAsia="仿宋_GB2312" w:cs="仿宋_GB2312"/>
          <w:color w:val="auto"/>
          <w:sz w:val="32"/>
          <w:szCs w:val="32"/>
          <w:lang w:val="zh-TW"/>
        </w:rPr>
        <w:t>提供与养殖海域租赁期相匹配的信贷资金，为长屿岛</w:t>
      </w:r>
      <w:r>
        <w:rPr>
          <w:rFonts w:hint="eastAsia" w:ascii="仿宋_GB2312" w:hAnsi="仿宋_GB2312" w:eastAsia="仿宋_GB2312" w:cs="仿宋_GB2312"/>
          <w:color w:val="auto"/>
          <w:sz w:val="32"/>
          <w:szCs w:val="32"/>
        </w:rPr>
        <w:t>绿色渔业发展</w:t>
      </w:r>
      <w:r>
        <w:rPr>
          <w:rFonts w:hint="eastAsia" w:ascii="仿宋_GB2312" w:hAnsi="仿宋_GB2312" w:eastAsia="仿宋_GB2312" w:cs="仿宋_GB2312"/>
          <w:color w:val="auto"/>
          <w:sz w:val="32"/>
          <w:szCs w:val="32"/>
          <w:lang w:val="zh-TW"/>
        </w:rPr>
        <w:t>注入鲜活动力。202</w:t>
      </w:r>
      <w:r>
        <w:rPr>
          <w:rFonts w:ascii="仿宋_GB2312" w:hAnsi="仿宋_GB2312" w:eastAsia="PMingLiU" w:cs="仿宋_GB2312"/>
          <w:color w:val="auto"/>
          <w:sz w:val="32"/>
          <w:szCs w:val="32"/>
          <w:lang w:val="zh-TW" w:eastAsia="zh-TW"/>
        </w:rPr>
        <w:t>4</w:t>
      </w:r>
      <w:r>
        <w:rPr>
          <w:rFonts w:hint="eastAsia" w:ascii="仿宋_GB2312" w:hAnsi="仿宋_GB2312" w:eastAsia="仿宋_GB2312" w:cs="仿宋_GB2312"/>
          <w:color w:val="auto"/>
          <w:sz w:val="32"/>
          <w:szCs w:val="32"/>
          <w:lang w:val="zh-TW"/>
        </w:rPr>
        <w:t>年</w:t>
      </w:r>
      <w:r>
        <w:rPr>
          <w:rFonts w:ascii="仿宋_GB2312" w:hAnsi="仿宋_GB2312" w:eastAsia="PMingLiU" w:cs="仿宋_GB2312"/>
          <w:color w:val="auto"/>
          <w:sz w:val="32"/>
          <w:szCs w:val="32"/>
          <w:lang w:val="zh-TW" w:eastAsia="zh-TW"/>
        </w:rPr>
        <w:t>4</w:t>
      </w:r>
      <w:r>
        <w:rPr>
          <w:rFonts w:hint="eastAsia" w:ascii="仿宋_GB2312" w:hAnsi="仿宋_GB2312" w:eastAsia="仿宋_GB2312" w:cs="仿宋_GB2312"/>
          <w:color w:val="auto"/>
          <w:sz w:val="32"/>
          <w:szCs w:val="32"/>
          <w:lang w:val="zh-TW"/>
        </w:rPr>
        <w:t>月，长乐农商银行成功向长屿岛</w:t>
      </w:r>
      <w:r>
        <w:rPr>
          <w:rFonts w:hint="eastAsia" w:ascii="仿宋_GB2312" w:hAnsi="仿宋_GB2312" w:eastAsia="仿宋_GB2312" w:cs="仿宋_GB2312"/>
          <w:color w:val="auto"/>
          <w:sz w:val="32"/>
          <w:szCs w:val="32"/>
        </w:rPr>
        <w:t>某</w:t>
      </w:r>
      <w:r>
        <w:rPr>
          <w:rFonts w:hint="eastAsia" w:ascii="仿宋_GB2312" w:hAnsi="仿宋_GB2312" w:eastAsia="仿宋_GB2312" w:cs="仿宋_GB2312"/>
          <w:color w:val="auto"/>
          <w:sz w:val="32"/>
          <w:szCs w:val="32"/>
          <w:lang w:val="zh-TW"/>
        </w:rPr>
        <w:t>水产养殖公司发放“福海·养殖贷”</w:t>
      </w:r>
      <w:r>
        <w:rPr>
          <w:rFonts w:ascii="仿宋_GB2312" w:hAnsi="仿宋_GB2312" w:eastAsia="PMingLiU" w:cs="仿宋_GB2312"/>
          <w:color w:val="auto"/>
          <w:sz w:val="32"/>
          <w:szCs w:val="32"/>
          <w:lang w:val="zh-TW" w:eastAsia="zh-TW"/>
        </w:rPr>
        <w:t>350</w:t>
      </w:r>
      <w:r>
        <w:rPr>
          <w:rFonts w:hint="eastAsia" w:ascii="仿宋_GB2312" w:hAnsi="仿宋_GB2312" w:eastAsia="仿宋_GB2312" w:cs="仿宋_GB2312"/>
          <w:color w:val="auto"/>
          <w:sz w:val="32"/>
          <w:szCs w:val="32"/>
          <w:lang w:val="zh-TW"/>
        </w:rPr>
        <w:t>万元。</w:t>
      </w:r>
    </w:p>
    <w:p w14:paraId="613B50FF">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rPr>
        <w:t>近年来，长乐农商银行围绕长乐区海洋资源禀赋，不断开展</w:t>
      </w:r>
      <w:r>
        <w:rPr>
          <w:rFonts w:hint="eastAsia" w:ascii="仿宋_GB2312" w:hAnsi="仿宋_GB2312" w:eastAsia="仿宋_GB2312" w:cs="仿宋_GB2312"/>
          <w:color w:val="auto"/>
          <w:sz w:val="32"/>
          <w:szCs w:val="32"/>
          <w:lang w:val="zh-TW"/>
        </w:rPr>
        <w:t>渔业</w:t>
      </w:r>
      <w:r>
        <w:rPr>
          <w:rFonts w:hint="eastAsia" w:ascii="仿宋_GB2312" w:hAnsi="仿宋_GB2312" w:eastAsia="仿宋_GB2312" w:cs="仿宋_GB2312"/>
          <w:color w:val="auto"/>
          <w:sz w:val="32"/>
          <w:szCs w:val="32"/>
        </w:rPr>
        <w:t>生产要素流转融资探索</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rPr>
        <w:t>加大特色金融产品创新力度，助力绿色渔业转型升级。</w:t>
      </w:r>
      <w:r>
        <w:rPr>
          <w:rFonts w:hint="eastAsia" w:ascii="仿宋_GB2312" w:hAnsi="仿宋_GB2312" w:eastAsia="仿宋_GB2312" w:cs="仿宋_GB2312"/>
          <w:color w:val="auto"/>
          <w:sz w:val="32"/>
          <w:szCs w:val="32"/>
          <w:lang w:val="zh-TW"/>
        </w:rPr>
        <w:t>截至20</w:t>
      </w:r>
      <w:r>
        <w:rPr>
          <w:rFonts w:ascii="仿宋_GB2312" w:hAnsi="仿宋_GB2312" w:eastAsia="PMingLiU" w:cs="仿宋_GB2312"/>
          <w:color w:val="auto"/>
          <w:sz w:val="32"/>
          <w:szCs w:val="32"/>
          <w:lang w:val="zh-TW" w:eastAsia="zh-TW"/>
        </w:rPr>
        <w:t>24</w:t>
      </w:r>
      <w:r>
        <w:rPr>
          <w:rFonts w:hint="eastAsia" w:ascii="仿宋_GB2312" w:hAnsi="仿宋_GB2312" w:eastAsia="仿宋_GB2312" w:cs="仿宋_GB2312"/>
          <w:color w:val="auto"/>
          <w:sz w:val="32"/>
          <w:szCs w:val="32"/>
          <w:lang w:val="zh-TW"/>
        </w:rPr>
        <w:t>年末，长乐农商银行给予长屿岛绿色养殖项目总体授信金额达1亿元，“福海·养殖贷”累计授信</w:t>
      </w: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80</w:t>
      </w:r>
      <w:r>
        <w:rPr>
          <w:rFonts w:hint="eastAsia" w:ascii="仿宋_GB2312" w:hAnsi="仿宋_GB2312" w:eastAsia="仿宋_GB2312" w:cs="仿宋_GB2312"/>
          <w:color w:val="auto"/>
          <w:sz w:val="32"/>
          <w:szCs w:val="32"/>
          <w:lang w:val="zh-TW"/>
        </w:rPr>
        <w:t>万元。</w:t>
      </w:r>
    </w:p>
    <w:p w14:paraId="49F1D0AA">
      <w:pPr>
        <w:pStyle w:val="9"/>
        <w:tabs>
          <w:tab w:val="left" w:pos="949"/>
        </w:tabs>
        <w:spacing w:line="560" w:lineRule="exact"/>
        <w:ind w:firstLine="643" w:firstLineChars="200"/>
        <w:rPr>
          <w:rFonts w:ascii="楷体_GB2312" w:hAnsi="楷体_GB2312" w:eastAsia="楷体_GB2312" w:cs="楷体_GB2312"/>
          <w:b/>
          <w:bCs/>
          <w:color w:val="auto"/>
          <w:sz w:val="32"/>
          <w:szCs w:val="32"/>
          <w:lang w:val="zh-TW"/>
        </w:rPr>
      </w:pPr>
      <w:r>
        <w:rPr>
          <w:rFonts w:hint="eastAsia" w:ascii="楷体_GB2312" w:hAnsi="楷体_GB2312" w:eastAsia="楷体_GB2312" w:cs="楷体_GB2312"/>
          <w:b/>
          <w:bCs/>
          <w:color w:val="auto"/>
          <w:sz w:val="32"/>
          <w:szCs w:val="32"/>
          <w:lang w:val="zh-TW"/>
        </w:rPr>
        <w:t>（</w:t>
      </w: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val="zh-TW"/>
        </w:rPr>
        <w:t>）“金融+河长制”</w:t>
      </w:r>
      <w:r>
        <w:rPr>
          <w:rFonts w:hint="eastAsia" w:ascii="楷体_GB2312" w:hAnsi="楷体_GB2312" w:eastAsia="楷体_GB2312" w:cs="楷体_GB2312"/>
          <w:b/>
          <w:bCs/>
          <w:color w:val="auto"/>
          <w:sz w:val="32"/>
          <w:szCs w:val="32"/>
        </w:rPr>
        <w:t>走出</w:t>
      </w:r>
      <w:r>
        <w:rPr>
          <w:rFonts w:hint="eastAsia" w:ascii="楷体_GB2312" w:hAnsi="楷体_GB2312" w:eastAsia="楷体_GB2312" w:cs="楷体_GB2312"/>
          <w:b/>
          <w:bCs/>
          <w:color w:val="auto"/>
          <w:sz w:val="32"/>
          <w:szCs w:val="32"/>
          <w:lang w:val="zh-TW"/>
        </w:rPr>
        <w:t>河湖</w:t>
      </w:r>
      <w:r>
        <w:rPr>
          <w:rFonts w:hint="eastAsia" w:ascii="楷体_GB2312" w:hAnsi="楷体_GB2312" w:eastAsia="楷体_GB2312" w:cs="楷体_GB2312"/>
          <w:b/>
          <w:bCs/>
          <w:color w:val="auto"/>
          <w:sz w:val="32"/>
          <w:szCs w:val="32"/>
        </w:rPr>
        <w:t>治理“新路子”</w:t>
      </w:r>
    </w:p>
    <w:p w14:paraId="42966393">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rPr>
        <w:t>为以金融‘活水’激活河湖管理“一池春水”</w:t>
      </w:r>
      <w:r>
        <w:rPr>
          <w:rFonts w:hint="eastAsia" w:ascii="仿宋_GB2312" w:hAnsi="仿宋_GB2312" w:eastAsia="仿宋_GB2312" w:cs="仿宋_GB2312"/>
          <w:color w:val="auto"/>
          <w:sz w:val="32"/>
          <w:szCs w:val="32"/>
          <w:lang w:val="zh-TW"/>
        </w:rPr>
        <w:t>，推进“水美长乐”建设，202</w:t>
      </w:r>
      <w:r>
        <w:rPr>
          <w:rFonts w:hint="eastAsia" w:ascii="仿宋_GB2312" w:hAnsi="仿宋_GB2312" w:cs="仿宋_GB2312" w:eastAsiaTheme="minorEastAsia"/>
          <w:color w:val="auto"/>
          <w:sz w:val="32"/>
          <w:szCs w:val="32"/>
          <w:lang w:val="zh-TW"/>
        </w:rPr>
        <w:t>3</w:t>
      </w:r>
      <w:r>
        <w:rPr>
          <w:rFonts w:hint="eastAsia" w:ascii="仿宋_GB2312" w:hAnsi="仿宋_GB2312" w:eastAsia="仿宋_GB2312" w:cs="仿宋_GB2312"/>
          <w:color w:val="auto"/>
          <w:sz w:val="32"/>
          <w:szCs w:val="32"/>
          <w:lang w:val="zh-TW"/>
        </w:rPr>
        <w:t>年</w:t>
      </w:r>
      <w:r>
        <w:rPr>
          <w:rFonts w:hint="eastAsia" w:ascii="仿宋_GB2312" w:hAnsi="仿宋_GB2312" w:cs="仿宋_GB2312" w:eastAsiaTheme="minorEastAsia"/>
          <w:color w:val="auto"/>
          <w:sz w:val="32"/>
          <w:szCs w:val="32"/>
          <w:lang w:val="zh-TW"/>
        </w:rPr>
        <w:t>2</w:t>
      </w:r>
      <w:r>
        <w:rPr>
          <w:rFonts w:hint="eastAsia" w:ascii="仿宋_GB2312" w:hAnsi="仿宋_GB2312" w:eastAsia="仿宋_GB2312" w:cs="仿宋_GB2312"/>
          <w:color w:val="auto"/>
          <w:sz w:val="32"/>
          <w:szCs w:val="32"/>
          <w:lang w:val="zh-TW"/>
        </w:rPr>
        <w:t>月，长乐农商银行与长乐区松下镇人民政府就开展“金融+河长制”工作达成战略</w:t>
      </w:r>
      <w:r>
        <w:rPr>
          <w:rFonts w:hint="eastAsia" w:ascii="仿宋_GB2312" w:hAnsi="仿宋_GB2312" w:eastAsia="仿宋_GB2312" w:cs="仿宋_GB2312"/>
          <w:color w:val="auto"/>
          <w:sz w:val="32"/>
          <w:szCs w:val="32"/>
        </w:rPr>
        <w:t>合作</w:t>
      </w:r>
      <w:r>
        <w:rPr>
          <w:rFonts w:hint="eastAsia" w:ascii="仿宋_GB2312" w:hAnsi="仿宋_GB2312" w:eastAsia="仿宋_GB2312" w:cs="仿宋_GB2312"/>
          <w:color w:val="auto"/>
          <w:sz w:val="32"/>
          <w:szCs w:val="32"/>
          <w:lang w:val="zh-TW"/>
        </w:rPr>
        <w:t>。“金融+河长制”作为一种绿色金融服务的创新模式，</w:t>
      </w:r>
      <w:r>
        <w:rPr>
          <w:rFonts w:hint="eastAsia" w:ascii="仿宋_GB2312" w:hAnsi="仿宋_GB2312" w:eastAsia="仿宋_GB2312" w:cs="仿宋_GB2312"/>
          <w:color w:val="auto"/>
          <w:sz w:val="32"/>
          <w:szCs w:val="32"/>
        </w:rPr>
        <w:t>旨在</w:t>
      </w:r>
      <w:r>
        <w:rPr>
          <w:rFonts w:hint="eastAsia" w:ascii="仿宋_GB2312" w:hAnsi="仿宋_GB2312" w:eastAsia="仿宋_GB2312" w:cs="仿宋_GB2312"/>
          <w:color w:val="auto"/>
          <w:sz w:val="32"/>
          <w:szCs w:val="32"/>
          <w:lang w:val="zh-TW"/>
        </w:rPr>
        <w:t>打造“政府引导、金融助力、社会参与、群众受益”的</w:t>
      </w:r>
      <w:r>
        <w:rPr>
          <w:rFonts w:hint="eastAsia" w:ascii="仿宋_GB2312" w:hAnsi="仿宋_GB2312" w:eastAsia="仿宋_GB2312" w:cs="仿宋_GB2312"/>
          <w:color w:val="auto"/>
          <w:sz w:val="32"/>
          <w:szCs w:val="32"/>
        </w:rPr>
        <w:t>绿色河湖发展</w:t>
      </w:r>
      <w:r>
        <w:rPr>
          <w:rFonts w:hint="eastAsia" w:ascii="仿宋_GB2312" w:hAnsi="仿宋_GB2312" w:eastAsia="仿宋_GB2312" w:cs="仿宋_GB2312"/>
          <w:color w:val="auto"/>
          <w:sz w:val="32"/>
          <w:szCs w:val="32"/>
          <w:lang w:val="zh-TW"/>
        </w:rPr>
        <w:t>新机制。</w:t>
      </w:r>
      <w:r>
        <w:rPr>
          <w:rFonts w:hint="eastAsia" w:ascii="仿宋_GB2312" w:hAnsi="仿宋_GB2312" w:eastAsia="仿宋_GB2312" w:cs="仿宋_GB2312"/>
          <w:color w:val="auto"/>
          <w:sz w:val="32"/>
          <w:szCs w:val="32"/>
        </w:rPr>
        <w:t>长乐农商银行</w:t>
      </w:r>
      <w:r>
        <w:rPr>
          <w:rFonts w:hint="eastAsia" w:ascii="仿宋_GB2312" w:hAnsi="仿宋_GB2312" w:eastAsia="仿宋_GB2312" w:cs="仿宋_GB2312"/>
          <w:color w:val="auto"/>
          <w:sz w:val="32"/>
          <w:szCs w:val="32"/>
          <w:lang w:val="zh-TW"/>
        </w:rPr>
        <w:t>在专项信贷规模、贷款利率优惠、绿色审批通道等方面向获聘“企业河长”的客户提供强有力的金融支持，充分动员、引导拥有社会责任感且立志参与河湖管理的个人、企业共同参与河湖管理。</w:t>
      </w:r>
    </w:p>
    <w:p w14:paraId="651B20AB">
      <w:pPr>
        <w:pStyle w:val="9"/>
        <w:tabs>
          <w:tab w:val="left" w:pos="949"/>
        </w:tabs>
        <w:spacing w:line="560" w:lineRule="exact"/>
        <w:ind w:firstLine="640"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绿水青山就是金山银山。“金融+河长制”进一步激发社会各界参与河湖管理、乡村治理的内生动力，截至</w:t>
      </w:r>
      <w:r>
        <w:rPr>
          <w:rFonts w:hint="eastAsia" w:ascii="仿宋_GB2312" w:hAnsi="仿宋_GB2312" w:eastAsia="仿宋_GB2312" w:cs="仿宋_GB2312"/>
          <w:color w:val="auto"/>
          <w:sz w:val="32"/>
          <w:szCs w:val="32"/>
        </w:rPr>
        <w:t>202</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年末</w:t>
      </w:r>
      <w:r>
        <w:rPr>
          <w:rFonts w:hint="eastAsia" w:ascii="仿宋_GB2312" w:hAnsi="仿宋_GB2312" w:eastAsia="仿宋_GB2312" w:cs="仿宋_GB2312"/>
          <w:color w:val="auto"/>
          <w:sz w:val="32"/>
          <w:szCs w:val="32"/>
          <w:lang w:val="zh-TW"/>
        </w:rPr>
        <w:t>，长乐农商银行已为</w:t>
      </w:r>
      <w:r>
        <w:rPr>
          <w:rFonts w:hint="eastAsia" w:ascii="仿宋_GB2312" w:hAnsi="仿宋_GB2312" w:eastAsia="仿宋_GB2312" w:cs="仿宋_GB2312"/>
          <w:color w:val="auto"/>
          <w:sz w:val="32"/>
          <w:szCs w:val="32"/>
        </w:rPr>
        <w:t>首批</w:t>
      </w:r>
      <w:r>
        <w:rPr>
          <w:rFonts w:hint="eastAsia" w:ascii="仿宋_GB2312" w:hAnsi="仿宋_GB2312" w:eastAsia="仿宋_GB2312" w:cs="仿宋_GB2312"/>
          <w:color w:val="auto"/>
          <w:sz w:val="32"/>
          <w:szCs w:val="32"/>
          <w:lang w:val="zh-TW"/>
        </w:rPr>
        <w:t>“河长”企业累计授信</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lang w:val="zh-TW"/>
        </w:rPr>
        <w:t>万元。</w:t>
      </w:r>
    </w:p>
    <w:p w14:paraId="0BD0ABF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六、经营活动对气候与环境的影响</w:t>
      </w:r>
    </w:p>
    <w:p w14:paraId="7A9749B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（一）经营活动产生的资源消耗</w:t>
      </w:r>
    </w:p>
    <w:p w14:paraId="578E9AB9">
      <w:pPr>
        <w:spacing w:line="560" w:lineRule="exact"/>
        <w:ind w:firstLine="640" w:firstLineChars="200"/>
      </w:pPr>
      <w:r>
        <w:rPr>
          <w:rFonts w:hint="eastAsia" w:ascii="仿宋_GB2312" w:hAnsi="仿宋_GB2312" w:eastAsia="仿宋_GB2312" w:cs="仿宋_GB2312"/>
          <w:sz w:val="32"/>
          <w:szCs w:val="32"/>
        </w:rPr>
        <w:t>报告期内，本行本部及各营业网点经营活动产生的资源消耗主要集中在自有车辆消耗、营业办公用电、用水、纸张耗材等。</w:t>
      </w:r>
    </w:p>
    <w:p w14:paraId="40EB91F4">
      <w:pPr>
        <w:spacing w:line="560" w:lineRule="exact"/>
        <w:jc w:val="center"/>
        <w:rPr>
          <w:rFonts w:ascii="黑体" w:hAnsi="黑体" w:eastAsia="黑体" w:cs="黑体"/>
          <w:kern w:val="0"/>
          <w:sz w:val="28"/>
          <w:szCs w:val="28"/>
          <w:u w:color="000000"/>
          <w:lang w:val="zh-TW"/>
        </w:rPr>
      </w:pPr>
      <w:r>
        <w:rPr>
          <w:rFonts w:hint="eastAsia" w:ascii="黑体" w:hAnsi="黑体" w:eastAsia="黑体" w:cs="黑体"/>
          <w:kern w:val="0"/>
          <w:sz w:val="28"/>
          <w:szCs w:val="28"/>
          <w:u w:color="000000"/>
          <w:lang w:val="zh-TW"/>
        </w:rPr>
        <w:t>表2：经营活动产生的资源消耗</w:t>
      </w:r>
    </w:p>
    <w:tbl>
      <w:tblPr>
        <w:tblStyle w:val="7"/>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3331"/>
        <w:gridCol w:w="1428"/>
        <w:gridCol w:w="1428"/>
      </w:tblGrid>
      <w:tr w14:paraId="7937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0" w:type="dxa"/>
            <w:vAlign w:val="center"/>
          </w:tcPr>
          <w:p w14:paraId="46DA4FC1">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指标名称</w:t>
            </w:r>
          </w:p>
        </w:tc>
        <w:tc>
          <w:tcPr>
            <w:tcW w:w="3306" w:type="dxa"/>
            <w:vAlign w:val="center"/>
          </w:tcPr>
          <w:p w14:paraId="4A0F253C">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披露细项</w:t>
            </w:r>
          </w:p>
        </w:tc>
        <w:tc>
          <w:tcPr>
            <w:tcW w:w="1417" w:type="dxa"/>
            <w:vAlign w:val="center"/>
          </w:tcPr>
          <w:p w14:paraId="68690CA1">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总量</w:t>
            </w:r>
          </w:p>
        </w:tc>
        <w:tc>
          <w:tcPr>
            <w:tcW w:w="1417" w:type="dxa"/>
            <w:vAlign w:val="center"/>
          </w:tcPr>
          <w:p w14:paraId="7B10CE39">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人均</w:t>
            </w:r>
          </w:p>
        </w:tc>
      </w:tr>
      <w:tr w14:paraId="494C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30" w:type="dxa"/>
            <w:vMerge w:val="restart"/>
            <w:vAlign w:val="center"/>
          </w:tcPr>
          <w:p w14:paraId="6B86D2E3">
            <w:pPr>
              <w:spacing w:line="320" w:lineRule="exact"/>
              <w:rPr>
                <w:rFonts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报告年度内经营活动产生的资源消耗</w:t>
            </w:r>
          </w:p>
        </w:tc>
        <w:tc>
          <w:tcPr>
            <w:tcW w:w="3306" w:type="dxa"/>
            <w:vAlign w:val="center"/>
          </w:tcPr>
          <w:p w14:paraId="6280EBC4">
            <w:pPr>
              <w:spacing w:line="320" w:lineRule="exact"/>
              <w:rPr>
                <w:rFonts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自有交通运输工具消耗燃油（升）</w:t>
            </w:r>
          </w:p>
        </w:tc>
        <w:tc>
          <w:tcPr>
            <w:tcW w:w="1417" w:type="dxa"/>
            <w:vAlign w:val="center"/>
          </w:tcPr>
          <w:p w14:paraId="1AFEC270">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6249.6</w:t>
            </w:r>
          </w:p>
        </w:tc>
        <w:tc>
          <w:tcPr>
            <w:tcW w:w="1417" w:type="dxa"/>
            <w:vAlign w:val="center"/>
          </w:tcPr>
          <w:p w14:paraId="4E82DA91">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16.80</w:t>
            </w:r>
          </w:p>
        </w:tc>
      </w:tr>
      <w:tr w14:paraId="4DB9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2130" w:type="dxa"/>
            <w:vMerge w:val="continue"/>
            <w:vAlign w:val="center"/>
          </w:tcPr>
          <w:p w14:paraId="6E82E41E">
            <w:pPr>
              <w:spacing w:line="320" w:lineRule="exact"/>
              <w:rPr>
                <w:rFonts w:ascii="仿宋" w:hAnsi="仿宋" w:eastAsia="仿宋" w:cs="仿宋"/>
                <w:kern w:val="0"/>
                <w:sz w:val="28"/>
                <w:szCs w:val="28"/>
                <w:u w:color="000000"/>
                <w:lang w:val="zh-TW"/>
              </w:rPr>
            </w:pPr>
          </w:p>
        </w:tc>
        <w:tc>
          <w:tcPr>
            <w:tcW w:w="3306" w:type="dxa"/>
            <w:vAlign w:val="center"/>
          </w:tcPr>
          <w:p w14:paraId="7C112814">
            <w:pPr>
              <w:spacing w:line="320" w:lineRule="exact"/>
              <w:rPr>
                <w:rFonts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营业办公消耗电力（万千瓦时）</w:t>
            </w:r>
          </w:p>
        </w:tc>
        <w:tc>
          <w:tcPr>
            <w:tcW w:w="1417" w:type="dxa"/>
            <w:vAlign w:val="center"/>
          </w:tcPr>
          <w:p w14:paraId="2E807266">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223.2</w:t>
            </w:r>
          </w:p>
        </w:tc>
        <w:tc>
          <w:tcPr>
            <w:tcW w:w="1417" w:type="dxa"/>
            <w:vAlign w:val="center"/>
          </w:tcPr>
          <w:p w14:paraId="04EAB0CF">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0.60</w:t>
            </w:r>
          </w:p>
        </w:tc>
      </w:tr>
      <w:tr w14:paraId="435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vMerge w:val="continue"/>
            <w:vAlign w:val="center"/>
          </w:tcPr>
          <w:p w14:paraId="46627320">
            <w:pPr>
              <w:spacing w:line="320" w:lineRule="exact"/>
              <w:rPr>
                <w:rFonts w:ascii="仿宋" w:hAnsi="仿宋" w:eastAsia="仿宋" w:cs="仿宋"/>
                <w:kern w:val="0"/>
                <w:sz w:val="28"/>
                <w:szCs w:val="28"/>
                <w:u w:color="000000"/>
                <w:lang w:val="zh-TW"/>
              </w:rPr>
            </w:pPr>
          </w:p>
        </w:tc>
        <w:tc>
          <w:tcPr>
            <w:tcW w:w="3306" w:type="dxa"/>
            <w:vAlign w:val="center"/>
          </w:tcPr>
          <w:p w14:paraId="394405BE">
            <w:pPr>
              <w:spacing w:line="320" w:lineRule="exact"/>
              <w:rPr>
                <w:rFonts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营业办公消耗水（吨）</w:t>
            </w:r>
          </w:p>
        </w:tc>
        <w:tc>
          <w:tcPr>
            <w:tcW w:w="1417" w:type="dxa"/>
            <w:vAlign w:val="center"/>
          </w:tcPr>
          <w:p w14:paraId="4F2FE231">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11204.64</w:t>
            </w:r>
          </w:p>
        </w:tc>
        <w:tc>
          <w:tcPr>
            <w:tcW w:w="1417" w:type="dxa"/>
            <w:vAlign w:val="center"/>
          </w:tcPr>
          <w:p w14:paraId="5EBBB4B1">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30.12</w:t>
            </w:r>
          </w:p>
        </w:tc>
      </w:tr>
      <w:tr w14:paraId="4D3C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30" w:type="dxa"/>
            <w:vMerge w:val="continue"/>
            <w:vAlign w:val="center"/>
          </w:tcPr>
          <w:p w14:paraId="100EE3FD">
            <w:pPr>
              <w:spacing w:line="320" w:lineRule="exact"/>
              <w:rPr>
                <w:rFonts w:ascii="仿宋" w:hAnsi="仿宋" w:eastAsia="仿宋" w:cs="仿宋"/>
                <w:kern w:val="0"/>
                <w:sz w:val="28"/>
                <w:szCs w:val="28"/>
                <w:u w:color="000000"/>
                <w:lang w:val="zh-TW"/>
              </w:rPr>
            </w:pPr>
          </w:p>
        </w:tc>
        <w:tc>
          <w:tcPr>
            <w:tcW w:w="3306" w:type="dxa"/>
            <w:vAlign w:val="center"/>
          </w:tcPr>
          <w:p w14:paraId="2C151419">
            <w:pPr>
              <w:spacing w:line="320" w:lineRule="exact"/>
              <w:rPr>
                <w:rFonts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营业办公消耗纸张（吨）</w:t>
            </w:r>
          </w:p>
        </w:tc>
        <w:tc>
          <w:tcPr>
            <w:tcW w:w="1417" w:type="dxa"/>
            <w:vAlign w:val="center"/>
          </w:tcPr>
          <w:p w14:paraId="01958094">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14.88</w:t>
            </w:r>
          </w:p>
        </w:tc>
        <w:tc>
          <w:tcPr>
            <w:tcW w:w="1417" w:type="dxa"/>
            <w:vAlign w:val="center"/>
          </w:tcPr>
          <w:p w14:paraId="7BD209BC">
            <w:pPr>
              <w:spacing w:line="320" w:lineRule="exact"/>
              <w:jc w:val="center"/>
              <w:rPr>
                <w:rFonts w:hint="eastAsia" w:ascii="仿宋" w:hAnsi="仿宋" w:eastAsia="仿宋" w:cs="仿宋"/>
                <w:kern w:val="0"/>
                <w:sz w:val="28"/>
                <w:szCs w:val="28"/>
                <w:u w:color="000000"/>
                <w:lang w:val="zh-TW"/>
              </w:rPr>
            </w:pPr>
            <w:r>
              <w:rPr>
                <w:rFonts w:hint="eastAsia" w:ascii="仿宋" w:hAnsi="仿宋" w:eastAsia="仿宋" w:cs="仿宋"/>
                <w:kern w:val="0"/>
                <w:sz w:val="28"/>
                <w:szCs w:val="28"/>
                <w:u w:color="000000"/>
                <w:lang w:val="zh-TW"/>
              </w:rPr>
              <w:t>0.04</w:t>
            </w:r>
          </w:p>
        </w:tc>
      </w:tr>
    </w:tbl>
    <w:p w14:paraId="4D66CA3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（二）环保措施及成果</w:t>
      </w:r>
    </w:p>
    <w:p w14:paraId="427D063A">
      <w:pPr>
        <w:spacing w:line="560" w:lineRule="exact"/>
        <w:ind w:firstLine="643" w:firstLineChars="200"/>
        <w:rPr>
          <w:sz w:val="32"/>
          <w:szCs w:val="32"/>
        </w:rPr>
      </w:pPr>
      <w:r>
        <w:rPr>
          <w:rFonts w:hint="eastAsia" w:ascii="仿宋_GB2312" w:hAnsi="仿宋_GB2312" w:eastAsia="仿宋_GB2312" w:cs="仿宋_GB2312"/>
          <w:b/>
          <w:bCs/>
          <w:sz w:val="32"/>
          <w:szCs w:val="32"/>
        </w:rPr>
        <w:t>（1）强化绿色运营，打造“绿色银行”。</w:t>
      </w:r>
      <w:r>
        <w:rPr>
          <w:rFonts w:hint="eastAsia" w:ascii="仿宋_GB2312" w:hAnsi="仿宋_GB2312" w:eastAsia="仿宋_GB2312" w:cs="仿宋_GB2312"/>
          <w:sz w:val="32"/>
          <w:szCs w:val="32"/>
        </w:rPr>
        <w:t>本行坚持绿色办公、节能环保的理念，积极采取节电、减排、节水、节纸等措施，降低运营中的碳排放量和资源消耗。同时加快“流程再造”，依托省联社协同办公系统及企业微信，全年实现39项审批流程“线上化”；上线运营管理系统，全年实现9项柜面纸质登记“电子化”，进一步实现办公效率提升与成本节约“双促进”，打造“绿色银行”。</w:t>
      </w:r>
    </w:p>
    <w:p w14:paraId="7723C873">
      <w:pPr>
        <w:spacing w:line="560" w:lineRule="exact"/>
        <w:jc w:val="center"/>
        <w:rPr>
          <w:rFonts w:ascii="黑体" w:hAnsi="黑体" w:eastAsia="黑体" w:cs="黑体"/>
          <w:kern w:val="0"/>
          <w:sz w:val="28"/>
          <w:szCs w:val="28"/>
          <w:u w:color="000000"/>
          <w:lang w:val="zh-TW"/>
        </w:rPr>
      </w:pPr>
      <w:r>
        <w:rPr>
          <w:rFonts w:hint="eastAsia" w:ascii="黑体" w:hAnsi="黑体" w:eastAsia="黑体" w:cs="黑体"/>
          <w:kern w:val="0"/>
          <w:sz w:val="28"/>
          <w:szCs w:val="28"/>
          <w:u w:color="000000"/>
          <w:lang w:val="zh-TW"/>
        </w:rPr>
        <w:t>表3：环保措施及成果</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220"/>
        <w:gridCol w:w="2462"/>
      </w:tblGrid>
      <w:tr w14:paraId="6BB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0" w:type="dxa"/>
          </w:tcPr>
          <w:p w14:paraId="6D1051B8">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管理内容</w:t>
            </w:r>
          </w:p>
        </w:tc>
        <w:tc>
          <w:tcPr>
            <w:tcW w:w="3220" w:type="dxa"/>
          </w:tcPr>
          <w:p w14:paraId="1EEE7826">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管理措施</w:t>
            </w:r>
          </w:p>
        </w:tc>
        <w:tc>
          <w:tcPr>
            <w:tcW w:w="2462" w:type="dxa"/>
          </w:tcPr>
          <w:p w14:paraId="5643675F">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执行效果</w:t>
            </w:r>
          </w:p>
        </w:tc>
      </w:tr>
      <w:tr w14:paraId="331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exact"/>
        </w:trPr>
        <w:tc>
          <w:tcPr>
            <w:tcW w:w="2840" w:type="dxa"/>
            <w:vAlign w:val="center"/>
          </w:tcPr>
          <w:p w14:paraId="329A1543">
            <w:pPr>
              <w:spacing w:line="560" w:lineRule="exact"/>
              <w:jc w:val="center"/>
              <w:rPr>
                <w:rFonts w:ascii="仿宋" w:hAnsi="仿宋" w:eastAsia="仿宋" w:cs="仿宋"/>
                <w:sz w:val="28"/>
                <w:szCs w:val="28"/>
              </w:rPr>
            </w:pPr>
            <w:r>
              <w:rPr>
                <w:rFonts w:hint="eastAsia" w:ascii="仿宋" w:hAnsi="仿宋" w:eastAsia="仿宋" w:cs="仿宋"/>
                <w:sz w:val="28"/>
                <w:szCs w:val="28"/>
              </w:rPr>
              <w:t>节电管理</w:t>
            </w:r>
          </w:p>
        </w:tc>
        <w:tc>
          <w:tcPr>
            <w:tcW w:w="3220" w:type="dxa"/>
          </w:tcPr>
          <w:p w14:paraId="79B709B9">
            <w:pPr>
              <w:rPr>
                <w:rFonts w:ascii="仿宋" w:hAnsi="仿宋" w:eastAsia="仿宋" w:cs="仿宋"/>
                <w:sz w:val="24"/>
              </w:rPr>
            </w:pPr>
            <w:r>
              <w:rPr>
                <w:rFonts w:hint="eastAsia" w:ascii="仿宋" w:hAnsi="仿宋" w:eastAsia="仿宋" w:cs="仿宋"/>
                <w:kern w:val="0"/>
                <w:sz w:val="24"/>
                <w:u w:color="000000"/>
                <w:lang w:val="zh-TW"/>
              </w:rPr>
              <w:t>加强对照明设备、空调、办公室设备等电器设备的管理，要求全体员工根据实际内、外部情况按需使用，及时对各个设施更新换代，积极使用节电设备。</w:t>
            </w:r>
          </w:p>
        </w:tc>
        <w:tc>
          <w:tcPr>
            <w:tcW w:w="2462" w:type="dxa"/>
          </w:tcPr>
          <w:p w14:paraId="0D5E82C1">
            <w:pPr>
              <w:spacing w:line="560" w:lineRule="exact"/>
              <w:rPr>
                <w:sz w:val="24"/>
              </w:rPr>
            </w:pPr>
          </w:p>
          <w:p w14:paraId="748DBD77">
            <w:pPr>
              <w:rPr>
                <w:sz w:val="24"/>
              </w:rPr>
            </w:pPr>
          </w:p>
          <w:p w14:paraId="6A4C393D">
            <w:pPr>
              <w:jc w:val="left"/>
              <w:rPr>
                <w:rFonts w:ascii="仿宋" w:hAnsi="仿宋" w:eastAsia="仿宋" w:cs="仿宋"/>
                <w:kern w:val="0"/>
                <w:sz w:val="24"/>
                <w:u w:color="000000"/>
              </w:rPr>
            </w:pPr>
            <w:r>
              <w:rPr>
                <w:rFonts w:hint="eastAsia" w:ascii="仿宋" w:hAnsi="仿宋" w:eastAsia="仿宋" w:cs="仿宋"/>
                <w:kern w:val="0"/>
                <w:sz w:val="24"/>
                <w:u w:color="000000"/>
              </w:rPr>
              <w:t>提高能源效率。</w:t>
            </w:r>
          </w:p>
          <w:p w14:paraId="4C0A280B">
            <w:pPr>
              <w:rPr>
                <w:sz w:val="24"/>
              </w:rPr>
            </w:pPr>
          </w:p>
          <w:p w14:paraId="5237F533">
            <w:pPr>
              <w:rPr>
                <w:sz w:val="24"/>
              </w:rPr>
            </w:pPr>
          </w:p>
          <w:p w14:paraId="0C0B4400">
            <w:pPr>
              <w:rPr>
                <w:sz w:val="24"/>
              </w:rPr>
            </w:pPr>
          </w:p>
          <w:p w14:paraId="6D2C52A9">
            <w:pPr>
              <w:rPr>
                <w:sz w:val="24"/>
              </w:rPr>
            </w:pPr>
          </w:p>
          <w:p w14:paraId="14FA64BC">
            <w:pPr>
              <w:jc w:val="center"/>
              <w:rPr>
                <w:sz w:val="24"/>
              </w:rPr>
            </w:pPr>
            <w:r>
              <w:rPr>
                <w:rFonts w:hint="eastAsia"/>
                <w:sz w:val="24"/>
              </w:rPr>
              <w:t>提高能源效率。</w:t>
            </w:r>
          </w:p>
        </w:tc>
      </w:tr>
      <w:tr w14:paraId="39DB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trPr>
        <w:tc>
          <w:tcPr>
            <w:tcW w:w="2840" w:type="dxa"/>
            <w:vAlign w:val="center"/>
          </w:tcPr>
          <w:p w14:paraId="4735173C">
            <w:pPr>
              <w:spacing w:line="560" w:lineRule="exact"/>
              <w:jc w:val="center"/>
              <w:rPr>
                <w:rFonts w:ascii="仿宋" w:hAnsi="仿宋" w:eastAsia="仿宋" w:cs="仿宋"/>
                <w:sz w:val="28"/>
                <w:szCs w:val="28"/>
              </w:rPr>
            </w:pPr>
            <w:r>
              <w:rPr>
                <w:rFonts w:hint="eastAsia" w:ascii="仿宋" w:hAnsi="仿宋" w:eastAsia="仿宋" w:cs="仿宋"/>
                <w:sz w:val="28"/>
                <w:szCs w:val="28"/>
              </w:rPr>
              <w:t>节水管理</w:t>
            </w:r>
          </w:p>
        </w:tc>
        <w:tc>
          <w:tcPr>
            <w:tcW w:w="3220" w:type="dxa"/>
          </w:tcPr>
          <w:p w14:paraId="05131D5D">
            <w:pPr>
              <w:rPr>
                <w:rFonts w:ascii="仿宋" w:hAnsi="仿宋" w:eastAsia="仿宋" w:cs="仿宋"/>
                <w:kern w:val="0"/>
                <w:sz w:val="24"/>
                <w:u w:color="000000"/>
                <w:lang w:val="zh-TW"/>
              </w:rPr>
            </w:pPr>
            <w:r>
              <w:rPr>
                <w:rFonts w:hint="eastAsia" w:ascii="仿宋" w:hAnsi="仿宋" w:eastAsia="仿宋" w:cs="仿宋"/>
                <w:kern w:val="0"/>
                <w:sz w:val="24"/>
                <w:u w:color="000000"/>
                <w:lang w:val="zh-TW"/>
              </w:rPr>
              <w:t>规范水龙头、饮用水、用水设备等设施的使用，加强水资源管理，对行内员工提出合理用水的要求</w:t>
            </w:r>
            <w:r>
              <w:rPr>
                <w:rFonts w:hint="eastAsia" w:ascii="仿宋" w:hAnsi="仿宋" w:eastAsia="仿宋" w:cs="仿宋"/>
                <w:kern w:val="0"/>
                <w:sz w:val="24"/>
                <w:u w:color="000000"/>
                <w:lang w:val="zh-TW"/>
              </w:rPr>
              <w:tab/>
            </w:r>
          </w:p>
        </w:tc>
        <w:tc>
          <w:tcPr>
            <w:tcW w:w="2462" w:type="dxa"/>
            <w:vAlign w:val="center"/>
          </w:tcPr>
          <w:p w14:paraId="172848AA">
            <w:pPr>
              <w:rPr>
                <w:sz w:val="24"/>
              </w:rPr>
            </w:pPr>
            <w:r>
              <w:rPr>
                <w:rFonts w:hint="eastAsia" w:ascii="仿宋" w:hAnsi="仿宋" w:eastAsia="仿宋" w:cs="仿宋"/>
                <w:kern w:val="0"/>
                <w:sz w:val="24"/>
                <w:u w:color="000000"/>
                <w:lang w:val="zh-TW"/>
              </w:rPr>
              <w:t>减少水资源的不必要消耗。</w:t>
            </w:r>
          </w:p>
        </w:tc>
      </w:tr>
      <w:tr w14:paraId="1EA7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2840" w:type="dxa"/>
            <w:vAlign w:val="center"/>
          </w:tcPr>
          <w:p w14:paraId="618FE5C6">
            <w:pPr>
              <w:spacing w:line="560" w:lineRule="exact"/>
              <w:jc w:val="center"/>
              <w:rPr>
                <w:rFonts w:ascii="仿宋" w:hAnsi="仿宋" w:eastAsia="仿宋" w:cs="仿宋"/>
                <w:sz w:val="28"/>
                <w:szCs w:val="28"/>
              </w:rPr>
            </w:pPr>
            <w:r>
              <w:rPr>
                <w:rFonts w:hint="eastAsia" w:ascii="仿宋" w:hAnsi="仿宋" w:eastAsia="仿宋" w:cs="仿宋"/>
                <w:sz w:val="28"/>
                <w:szCs w:val="28"/>
              </w:rPr>
              <w:t>节材管理</w:t>
            </w:r>
          </w:p>
        </w:tc>
        <w:tc>
          <w:tcPr>
            <w:tcW w:w="3220" w:type="dxa"/>
            <w:vAlign w:val="center"/>
          </w:tcPr>
          <w:p w14:paraId="28A96FCF">
            <w:pPr>
              <w:rPr>
                <w:rFonts w:ascii="仿宋" w:hAnsi="仿宋" w:eastAsia="仿宋" w:cs="仿宋"/>
                <w:kern w:val="0"/>
                <w:sz w:val="24"/>
                <w:u w:color="000000"/>
                <w:lang w:val="zh-TW"/>
              </w:rPr>
            </w:pPr>
            <w:r>
              <w:rPr>
                <w:rFonts w:hint="eastAsia" w:ascii="仿宋" w:hAnsi="仿宋" w:eastAsia="仿宋" w:cs="仿宋"/>
                <w:kern w:val="0"/>
                <w:sz w:val="24"/>
                <w:u w:color="000000"/>
                <w:lang w:val="zh-TW"/>
              </w:rPr>
              <w:t>积极响应垃圾分类、可回收资源再利用等政策号召，推广无纸化办公，倡导员工合理规划，节约用纸,减少纸张使用频率，提高纸张使用效率。</w:t>
            </w:r>
          </w:p>
        </w:tc>
        <w:tc>
          <w:tcPr>
            <w:tcW w:w="2462" w:type="dxa"/>
            <w:vAlign w:val="center"/>
          </w:tcPr>
          <w:p w14:paraId="1073B095">
            <w:pPr>
              <w:rPr>
                <w:rFonts w:ascii="仿宋" w:hAnsi="仿宋" w:eastAsia="仿宋" w:cs="仿宋"/>
                <w:kern w:val="0"/>
                <w:sz w:val="24"/>
                <w:u w:color="000000"/>
                <w:lang w:val="zh-TW" w:eastAsia="zh-TW"/>
              </w:rPr>
            </w:pPr>
            <w:r>
              <w:rPr>
                <w:rFonts w:hint="eastAsia" w:ascii="仿宋" w:hAnsi="仿宋" w:eastAsia="仿宋" w:cs="仿宋"/>
                <w:kern w:val="0"/>
                <w:sz w:val="24"/>
                <w:u w:color="000000"/>
                <w:lang w:val="zh-TW" w:eastAsia="zh-TW"/>
              </w:rPr>
              <w:t>提高低值易耗品使用率。</w:t>
            </w:r>
          </w:p>
        </w:tc>
      </w:tr>
      <w:tr w14:paraId="7566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2840" w:type="dxa"/>
            <w:vAlign w:val="center"/>
          </w:tcPr>
          <w:p w14:paraId="5A17D0F9">
            <w:pPr>
              <w:spacing w:line="560" w:lineRule="exact"/>
              <w:jc w:val="center"/>
              <w:rPr>
                <w:rFonts w:ascii="仿宋" w:hAnsi="仿宋" w:eastAsia="仿宋" w:cs="仿宋"/>
                <w:sz w:val="28"/>
                <w:szCs w:val="28"/>
              </w:rPr>
            </w:pPr>
            <w:r>
              <w:rPr>
                <w:rFonts w:hint="eastAsia" w:ascii="仿宋" w:hAnsi="仿宋" w:eastAsia="仿宋" w:cs="仿宋"/>
                <w:sz w:val="28"/>
                <w:szCs w:val="28"/>
              </w:rPr>
              <w:t>节油管理</w:t>
            </w:r>
          </w:p>
        </w:tc>
        <w:tc>
          <w:tcPr>
            <w:tcW w:w="3220" w:type="dxa"/>
            <w:vAlign w:val="center"/>
          </w:tcPr>
          <w:p w14:paraId="4B2CEB06">
            <w:pPr>
              <w:rPr>
                <w:rFonts w:ascii="仿宋" w:hAnsi="仿宋" w:eastAsia="仿宋" w:cs="仿宋"/>
                <w:kern w:val="0"/>
                <w:sz w:val="24"/>
                <w:u w:color="000000"/>
                <w:lang w:val="zh-TW"/>
              </w:rPr>
            </w:pPr>
            <w:r>
              <w:rPr>
                <w:rFonts w:hint="eastAsia" w:ascii="仿宋" w:hAnsi="仿宋" w:eastAsia="仿宋" w:cs="仿宋"/>
                <w:kern w:val="0"/>
                <w:sz w:val="24"/>
                <w:u w:color="000000"/>
                <w:lang w:val="zh-TW"/>
              </w:rPr>
              <w:t>严格执行国家相关规定，加强全行范围内的车辆管理及燃油管理，同时加强员工宣传教育，倡导绿色出行。</w:t>
            </w:r>
            <w:r>
              <w:rPr>
                <w:rFonts w:hint="eastAsia" w:ascii="仿宋" w:hAnsi="仿宋" w:eastAsia="仿宋" w:cs="仿宋"/>
                <w:kern w:val="0"/>
                <w:sz w:val="24"/>
                <w:u w:color="000000"/>
                <w:lang w:val="zh-TW"/>
              </w:rPr>
              <w:tab/>
            </w:r>
          </w:p>
        </w:tc>
        <w:tc>
          <w:tcPr>
            <w:tcW w:w="2462" w:type="dxa"/>
            <w:vAlign w:val="center"/>
          </w:tcPr>
          <w:p w14:paraId="4CD49688">
            <w:pPr>
              <w:rPr>
                <w:rFonts w:ascii="仿宋" w:hAnsi="仿宋" w:eastAsia="仿宋" w:cs="仿宋"/>
                <w:kern w:val="0"/>
                <w:sz w:val="24"/>
                <w:u w:color="000000"/>
                <w:lang w:val="zh-TW"/>
              </w:rPr>
            </w:pPr>
            <w:r>
              <w:rPr>
                <w:rFonts w:hint="eastAsia" w:ascii="仿宋" w:hAnsi="仿宋" w:eastAsia="仿宋" w:cs="仿宋"/>
                <w:kern w:val="0"/>
                <w:sz w:val="24"/>
                <w:u w:color="000000"/>
                <w:lang w:val="zh-TW"/>
              </w:rPr>
              <w:t>提高节能减排成效。</w:t>
            </w:r>
          </w:p>
        </w:tc>
      </w:tr>
      <w:tr w14:paraId="1020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exact"/>
        </w:trPr>
        <w:tc>
          <w:tcPr>
            <w:tcW w:w="2840" w:type="dxa"/>
            <w:vAlign w:val="center"/>
          </w:tcPr>
          <w:p w14:paraId="77098FB3">
            <w:pPr>
              <w:spacing w:line="560" w:lineRule="exact"/>
              <w:jc w:val="center"/>
              <w:rPr>
                <w:rFonts w:ascii="仿宋" w:hAnsi="仿宋" w:eastAsia="仿宋" w:cs="仿宋"/>
                <w:sz w:val="28"/>
                <w:szCs w:val="28"/>
              </w:rPr>
            </w:pPr>
            <w:r>
              <w:rPr>
                <w:rFonts w:hint="eastAsia" w:ascii="仿宋" w:hAnsi="仿宋" w:eastAsia="仿宋" w:cs="仿宋"/>
                <w:sz w:val="28"/>
                <w:szCs w:val="28"/>
              </w:rPr>
              <w:t>节粮管理</w:t>
            </w:r>
          </w:p>
        </w:tc>
        <w:tc>
          <w:tcPr>
            <w:tcW w:w="3220" w:type="dxa"/>
            <w:vAlign w:val="center"/>
          </w:tcPr>
          <w:p w14:paraId="20F9D8FA">
            <w:pPr>
              <w:rPr>
                <w:rFonts w:ascii="仿宋" w:hAnsi="仿宋" w:eastAsia="仿宋" w:cs="仿宋"/>
                <w:kern w:val="0"/>
                <w:sz w:val="24"/>
                <w:u w:color="000000"/>
                <w:lang w:val="zh-TW"/>
              </w:rPr>
            </w:pPr>
            <w:r>
              <w:rPr>
                <w:rFonts w:hint="eastAsia" w:ascii="仿宋" w:hAnsi="仿宋" w:eastAsia="仿宋" w:cs="仿宋"/>
                <w:kern w:val="0"/>
                <w:sz w:val="24"/>
                <w:u w:color="000000"/>
                <w:lang w:val="zh-TW"/>
              </w:rPr>
              <w:t>鼓励员工文明餐饮,树牢节约意识,开展光盘行动，自觉践行绿色健康生活方式，在办公及日常生活中节约能源、保护环境,弘扬崇俭抑奢的正能量。</w:t>
            </w:r>
            <w:r>
              <w:rPr>
                <w:rFonts w:hint="eastAsia" w:ascii="仿宋" w:hAnsi="仿宋" w:eastAsia="仿宋" w:cs="仿宋"/>
                <w:kern w:val="0"/>
                <w:sz w:val="24"/>
                <w:u w:color="000000"/>
                <w:lang w:val="zh-TW"/>
              </w:rPr>
              <w:tab/>
            </w:r>
          </w:p>
        </w:tc>
        <w:tc>
          <w:tcPr>
            <w:tcW w:w="2462" w:type="dxa"/>
            <w:vAlign w:val="center"/>
          </w:tcPr>
          <w:p w14:paraId="204CC66E">
            <w:pPr>
              <w:rPr>
                <w:rFonts w:ascii="仿宋" w:hAnsi="仿宋" w:eastAsia="仿宋" w:cs="仿宋"/>
                <w:kern w:val="0"/>
                <w:sz w:val="24"/>
                <w:u w:color="000000"/>
                <w:lang w:val="zh-TW"/>
              </w:rPr>
            </w:pPr>
            <w:r>
              <w:rPr>
                <w:rFonts w:hint="eastAsia" w:ascii="仿宋" w:hAnsi="仿宋" w:eastAsia="仿宋" w:cs="仿宋"/>
                <w:kern w:val="0"/>
                <w:sz w:val="24"/>
                <w:u w:color="000000"/>
                <w:lang w:val="zh-TW"/>
              </w:rPr>
              <w:t>提高节约意识。</w:t>
            </w:r>
          </w:p>
        </w:tc>
      </w:tr>
    </w:tbl>
    <w:p w14:paraId="3E0126DA">
      <w:pPr>
        <w:spacing w:line="560" w:lineRule="exact"/>
        <w:ind w:firstLine="643" w:firstLineChars="200"/>
        <w:rPr>
          <w:rFonts w:ascii="黑体" w:hAnsi="黑体" w:eastAsia="仿宋_GB2312" w:cs="黑体"/>
          <w:kern w:val="0"/>
          <w:sz w:val="32"/>
          <w:szCs w:val="32"/>
          <w:u w:color="000000"/>
        </w:rPr>
      </w:pPr>
      <w:r>
        <w:rPr>
          <w:rFonts w:hint="eastAsia" w:ascii="仿宋_GB2312" w:eastAsia="仿宋_GB2312"/>
          <w:b/>
          <w:color w:val="000000" w:themeColor="text1"/>
          <w:sz w:val="32"/>
          <w:szCs w:val="32"/>
        </w:rPr>
        <w:t>（2）开展绿色公益和绿色金融宣传。</w:t>
      </w:r>
      <w:r>
        <w:rPr>
          <w:rFonts w:ascii="仿宋_GB2312" w:eastAsia="仿宋_GB2312"/>
          <w:color w:val="000000" w:themeColor="text1"/>
          <w:sz w:val="32"/>
          <w:szCs w:val="32"/>
        </w:rPr>
        <w:t>将绿色公益作为</w:t>
      </w:r>
      <w:r>
        <w:rPr>
          <w:rFonts w:hint="eastAsia" w:ascii="仿宋_GB2312" w:eastAsia="仿宋_GB2312"/>
          <w:color w:val="000000" w:themeColor="text1"/>
          <w:sz w:val="32"/>
          <w:szCs w:val="32"/>
        </w:rPr>
        <w:t>创建省级文明单位、</w:t>
      </w:r>
      <w:r>
        <w:rPr>
          <w:rFonts w:ascii="仿宋_GB2312" w:eastAsia="仿宋_GB2312"/>
          <w:color w:val="000000" w:themeColor="text1"/>
          <w:sz w:val="32"/>
          <w:szCs w:val="32"/>
        </w:rPr>
        <w:t>践行社会责任的重要内容之一，积极开展各项绿色公益活动，倡导绿色出行，持续开展各类</w:t>
      </w:r>
      <w:r>
        <w:rPr>
          <w:rFonts w:hint="eastAsia" w:ascii="仿宋_GB2312" w:eastAsia="仿宋_GB2312"/>
          <w:color w:val="000000" w:themeColor="text1"/>
          <w:sz w:val="32"/>
          <w:szCs w:val="32"/>
        </w:rPr>
        <w:t>植树、</w:t>
      </w:r>
      <w:r>
        <w:rPr>
          <w:rFonts w:ascii="仿宋_GB2312" w:eastAsia="仿宋_GB2312"/>
          <w:color w:val="000000" w:themeColor="text1"/>
          <w:sz w:val="32"/>
          <w:szCs w:val="32"/>
        </w:rPr>
        <w:t>环境清洁、环保宣传等活动，坚持从自身做起，积极履行社会责任。</w:t>
      </w:r>
      <w:r>
        <w:rPr>
          <w:rFonts w:hint="eastAsia" w:ascii="仿宋_GB2312" w:eastAsia="仿宋_GB2312"/>
          <w:color w:val="000000" w:themeColor="text1"/>
          <w:sz w:val="32"/>
          <w:szCs w:val="32"/>
        </w:rPr>
        <w:t>同时</w:t>
      </w:r>
      <w:r>
        <w:rPr>
          <w:rFonts w:hint="eastAsia" w:ascii="仿宋_GB2312" w:eastAsia="仿宋_GB2312"/>
          <w:sz w:val="32"/>
          <w:szCs w:val="32"/>
        </w:rPr>
        <w:t>积极挖掘绿色金融工作亮点，强化正面宣传，依托金融知识进村入社区、微信公众号、外部媒体等活动载体，开展典型宣传与推广，充分展示农信践行绿色金融的新作为、新成效，不断提升农商行的品牌价值。</w:t>
      </w:r>
    </w:p>
    <w:p w14:paraId="21BF4E51">
      <w:pPr>
        <w:spacing w:line="560" w:lineRule="exact"/>
        <w:jc w:val="center"/>
        <w:rPr>
          <w:rFonts w:ascii="黑体" w:hAnsi="黑体" w:eastAsia="黑体" w:cs="黑体"/>
          <w:kern w:val="0"/>
          <w:sz w:val="28"/>
          <w:szCs w:val="28"/>
          <w:u w:color="000000"/>
          <w:lang w:val="zh-TW"/>
        </w:rPr>
      </w:pPr>
      <w:r>
        <w:rPr>
          <w:rFonts w:hint="eastAsia" w:ascii="黑体" w:hAnsi="黑体" w:eastAsia="黑体" w:cs="黑体"/>
          <w:kern w:val="0"/>
          <w:sz w:val="28"/>
          <w:szCs w:val="28"/>
          <w:u w:color="000000"/>
          <w:lang w:val="zh-TW"/>
        </w:rPr>
        <w:t>表4：环保活动开展情况</w:t>
      </w:r>
    </w:p>
    <w:tbl>
      <w:tblPr>
        <w:tblStyle w:val="7"/>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437"/>
        <w:gridCol w:w="1500"/>
        <w:gridCol w:w="3433"/>
      </w:tblGrid>
      <w:tr w14:paraId="6661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04" w:type="dxa"/>
            <w:vAlign w:val="center"/>
          </w:tcPr>
          <w:p w14:paraId="2E108FCC">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1704" w:type="dxa"/>
            <w:vAlign w:val="center"/>
          </w:tcPr>
          <w:p w14:paraId="6DFDDF95">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活动形式</w:t>
            </w:r>
          </w:p>
        </w:tc>
        <w:tc>
          <w:tcPr>
            <w:tcW w:w="1437" w:type="dxa"/>
            <w:vAlign w:val="center"/>
          </w:tcPr>
          <w:p w14:paraId="1A09875F">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参与人数</w:t>
            </w:r>
          </w:p>
        </w:tc>
        <w:tc>
          <w:tcPr>
            <w:tcW w:w="1500" w:type="dxa"/>
            <w:vAlign w:val="center"/>
          </w:tcPr>
          <w:p w14:paraId="144B6834">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举办次数</w:t>
            </w:r>
          </w:p>
        </w:tc>
        <w:tc>
          <w:tcPr>
            <w:tcW w:w="3433" w:type="dxa"/>
            <w:vAlign w:val="center"/>
          </w:tcPr>
          <w:p w14:paraId="05629DF8">
            <w:pPr>
              <w:spacing w:line="320" w:lineRule="exact"/>
              <w:jc w:val="center"/>
              <w:rPr>
                <w:rFonts w:ascii="仿宋" w:hAnsi="仿宋" w:eastAsia="仿宋" w:cs="仿宋"/>
                <w:b/>
                <w:bCs/>
                <w:sz w:val="28"/>
                <w:szCs w:val="28"/>
              </w:rPr>
            </w:pPr>
            <w:r>
              <w:rPr>
                <w:rFonts w:hint="eastAsia" w:ascii="仿宋" w:hAnsi="仿宋" w:eastAsia="仿宋" w:cs="仿宋"/>
                <w:b/>
                <w:bCs/>
                <w:sz w:val="28"/>
                <w:szCs w:val="28"/>
              </w:rPr>
              <w:t>社会影响</w:t>
            </w:r>
          </w:p>
        </w:tc>
      </w:tr>
      <w:tr w14:paraId="3317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jc w:val="center"/>
        </w:trPr>
        <w:tc>
          <w:tcPr>
            <w:tcW w:w="1704" w:type="dxa"/>
            <w:vAlign w:val="center"/>
          </w:tcPr>
          <w:p w14:paraId="7F038797">
            <w:pPr>
              <w:spacing w:line="320" w:lineRule="exact"/>
              <w:jc w:val="center"/>
              <w:rPr>
                <w:rFonts w:ascii="仿宋" w:hAnsi="仿宋" w:eastAsia="仿宋" w:cs="仿宋"/>
                <w:sz w:val="24"/>
              </w:rPr>
            </w:pPr>
            <w:r>
              <w:rPr>
                <w:rFonts w:hint="eastAsia" w:ascii="仿宋" w:hAnsi="仿宋" w:eastAsia="仿宋" w:cs="仿宋"/>
                <w:sz w:val="24"/>
              </w:rPr>
              <w:t>“践行为民初心 驿站情暖环卫”主题志愿服务活动</w:t>
            </w:r>
          </w:p>
        </w:tc>
        <w:tc>
          <w:tcPr>
            <w:tcW w:w="1704" w:type="dxa"/>
            <w:vAlign w:val="center"/>
          </w:tcPr>
          <w:p w14:paraId="240C3263">
            <w:pPr>
              <w:spacing w:line="320" w:lineRule="exact"/>
              <w:jc w:val="center"/>
              <w:rPr>
                <w:rFonts w:ascii="仿宋" w:hAnsi="仿宋" w:eastAsia="仿宋" w:cs="仿宋"/>
                <w:sz w:val="24"/>
              </w:rPr>
            </w:pPr>
            <w:r>
              <w:rPr>
                <w:rFonts w:hint="eastAsia" w:ascii="仿宋" w:hAnsi="仿宋" w:eastAsia="仿宋" w:cs="仿宋"/>
                <w:sz w:val="24"/>
              </w:rPr>
              <w:t>阵地服务</w:t>
            </w:r>
          </w:p>
        </w:tc>
        <w:tc>
          <w:tcPr>
            <w:tcW w:w="1437" w:type="dxa"/>
            <w:vAlign w:val="center"/>
          </w:tcPr>
          <w:p w14:paraId="7D584499">
            <w:pPr>
              <w:spacing w:line="320" w:lineRule="exact"/>
              <w:jc w:val="center"/>
              <w:rPr>
                <w:rFonts w:ascii="仿宋" w:hAnsi="仿宋" w:eastAsia="仿宋" w:cs="仿宋"/>
                <w:sz w:val="24"/>
              </w:rPr>
            </w:pPr>
            <w:r>
              <w:rPr>
                <w:rFonts w:hint="eastAsia" w:ascii="仿宋" w:hAnsi="仿宋" w:eastAsia="仿宋" w:cs="仿宋"/>
                <w:sz w:val="24"/>
              </w:rPr>
              <w:t>6</w:t>
            </w:r>
          </w:p>
        </w:tc>
        <w:tc>
          <w:tcPr>
            <w:tcW w:w="1500" w:type="dxa"/>
            <w:vAlign w:val="center"/>
          </w:tcPr>
          <w:p w14:paraId="2272B75F">
            <w:pPr>
              <w:spacing w:line="320" w:lineRule="exact"/>
              <w:jc w:val="center"/>
              <w:rPr>
                <w:rFonts w:ascii="仿宋" w:hAnsi="仿宋" w:eastAsia="仿宋" w:cs="仿宋"/>
                <w:sz w:val="24"/>
              </w:rPr>
            </w:pPr>
            <w:r>
              <w:rPr>
                <w:rFonts w:hint="eastAsia" w:ascii="仿宋" w:hAnsi="仿宋" w:eastAsia="仿宋" w:cs="仿宋"/>
                <w:sz w:val="24"/>
              </w:rPr>
              <w:t>1</w:t>
            </w:r>
          </w:p>
        </w:tc>
        <w:tc>
          <w:tcPr>
            <w:tcW w:w="3433" w:type="dxa"/>
            <w:vAlign w:val="center"/>
          </w:tcPr>
          <w:p w14:paraId="19920086">
            <w:pPr>
              <w:spacing w:line="320" w:lineRule="exact"/>
              <w:jc w:val="center"/>
              <w:rPr>
                <w:rFonts w:ascii="仿宋" w:hAnsi="仿宋" w:eastAsia="仿宋" w:cs="仿宋"/>
                <w:sz w:val="24"/>
              </w:rPr>
            </w:pPr>
            <w:r>
              <w:rPr>
                <w:rFonts w:hint="eastAsia" w:ascii="仿宋" w:hAnsi="仿宋" w:eastAsia="仿宋" w:cs="仿宋"/>
                <w:sz w:val="24"/>
              </w:rPr>
              <w:t>以工会驿站为载体，既为环卫工人解决了户外作业休息难、补给难的实际问题，为营造尊重劳动者、共建绿色文明城市的良好社会氛围注入力量。</w:t>
            </w:r>
          </w:p>
        </w:tc>
      </w:tr>
      <w:tr w14:paraId="2B3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704" w:type="dxa"/>
            <w:vAlign w:val="center"/>
          </w:tcPr>
          <w:p w14:paraId="6E9D39D0">
            <w:pPr>
              <w:spacing w:line="320" w:lineRule="exact"/>
              <w:jc w:val="center"/>
              <w:rPr>
                <w:rFonts w:ascii="仿宋" w:hAnsi="仿宋" w:eastAsia="仿宋" w:cs="仿宋"/>
                <w:sz w:val="24"/>
              </w:rPr>
            </w:pPr>
            <w:r>
              <w:rPr>
                <w:rFonts w:hint="eastAsia" w:ascii="仿宋" w:hAnsi="仿宋" w:eastAsia="仿宋" w:cs="仿宋"/>
                <w:sz w:val="24"/>
              </w:rPr>
              <w:t>植树节主题活动</w:t>
            </w:r>
          </w:p>
        </w:tc>
        <w:tc>
          <w:tcPr>
            <w:tcW w:w="1704" w:type="dxa"/>
            <w:vAlign w:val="center"/>
          </w:tcPr>
          <w:p w14:paraId="137F858C">
            <w:pPr>
              <w:spacing w:line="320" w:lineRule="exact"/>
              <w:jc w:val="center"/>
              <w:rPr>
                <w:rFonts w:ascii="仿宋" w:hAnsi="仿宋" w:eastAsia="仿宋" w:cs="仿宋"/>
                <w:sz w:val="24"/>
              </w:rPr>
            </w:pPr>
            <w:r>
              <w:rPr>
                <w:rFonts w:hint="eastAsia" w:ascii="仿宋" w:hAnsi="仿宋" w:eastAsia="仿宋" w:cs="仿宋"/>
                <w:sz w:val="24"/>
              </w:rPr>
              <w:t>党建共建</w:t>
            </w:r>
          </w:p>
        </w:tc>
        <w:tc>
          <w:tcPr>
            <w:tcW w:w="1437" w:type="dxa"/>
            <w:vAlign w:val="center"/>
          </w:tcPr>
          <w:p w14:paraId="3878C24E">
            <w:pPr>
              <w:spacing w:line="320" w:lineRule="exact"/>
              <w:jc w:val="center"/>
              <w:rPr>
                <w:rFonts w:ascii="仿宋" w:hAnsi="仿宋" w:eastAsia="仿宋" w:cs="仿宋"/>
                <w:sz w:val="24"/>
              </w:rPr>
            </w:pPr>
            <w:r>
              <w:rPr>
                <w:rFonts w:hint="eastAsia" w:ascii="仿宋" w:hAnsi="仿宋" w:eastAsia="仿宋" w:cs="仿宋"/>
                <w:sz w:val="24"/>
              </w:rPr>
              <w:t>5</w:t>
            </w:r>
          </w:p>
        </w:tc>
        <w:tc>
          <w:tcPr>
            <w:tcW w:w="1500" w:type="dxa"/>
            <w:vAlign w:val="center"/>
          </w:tcPr>
          <w:p w14:paraId="6A740313">
            <w:pPr>
              <w:spacing w:line="320" w:lineRule="exact"/>
              <w:jc w:val="center"/>
              <w:rPr>
                <w:rFonts w:ascii="仿宋" w:hAnsi="仿宋" w:eastAsia="仿宋" w:cs="仿宋"/>
                <w:sz w:val="24"/>
              </w:rPr>
            </w:pPr>
            <w:r>
              <w:rPr>
                <w:rFonts w:hint="eastAsia" w:ascii="仿宋" w:hAnsi="仿宋" w:eastAsia="仿宋" w:cs="仿宋"/>
                <w:sz w:val="24"/>
              </w:rPr>
              <w:t>1</w:t>
            </w:r>
          </w:p>
        </w:tc>
        <w:tc>
          <w:tcPr>
            <w:tcW w:w="3433" w:type="dxa"/>
            <w:vAlign w:val="center"/>
          </w:tcPr>
          <w:p w14:paraId="633CDC8C">
            <w:pPr>
              <w:spacing w:line="320" w:lineRule="exact"/>
              <w:jc w:val="center"/>
              <w:rPr>
                <w:rFonts w:ascii="仿宋" w:hAnsi="仿宋" w:eastAsia="仿宋" w:cs="仿宋"/>
                <w:sz w:val="24"/>
              </w:rPr>
            </w:pPr>
            <w:r>
              <w:rPr>
                <w:rFonts w:hint="eastAsia" w:ascii="仿宋" w:hAnsi="仿宋" w:eastAsia="仿宋" w:cs="仿宋"/>
                <w:sz w:val="24"/>
              </w:rPr>
              <w:t>进一步弘扬植绿、护绿、爱绿的文明新风，为建设和美乡村、筑牢绿色屏障贡献力量。</w:t>
            </w:r>
          </w:p>
        </w:tc>
      </w:tr>
    </w:tbl>
    <w:p w14:paraId="0A06D23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七、投融资活动对气候与环境的影响</w:t>
      </w:r>
    </w:p>
    <w:p w14:paraId="486A901E">
      <w:pPr>
        <w:spacing w:line="560" w:lineRule="exact"/>
        <w:ind w:firstLine="640" w:firstLineChars="200"/>
        <w:rPr>
          <w:sz w:val="32"/>
          <w:szCs w:val="32"/>
        </w:rPr>
      </w:pPr>
      <w:r>
        <w:rPr>
          <w:rFonts w:hint="eastAsia" w:ascii="仿宋_GB2312" w:hAnsi="仿宋_GB2312" w:eastAsia="仿宋_GB2312" w:cs="仿宋_GB2312"/>
          <w:sz w:val="32"/>
          <w:szCs w:val="32"/>
        </w:rPr>
        <w:t>本行积极响应国家绿色金融相关政策，持续推动绿色金融业务发展，从顶层设计、产品体系、管理配套、运营优化等方面着手加快布局，逐步完善各项体制机制建设，做大业务规模和客户数量，提升绿色金融贷款占比。截至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年末，绿色信贷户数5户，余额</w:t>
      </w:r>
      <w:r>
        <w:rPr>
          <w:rFonts w:ascii="仿宋_GB2312" w:hAnsi="仿宋_GB2312" w:eastAsia="仿宋_GB2312" w:cs="仿宋_GB2312"/>
          <w:sz w:val="32"/>
          <w:szCs w:val="32"/>
        </w:rPr>
        <w:t>2354</w:t>
      </w:r>
      <w:r>
        <w:rPr>
          <w:rFonts w:hint="eastAsia" w:ascii="仿宋_GB2312" w:hAnsi="仿宋_GB2312" w:eastAsia="仿宋_GB2312" w:cs="仿宋_GB2312"/>
          <w:sz w:val="32"/>
          <w:szCs w:val="32"/>
        </w:rPr>
        <w:t>万元。</w:t>
      </w:r>
    </w:p>
    <w:p w14:paraId="29D5DCA6">
      <w:pPr>
        <w:spacing w:line="560" w:lineRule="exact"/>
        <w:jc w:val="center"/>
        <w:rPr>
          <w:rFonts w:ascii="黑体" w:hAnsi="黑体" w:eastAsia="黑体" w:cs="黑体"/>
          <w:kern w:val="0"/>
          <w:sz w:val="28"/>
          <w:szCs w:val="28"/>
          <w:u w:color="000000"/>
          <w:lang w:val="zh-TW"/>
        </w:rPr>
      </w:pPr>
      <w:r>
        <w:rPr>
          <w:rFonts w:hint="eastAsia" w:ascii="黑体" w:hAnsi="黑体" w:eastAsia="黑体" w:cs="黑体"/>
          <w:kern w:val="0"/>
          <w:sz w:val="28"/>
          <w:szCs w:val="28"/>
          <w:u w:color="000000"/>
          <w:lang w:val="zh-TW"/>
        </w:rPr>
        <w:t>表5：投融资活动对气候与环境的影响</w:t>
      </w:r>
    </w:p>
    <w:tbl>
      <w:tblPr>
        <w:tblStyle w:val="7"/>
        <w:tblW w:w="891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2850"/>
        <w:gridCol w:w="3333"/>
        <w:gridCol w:w="1609"/>
        <w:gridCol w:w="1122"/>
      </w:tblGrid>
      <w:tr w14:paraId="484612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exact"/>
          <w:jc w:val="center"/>
        </w:trPr>
        <w:tc>
          <w:tcPr>
            <w:tcW w:w="2850" w:type="dxa"/>
            <w:tcBorders>
              <w:bottom w:val="single" w:color="auto" w:sz="4" w:space="0"/>
              <w:right w:val="single" w:color="auto" w:sz="4" w:space="0"/>
            </w:tcBorders>
            <w:vAlign w:val="center"/>
          </w:tcPr>
          <w:p w14:paraId="10DA49FF">
            <w:pPr>
              <w:spacing w:line="400" w:lineRule="exact"/>
              <w:jc w:val="center"/>
              <w:rPr>
                <w:rFonts w:ascii="仿宋" w:hAnsi="仿宋" w:eastAsia="仿宋" w:cs="仿宋"/>
                <w:b/>
                <w:bCs/>
                <w:sz w:val="28"/>
                <w:szCs w:val="28"/>
              </w:rPr>
            </w:pPr>
            <w:bookmarkStart w:id="0" w:name="RANGE!A1"/>
            <w:r>
              <w:rPr>
                <w:rFonts w:hint="eastAsia" w:ascii="仿宋" w:hAnsi="仿宋" w:eastAsia="仿宋" w:cs="仿宋"/>
                <w:b/>
                <w:bCs/>
                <w:sz w:val="28"/>
                <w:szCs w:val="28"/>
                <w:lang w:eastAsia="zh-TW"/>
              </w:rPr>
              <w:t>指标名称</w:t>
            </w:r>
            <w:bookmarkEnd w:id="0"/>
          </w:p>
        </w:tc>
        <w:tc>
          <w:tcPr>
            <w:tcW w:w="3333" w:type="dxa"/>
            <w:tcBorders>
              <w:left w:val="nil"/>
              <w:bottom w:val="single" w:color="auto" w:sz="4" w:space="0"/>
              <w:right w:val="single" w:color="auto" w:sz="4" w:space="0"/>
            </w:tcBorders>
            <w:vAlign w:val="center"/>
          </w:tcPr>
          <w:p w14:paraId="081DB60E">
            <w:pPr>
              <w:spacing w:line="400" w:lineRule="exact"/>
              <w:jc w:val="center"/>
              <w:rPr>
                <w:rFonts w:ascii="仿宋" w:hAnsi="仿宋" w:eastAsia="仿宋" w:cs="仿宋"/>
                <w:b/>
                <w:bCs/>
                <w:sz w:val="28"/>
                <w:szCs w:val="28"/>
              </w:rPr>
            </w:pPr>
            <w:r>
              <w:rPr>
                <w:rFonts w:hint="eastAsia" w:ascii="仿宋" w:hAnsi="仿宋" w:eastAsia="仿宋" w:cs="仿宋"/>
                <w:b/>
                <w:bCs/>
                <w:sz w:val="28"/>
                <w:szCs w:val="28"/>
                <w:lang w:eastAsia="zh-TW"/>
              </w:rPr>
              <w:t>披露细项</w:t>
            </w:r>
          </w:p>
        </w:tc>
        <w:tc>
          <w:tcPr>
            <w:tcW w:w="1609" w:type="dxa"/>
            <w:tcBorders>
              <w:left w:val="nil"/>
              <w:bottom w:val="single" w:color="auto" w:sz="4" w:space="0"/>
              <w:right w:val="single" w:color="auto" w:sz="4" w:space="0"/>
            </w:tcBorders>
            <w:vAlign w:val="center"/>
          </w:tcPr>
          <w:p w14:paraId="62A6BF03">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披露数据</w:t>
            </w:r>
          </w:p>
        </w:tc>
        <w:tc>
          <w:tcPr>
            <w:tcW w:w="1122" w:type="dxa"/>
            <w:tcBorders>
              <w:left w:val="nil"/>
              <w:bottom w:val="single" w:color="auto" w:sz="4" w:space="0"/>
            </w:tcBorders>
            <w:vAlign w:val="center"/>
          </w:tcPr>
          <w:p w14:paraId="62ED4FDE">
            <w:pPr>
              <w:spacing w:line="400" w:lineRule="exact"/>
              <w:jc w:val="center"/>
              <w:rPr>
                <w:rFonts w:ascii="仿宋" w:hAnsi="仿宋" w:eastAsia="仿宋" w:cs="仿宋"/>
                <w:b/>
                <w:bCs/>
                <w:sz w:val="28"/>
                <w:szCs w:val="28"/>
              </w:rPr>
            </w:pPr>
            <w:r>
              <w:rPr>
                <w:rFonts w:hint="eastAsia" w:ascii="仿宋" w:hAnsi="仿宋" w:eastAsia="仿宋" w:cs="仿宋"/>
                <w:b/>
                <w:bCs/>
                <w:sz w:val="28"/>
                <w:szCs w:val="28"/>
                <w:lang w:eastAsia="zh-TW"/>
              </w:rPr>
              <w:t>备注</w:t>
            </w:r>
          </w:p>
        </w:tc>
      </w:tr>
      <w:tr w14:paraId="7F52140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exact"/>
          <w:jc w:val="center"/>
        </w:trPr>
        <w:tc>
          <w:tcPr>
            <w:tcW w:w="2850" w:type="dxa"/>
            <w:vMerge w:val="restart"/>
            <w:tcBorders>
              <w:top w:val="nil"/>
              <w:bottom w:val="single" w:color="auto" w:sz="4" w:space="0"/>
              <w:right w:val="single" w:color="auto" w:sz="4" w:space="0"/>
            </w:tcBorders>
            <w:vAlign w:val="center"/>
          </w:tcPr>
          <w:p w14:paraId="1DE31AB1">
            <w:pPr>
              <w:spacing w:line="400" w:lineRule="exact"/>
              <w:jc w:val="left"/>
              <w:rPr>
                <w:rFonts w:ascii="仿宋" w:hAnsi="仿宋" w:eastAsia="仿宋" w:cs="仿宋"/>
                <w:sz w:val="28"/>
                <w:szCs w:val="28"/>
              </w:rPr>
            </w:pPr>
            <w:r>
              <w:rPr>
                <w:rFonts w:hint="eastAsia" w:ascii="仿宋" w:hAnsi="仿宋" w:eastAsia="仿宋" w:cs="仿宋"/>
                <w:sz w:val="28"/>
                <w:szCs w:val="28"/>
                <w:lang w:eastAsia="zh-TW"/>
              </w:rPr>
              <w:t>绿色</w:t>
            </w:r>
            <w:r>
              <w:rPr>
                <w:rFonts w:hint="eastAsia" w:ascii="仿宋" w:hAnsi="仿宋" w:eastAsia="仿宋" w:cs="仿宋"/>
                <w:sz w:val="28"/>
                <w:szCs w:val="28"/>
              </w:rPr>
              <w:t>贷款</w:t>
            </w:r>
            <w:r>
              <w:rPr>
                <w:rFonts w:hint="eastAsia" w:ascii="仿宋" w:hAnsi="仿宋" w:eastAsia="仿宋" w:cs="仿宋"/>
                <w:sz w:val="28"/>
                <w:szCs w:val="28"/>
                <w:lang w:eastAsia="zh-TW"/>
              </w:rPr>
              <w:t>余额及占比</w:t>
            </w:r>
          </w:p>
        </w:tc>
        <w:tc>
          <w:tcPr>
            <w:tcW w:w="3333" w:type="dxa"/>
            <w:tcBorders>
              <w:top w:val="nil"/>
              <w:left w:val="nil"/>
              <w:bottom w:val="single" w:color="auto" w:sz="4" w:space="0"/>
              <w:right w:val="single" w:color="auto" w:sz="4" w:space="0"/>
            </w:tcBorders>
            <w:vAlign w:val="center"/>
          </w:tcPr>
          <w:p w14:paraId="0B806BAD">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绿色贷款余额（万元）</w:t>
            </w:r>
          </w:p>
        </w:tc>
        <w:tc>
          <w:tcPr>
            <w:tcW w:w="1609" w:type="dxa"/>
            <w:tcBorders>
              <w:top w:val="single" w:color="auto" w:sz="4" w:space="0"/>
              <w:left w:val="nil"/>
              <w:bottom w:val="single" w:color="auto" w:sz="4" w:space="0"/>
              <w:right w:val="single" w:color="auto" w:sz="4" w:space="0"/>
            </w:tcBorders>
            <w:vAlign w:val="center"/>
          </w:tcPr>
          <w:p w14:paraId="51088699">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2354</w:t>
            </w:r>
          </w:p>
        </w:tc>
        <w:tc>
          <w:tcPr>
            <w:tcW w:w="1122" w:type="dxa"/>
            <w:tcBorders>
              <w:top w:val="nil"/>
              <w:left w:val="nil"/>
              <w:bottom w:val="single" w:color="auto" w:sz="4" w:space="0"/>
            </w:tcBorders>
            <w:vAlign w:val="center"/>
          </w:tcPr>
          <w:p w14:paraId="5682AE83">
            <w:pPr>
              <w:spacing w:line="400" w:lineRule="exact"/>
              <w:jc w:val="center"/>
              <w:rPr>
                <w:rFonts w:ascii="仿宋" w:hAnsi="仿宋" w:eastAsia="仿宋" w:cs="仿宋"/>
                <w:b/>
                <w:bCs/>
                <w:sz w:val="28"/>
                <w:szCs w:val="28"/>
              </w:rPr>
            </w:pPr>
          </w:p>
        </w:tc>
      </w:tr>
      <w:tr w14:paraId="2817D84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exact"/>
          <w:jc w:val="center"/>
        </w:trPr>
        <w:tc>
          <w:tcPr>
            <w:tcW w:w="2850" w:type="dxa"/>
            <w:vMerge w:val="continue"/>
            <w:tcBorders>
              <w:top w:val="nil"/>
              <w:bottom w:val="single" w:color="auto" w:sz="4" w:space="0"/>
              <w:right w:val="single" w:color="auto" w:sz="4" w:space="0"/>
            </w:tcBorders>
            <w:vAlign w:val="center"/>
          </w:tcPr>
          <w:p w14:paraId="51DB5417">
            <w:pPr>
              <w:spacing w:line="400" w:lineRule="exact"/>
              <w:jc w:val="left"/>
              <w:rPr>
                <w:rFonts w:ascii="仿宋" w:hAnsi="仿宋" w:eastAsia="仿宋" w:cs="仿宋"/>
                <w:sz w:val="28"/>
                <w:szCs w:val="28"/>
              </w:rPr>
            </w:pPr>
          </w:p>
        </w:tc>
        <w:tc>
          <w:tcPr>
            <w:tcW w:w="3333" w:type="dxa"/>
            <w:tcBorders>
              <w:top w:val="nil"/>
              <w:left w:val="nil"/>
              <w:bottom w:val="single" w:color="auto" w:sz="4" w:space="0"/>
              <w:right w:val="single" w:color="auto" w:sz="4" w:space="0"/>
            </w:tcBorders>
            <w:vAlign w:val="center"/>
          </w:tcPr>
          <w:p w14:paraId="7F3AD15A">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各项贷款余额（万元）</w:t>
            </w:r>
          </w:p>
        </w:tc>
        <w:tc>
          <w:tcPr>
            <w:tcW w:w="1609" w:type="dxa"/>
            <w:tcBorders>
              <w:top w:val="single" w:color="auto" w:sz="4" w:space="0"/>
              <w:left w:val="nil"/>
              <w:bottom w:val="single" w:color="auto" w:sz="4" w:space="0"/>
              <w:right w:val="single" w:color="auto" w:sz="4" w:space="0"/>
            </w:tcBorders>
            <w:vAlign w:val="center"/>
          </w:tcPr>
          <w:p w14:paraId="0175BADE">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1489492.27</w:t>
            </w:r>
          </w:p>
        </w:tc>
        <w:tc>
          <w:tcPr>
            <w:tcW w:w="1122" w:type="dxa"/>
            <w:tcBorders>
              <w:top w:val="nil"/>
              <w:left w:val="nil"/>
              <w:bottom w:val="single" w:color="auto" w:sz="4" w:space="0"/>
            </w:tcBorders>
            <w:vAlign w:val="center"/>
          </w:tcPr>
          <w:p w14:paraId="68B0D695">
            <w:pPr>
              <w:spacing w:line="400" w:lineRule="exact"/>
              <w:jc w:val="center"/>
              <w:rPr>
                <w:rFonts w:ascii="仿宋" w:hAnsi="仿宋" w:eastAsia="仿宋" w:cs="仿宋"/>
                <w:b/>
                <w:bCs/>
                <w:sz w:val="28"/>
                <w:szCs w:val="28"/>
              </w:rPr>
            </w:pPr>
          </w:p>
        </w:tc>
      </w:tr>
      <w:tr w14:paraId="7F6260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exact"/>
          <w:jc w:val="center"/>
        </w:trPr>
        <w:tc>
          <w:tcPr>
            <w:tcW w:w="2850" w:type="dxa"/>
            <w:vMerge w:val="continue"/>
            <w:tcBorders>
              <w:top w:val="nil"/>
              <w:bottom w:val="single" w:color="auto" w:sz="4" w:space="0"/>
              <w:right w:val="single" w:color="auto" w:sz="4" w:space="0"/>
            </w:tcBorders>
            <w:vAlign w:val="center"/>
          </w:tcPr>
          <w:p w14:paraId="38766BCA">
            <w:pPr>
              <w:spacing w:line="400" w:lineRule="exact"/>
              <w:jc w:val="left"/>
              <w:rPr>
                <w:rFonts w:ascii="仿宋" w:hAnsi="仿宋" w:eastAsia="仿宋" w:cs="仿宋"/>
                <w:sz w:val="28"/>
                <w:szCs w:val="28"/>
              </w:rPr>
            </w:pPr>
          </w:p>
        </w:tc>
        <w:tc>
          <w:tcPr>
            <w:tcW w:w="3333" w:type="dxa"/>
            <w:tcBorders>
              <w:top w:val="nil"/>
              <w:left w:val="nil"/>
              <w:bottom w:val="single" w:color="auto" w:sz="4" w:space="0"/>
              <w:right w:val="single" w:color="auto" w:sz="4" w:space="0"/>
            </w:tcBorders>
            <w:vAlign w:val="center"/>
          </w:tcPr>
          <w:p w14:paraId="2985452F">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绿色贷款占比（%）</w:t>
            </w:r>
          </w:p>
        </w:tc>
        <w:tc>
          <w:tcPr>
            <w:tcW w:w="1609" w:type="dxa"/>
            <w:tcBorders>
              <w:top w:val="single" w:color="auto" w:sz="4" w:space="0"/>
              <w:left w:val="nil"/>
              <w:bottom w:val="single" w:color="auto" w:sz="4" w:space="0"/>
              <w:right w:val="single" w:color="auto" w:sz="4" w:space="0"/>
            </w:tcBorders>
            <w:vAlign w:val="center"/>
          </w:tcPr>
          <w:p w14:paraId="3FF6A741">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0.16</w:t>
            </w:r>
          </w:p>
        </w:tc>
        <w:tc>
          <w:tcPr>
            <w:tcW w:w="1122" w:type="dxa"/>
            <w:tcBorders>
              <w:top w:val="nil"/>
              <w:left w:val="nil"/>
              <w:bottom w:val="single" w:color="auto" w:sz="4" w:space="0"/>
            </w:tcBorders>
            <w:vAlign w:val="center"/>
          </w:tcPr>
          <w:p w14:paraId="06416518">
            <w:pPr>
              <w:spacing w:line="400" w:lineRule="exact"/>
              <w:jc w:val="center"/>
              <w:rPr>
                <w:rFonts w:ascii="仿宋" w:hAnsi="仿宋" w:eastAsia="仿宋" w:cs="仿宋"/>
                <w:b/>
                <w:bCs/>
                <w:sz w:val="28"/>
                <w:szCs w:val="28"/>
              </w:rPr>
            </w:pPr>
          </w:p>
        </w:tc>
      </w:tr>
      <w:tr w14:paraId="05ABF3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27" w:hRule="exact"/>
          <w:jc w:val="center"/>
        </w:trPr>
        <w:tc>
          <w:tcPr>
            <w:tcW w:w="2850" w:type="dxa"/>
            <w:tcBorders>
              <w:top w:val="nil"/>
              <w:right w:val="single" w:color="auto" w:sz="4" w:space="0"/>
            </w:tcBorders>
            <w:vAlign w:val="center"/>
          </w:tcPr>
          <w:p w14:paraId="5C8223E4">
            <w:pPr>
              <w:spacing w:line="400" w:lineRule="exact"/>
              <w:jc w:val="left"/>
              <w:rPr>
                <w:rFonts w:ascii="仿宋" w:hAnsi="仿宋" w:eastAsia="仿宋" w:cs="仿宋"/>
                <w:sz w:val="28"/>
                <w:szCs w:val="28"/>
                <w:lang w:eastAsia="zh-TW"/>
              </w:rPr>
            </w:pPr>
            <w:r>
              <w:rPr>
                <w:rFonts w:hint="eastAsia" w:ascii="仿宋" w:hAnsi="仿宋" w:eastAsia="仿宋" w:cs="仿宋"/>
                <w:sz w:val="28"/>
                <w:szCs w:val="28"/>
              </w:rPr>
              <w:t>持有绿色债券余额及</w:t>
            </w:r>
            <w:r>
              <w:rPr>
                <w:rFonts w:hint="eastAsia" w:ascii="仿宋" w:hAnsi="仿宋" w:eastAsia="仿宋" w:cs="仿宋"/>
                <w:sz w:val="28"/>
                <w:szCs w:val="28"/>
                <w:lang w:eastAsia="zh-TW"/>
              </w:rPr>
              <w:t>折合减排情况</w:t>
            </w:r>
          </w:p>
        </w:tc>
        <w:tc>
          <w:tcPr>
            <w:tcW w:w="3333" w:type="dxa"/>
            <w:tcBorders>
              <w:top w:val="nil"/>
              <w:left w:val="nil"/>
              <w:bottom w:val="single" w:color="auto" w:sz="4" w:space="0"/>
              <w:right w:val="single" w:color="auto" w:sz="4" w:space="0"/>
            </w:tcBorders>
            <w:vAlign w:val="center"/>
          </w:tcPr>
          <w:p w14:paraId="3757C7C8">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持有绿色债券余额（万元）</w:t>
            </w:r>
          </w:p>
        </w:tc>
        <w:tc>
          <w:tcPr>
            <w:tcW w:w="1609" w:type="dxa"/>
            <w:tcBorders>
              <w:top w:val="single" w:color="auto" w:sz="4" w:space="0"/>
              <w:left w:val="nil"/>
              <w:bottom w:val="single" w:color="auto" w:sz="4" w:space="0"/>
              <w:right w:val="single" w:color="auto" w:sz="4" w:space="0"/>
            </w:tcBorders>
            <w:vAlign w:val="center"/>
          </w:tcPr>
          <w:p w14:paraId="4F2CE96A">
            <w:pPr>
              <w:spacing w:line="400" w:lineRule="exact"/>
              <w:jc w:val="center"/>
              <w:rPr>
                <w:rFonts w:hint="eastAsia" w:ascii="仿宋" w:hAnsi="仿宋" w:eastAsia="仿宋" w:cs="仿宋"/>
                <w:sz w:val="28"/>
                <w:szCs w:val="28"/>
                <w:lang w:eastAsia="zh-TW"/>
              </w:rPr>
            </w:pPr>
            <w:r>
              <w:rPr>
                <w:rFonts w:hint="eastAsia" w:ascii="仿宋" w:hAnsi="仿宋" w:eastAsia="仿宋" w:cs="仿宋"/>
                <w:sz w:val="28"/>
                <w:szCs w:val="28"/>
                <w:lang w:eastAsia="zh-TW"/>
              </w:rPr>
              <w:t>1000</w:t>
            </w:r>
          </w:p>
        </w:tc>
        <w:tc>
          <w:tcPr>
            <w:tcW w:w="1122" w:type="dxa"/>
            <w:tcBorders>
              <w:top w:val="nil"/>
              <w:left w:val="nil"/>
              <w:bottom w:val="single" w:color="auto" w:sz="4" w:space="0"/>
            </w:tcBorders>
            <w:vAlign w:val="center"/>
          </w:tcPr>
          <w:p w14:paraId="1E63C112">
            <w:pPr>
              <w:spacing w:line="400" w:lineRule="exact"/>
              <w:jc w:val="center"/>
              <w:rPr>
                <w:rFonts w:ascii="仿宋" w:hAnsi="仿宋" w:eastAsia="仿宋" w:cs="仿宋"/>
                <w:sz w:val="28"/>
                <w:szCs w:val="28"/>
              </w:rPr>
            </w:pPr>
          </w:p>
        </w:tc>
      </w:tr>
    </w:tbl>
    <w:p w14:paraId="77C210F4">
      <w:pPr>
        <w:spacing w:line="560" w:lineRule="exact"/>
        <w:ind w:firstLine="600" w:firstLineChars="200"/>
        <w:rPr>
          <w:rFonts w:ascii="黑体" w:hAnsi="黑体" w:eastAsia="黑体" w:cs="黑体"/>
          <w:bCs/>
          <w:sz w:val="30"/>
          <w:szCs w:val="30"/>
          <w:lang w:val="zh-TW"/>
        </w:rPr>
      </w:pPr>
      <w:r>
        <w:rPr>
          <w:rFonts w:hint="eastAsia" w:ascii="黑体" w:hAnsi="黑体" w:eastAsia="黑体" w:cs="黑体"/>
          <w:bCs/>
          <w:sz w:val="30"/>
          <w:szCs w:val="30"/>
        </w:rPr>
        <w:t>八、</w:t>
      </w:r>
      <w:r>
        <w:rPr>
          <w:rFonts w:hint="eastAsia" w:ascii="黑体" w:hAnsi="黑体" w:eastAsia="黑体" w:cs="黑体"/>
          <w:bCs/>
          <w:sz w:val="30"/>
          <w:szCs w:val="30"/>
          <w:lang w:val="zh-TW"/>
        </w:rPr>
        <w:t>未来展望</w:t>
      </w:r>
    </w:p>
    <w:p w14:paraId="273614C4">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绿色发展是高质量发展的底色，绿色金融是助力乡村振兴的根本。未来，本行将持续贯彻落实绿色金融发展战略，将绿色发展理念贯穿到业务经营发展各环节，</w:t>
      </w:r>
      <w:r>
        <w:rPr>
          <w:rFonts w:hint="eastAsia" w:ascii="仿宋_GB2312" w:eastAsia="仿宋_GB2312"/>
          <w:sz w:val="32"/>
          <w:szCs w:val="32"/>
        </w:rPr>
        <w:t>坚定不移走生态优先、绿色低碳的高质量发展道路，为建设“百姓富、生态美”的新长乐提供强有力金融保障。</w:t>
      </w:r>
    </w:p>
    <w:p w14:paraId="0672455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一是支持生态农业。</w:t>
      </w:r>
      <w:r>
        <w:rPr>
          <w:rFonts w:hint="eastAsia" w:ascii="仿宋_GB2312" w:hAnsi="仿宋_GB2312" w:eastAsia="仿宋_GB2312" w:cs="仿宋_GB2312"/>
          <w:sz w:val="32"/>
          <w:szCs w:val="32"/>
        </w:rPr>
        <w:t>主动对接农业农村局等的涉农政策，重点支持设施农业、循环农业、有机农业等生态友好型农业发展，充分发挥农商行“农民创业致富的领路人、牵头人”作用，以金融力量推进长乐区特色现代农业优化提升。</w:t>
      </w:r>
    </w:p>
    <w:p w14:paraId="4E67D64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二是支持生态养殖。</w:t>
      </w:r>
      <w:r>
        <w:rPr>
          <w:rFonts w:hint="eastAsia" w:ascii="仿宋_GB2312" w:hAnsi="仿宋_GB2312" w:eastAsia="仿宋_GB2312" w:cs="仿宋_GB2312"/>
          <w:sz w:val="32"/>
          <w:szCs w:val="32"/>
        </w:rPr>
        <w:t>进一步丰富“福海贷”系列产品，重点支持绿色、低碳、高效、清洁、无公害的海水健康养殖模式，支持渔业优势养殖品种规模化养殖、海洋远洋捕捞、海产品深加工龙头示范企业，促进海洋渔业绿色发展。</w:t>
      </w:r>
    </w:p>
    <w:p w14:paraId="319BB70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三是支持生态旅游。</w:t>
      </w:r>
      <w:r>
        <w:rPr>
          <w:rFonts w:hint="eastAsia" w:ascii="仿宋_GB2312" w:hAnsi="仿宋_GB2312" w:eastAsia="仿宋_GB2312" w:cs="仿宋_GB2312"/>
          <w:sz w:val="32"/>
          <w:szCs w:val="32"/>
        </w:rPr>
        <w:t>围绕长乐区“坚持文旅融合，做大做强做优文旅经济”的发展思路，依托我区丰富的山水、人文、历史等旅游资源，大力扶持“乡村农家乐”、“农家客栈”等项目，发展乡村旅游，帮助农民创业兴业。</w:t>
      </w:r>
    </w:p>
    <w:p w14:paraId="290CCAF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四是助力美丽乡村。</w:t>
      </w:r>
      <w:r>
        <w:rPr>
          <w:rFonts w:hint="eastAsia" w:ascii="仿宋_GB2312" w:hAnsi="仿宋_GB2312" w:eastAsia="仿宋_GB2312" w:cs="仿宋_GB2312"/>
          <w:sz w:val="32"/>
          <w:szCs w:val="32"/>
        </w:rPr>
        <w:t>深入落实“党建+金融”双基联动机制，加大对人居环境建设项目信贷投放力度，以“福农·福厝贷”“福农·福村贷”“星级文明贷”等特色产品为抓手，助力改造宜居环境，提高城乡生态宜居水平。</w:t>
      </w:r>
    </w:p>
    <w:p w14:paraId="521817E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五是支持节能减排。</w:t>
      </w:r>
      <w:r>
        <w:rPr>
          <w:rFonts w:hint="eastAsia" w:ascii="仿宋_GB2312" w:hAnsi="仿宋_GB2312" w:eastAsia="仿宋_GB2312" w:cs="仿宋_GB2312"/>
          <w:sz w:val="32"/>
          <w:szCs w:val="32"/>
        </w:rPr>
        <w:t>重点支持农村产业结构调整、农业龙头企业技术改造和重要产品升级换代的重点能效项目，推动</w:t>
      </w:r>
      <w:r>
        <w:rPr>
          <w:rFonts w:hint="eastAsia" w:ascii="仿宋_GB2312" w:eastAsia="仿宋_GB2312"/>
          <w:sz w:val="32"/>
          <w:szCs w:val="32"/>
        </w:rPr>
        <w:t>工业产业向节能减排、低碳循环发展，</w:t>
      </w:r>
      <w:r>
        <w:rPr>
          <w:rFonts w:hint="eastAsia" w:ascii="仿宋_GB2312" w:hAnsi="仿宋_GB2312" w:eastAsia="仿宋_GB2312" w:cs="仿宋_GB2312"/>
          <w:sz w:val="32"/>
          <w:szCs w:val="32"/>
        </w:rPr>
        <w:t>以“福工·技改贷”，促进传统工业产业的绿色转型升级。</w:t>
      </w:r>
    </w:p>
    <w:p w14:paraId="2623E603">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B1AA1F4">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4ZTA5MWJlMWFmNzNiNjQzNjgwOTQzMmQ2ODE2MTcifQ=="/>
  </w:docVars>
  <w:rsids>
    <w:rsidRoot w:val="39D35C22"/>
    <w:rsid w:val="000862F0"/>
    <w:rsid w:val="00183488"/>
    <w:rsid w:val="002B4859"/>
    <w:rsid w:val="002B6B47"/>
    <w:rsid w:val="002C7627"/>
    <w:rsid w:val="003047AF"/>
    <w:rsid w:val="004A1922"/>
    <w:rsid w:val="004A1D52"/>
    <w:rsid w:val="005F40C8"/>
    <w:rsid w:val="0060363E"/>
    <w:rsid w:val="0062564C"/>
    <w:rsid w:val="007F60F4"/>
    <w:rsid w:val="00876D5C"/>
    <w:rsid w:val="0099154F"/>
    <w:rsid w:val="00A174A7"/>
    <w:rsid w:val="00A6632C"/>
    <w:rsid w:val="00A7562C"/>
    <w:rsid w:val="00A86BB2"/>
    <w:rsid w:val="00BA5AE5"/>
    <w:rsid w:val="00E37981"/>
    <w:rsid w:val="03047ED4"/>
    <w:rsid w:val="0500784E"/>
    <w:rsid w:val="05C64880"/>
    <w:rsid w:val="0F8F46CB"/>
    <w:rsid w:val="28664E19"/>
    <w:rsid w:val="2C1247EC"/>
    <w:rsid w:val="35B36DC0"/>
    <w:rsid w:val="39D35C22"/>
    <w:rsid w:val="3A71232E"/>
    <w:rsid w:val="46FE50E3"/>
    <w:rsid w:val="4B7F38EA"/>
    <w:rsid w:val="6B2A0BD6"/>
    <w:rsid w:val="760278AA"/>
    <w:rsid w:val="76D04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firstLineChars="200"/>
    </w:pPr>
  </w:style>
  <w:style w:type="paragraph" w:customStyle="1" w:styleId="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
    <w:name w:val="页眉 Char"/>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12</Pages>
  <Words>5629</Words>
  <Characters>5742</Characters>
  <Lines>42</Lines>
  <Paragraphs>11</Paragraphs>
  <TotalTime>75</TotalTime>
  <ScaleCrop>false</ScaleCrop>
  <LinksUpToDate>false</LinksUpToDate>
  <CharactersWithSpaces>5746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2025-12-30T03:23:00Z</dcterms:created>
  <dc:creator>Administrator</dc:creator>
  <cp:lastModifiedBy>李建</cp:lastModifiedBy>
  <cp:lastPrinted>2024-09-05T09:36:00Z</cp:lastPrinted>
  <dcterms:modified xsi:type="dcterms:W3CDTF">2025-12-31T07:01:58Z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FEF0DCAC3C88472FA720B9281697984B_11</vt:lpwstr>
  </property>
  <property fmtid="{D5CDD505-2E9C-101B-9397-08002B2CF9AE}" pid="4" name="KSOTemplateDocerSaveRecord">
    <vt:lpwstr>eyJoZGlkIjoiZjJlN2U3NWJlNTQxZjk5MTVlMzlmYjUzNjQ2MTQ2OWQiLCJ1c2VySWQiOiIyOTM0MzkwNzYifQ==</vt:lpwstr>
  </property>
</Properties>
</file>