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附件2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</w:p>
    <w:p>
      <w:pPr>
        <w:spacing w:after="0" w:line="560" w:lineRule="exact"/>
        <w:ind w:firstLine="0"/>
        <w:jc w:val="center"/>
        <w:rPr>
          <w:rFonts w:ascii="方正小标宋简体" w:hAnsi="方正小标宋简体" w:eastAsia="方正小标宋简体"/>
          <w:b w:val="0"/>
          <w:sz w:val="44"/>
        </w:rPr>
      </w:pPr>
      <w:bookmarkStart w:id="0" w:name="_GoBack"/>
      <w:r>
        <w:rPr>
          <w:rFonts w:ascii="方正小标宋简体" w:hAnsi="方正小标宋简体" w:eastAsia="方正小标宋简体"/>
          <w:b w:val="0"/>
          <w:sz w:val="44"/>
        </w:rPr>
        <w:t>集团现金管理系统项目供应商交流提纲</w:t>
      </w:r>
    </w:p>
    <w:bookmarkEnd w:id="0"/>
    <w:p>
      <w:pPr>
        <w:spacing w:after="0" w:line="560" w:lineRule="exact"/>
        <w:ind w:firstLine="0"/>
        <w:jc w:val="center"/>
        <w:rPr>
          <w:rFonts w:ascii="方正小标宋简体" w:hAnsi="方正小标宋简体" w:eastAsia="方正小标宋简体"/>
          <w:b w:val="0"/>
          <w:sz w:val="44"/>
        </w:rPr>
      </w:pPr>
    </w:p>
    <w:p>
      <w:pPr>
        <w:spacing w:after="0" w:line="560" w:lineRule="exact"/>
        <w:ind w:firstLine="420"/>
        <w:jc w:val="both"/>
      </w:pPr>
      <w:r>
        <w:rPr>
          <w:rFonts w:ascii="仿宋_GB2312" w:hAnsi="仿宋_GB2312" w:eastAsia="仿宋_GB2312"/>
          <w:b w:val="0"/>
          <w:sz w:val="32"/>
        </w:rPr>
        <w:t>为充分了解当前集团现金管理系统（司库系统）建设情况及行业成熟解决方案，请参与交流的厂商根据以下提纲准备交流材料。</w:t>
      </w:r>
    </w:p>
    <w:p>
      <w:pPr>
        <w:spacing w:after="0" w:line="560" w:lineRule="exact"/>
        <w:ind w:firstLine="640" w:firstLineChars="200"/>
        <w:jc w:val="left"/>
      </w:pPr>
      <w:r>
        <w:rPr>
          <w:rFonts w:ascii="黑体" w:hAnsi="黑体" w:eastAsia="黑体"/>
          <w:b w:val="0"/>
          <w:sz w:val="32"/>
        </w:rPr>
        <w:t>一、公司及产品基本情况</w:t>
      </w:r>
    </w:p>
    <w:p>
      <w:pPr>
        <w:spacing w:after="0" w:line="560" w:lineRule="exact"/>
        <w:ind w:firstLine="640" w:firstLineChars="20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1.公司基本情况介绍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公司成立时间、注册资本、人员规模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•在银行金融科技领域的业务布局</w:t>
      </w:r>
    </w:p>
    <w:p>
      <w:pPr>
        <w:spacing w:after="0" w:line="560" w:lineRule="exact"/>
        <w:ind w:left="0" w:firstLine="42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2</w:t>
      </w:r>
      <w:r>
        <w:rPr>
          <w:rFonts w:hint="eastAsia" w:ascii="仿宋_GB2312" w:hAnsi="仿宋_GB2312" w:eastAsia="仿宋_GB2312"/>
          <w:b w:val="0"/>
          <w:bCs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/>
          <w:sz w:val="32"/>
        </w:rPr>
        <w:t>公司在现金管理或司库系统领域的产品情况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产品发展历程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产品成熟度及市场应用情况</w:t>
      </w:r>
    </w:p>
    <w:p>
      <w:pPr>
        <w:spacing w:after="0" w:line="560" w:lineRule="exact"/>
        <w:ind w:left="0" w:firstLine="42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3</w:t>
      </w:r>
      <w:r>
        <w:rPr>
          <w:rFonts w:hint="eastAsia" w:ascii="仿宋_GB2312" w:hAnsi="仿宋_GB2312" w:eastAsia="仿宋_GB2312"/>
          <w:b w:val="0"/>
          <w:bCs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/>
          <w:sz w:val="32"/>
        </w:rPr>
        <w:t>银行业相关项目案例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近两年银行业集团现金管理或司库系统建设案例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项目规模及应用情况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二、集团现金管理系统整体解决方案</w:t>
      </w:r>
    </w:p>
    <w:p>
      <w:pPr>
        <w:spacing w:after="0" w:line="560" w:lineRule="exact"/>
        <w:ind w:left="0" w:firstLine="42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1</w:t>
      </w:r>
      <w:r>
        <w:rPr>
          <w:rFonts w:hint="eastAsia" w:ascii="仿宋_GB2312" w:hAnsi="仿宋_GB2312" w:eastAsia="仿宋_GB2312"/>
          <w:b w:val="0"/>
          <w:bCs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/>
          <w:sz w:val="32"/>
        </w:rPr>
        <w:t>系统建设理念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面向银行交易银行体系建设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面向集团企业资金集中管理</w:t>
      </w:r>
    </w:p>
    <w:p>
      <w:pPr>
        <w:spacing w:after="0" w:line="560" w:lineRule="exact"/>
        <w:ind w:left="0" w:firstLine="42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2</w:t>
      </w:r>
      <w:r>
        <w:rPr>
          <w:rFonts w:hint="eastAsia" w:ascii="仿宋_GB2312" w:hAnsi="仿宋_GB2312" w:eastAsia="仿宋_GB2312"/>
          <w:b w:val="0"/>
          <w:bCs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/>
          <w:sz w:val="32"/>
        </w:rPr>
        <w:t>系统总体架构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系统整体技术架构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微服务架构设计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系统高可用与扩展能力</w:t>
      </w:r>
    </w:p>
    <w:p>
      <w:pPr>
        <w:spacing w:after="0" w:line="560" w:lineRule="exact"/>
        <w:ind w:left="0" w:firstLine="42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3</w:t>
      </w:r>
      <w:r>
        <w:rPr>
          <w:rFonts w:hint="eastAsia" w:ascii="仿宋_GB2312" w:hAnsi="仿宋_GB2312" w:eastAsia="仿宋_GB2312"/>
          <w:b w:val="0"/>
          <w:bCs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/>
          <w:sz w:val="32"/>
        </w:rPr>
        <w:t>系统部署模式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集中部署模式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分布式架构设计</w:t>
      </w:r>
    </w:p>
    <w:p>
      <w:pPr>
        <w:spacing w:after="0" w:line="560" w:lineRule="exact"/>
        <w:ind w:left="0" w:firstLine="420"/>
        <w:jc w:val="left"/>
        <w:rPr>
          <w:b w:val="0"/>
          <w:bCs/>
        </w:rPr>
      </w:pPr>
      <w:r>
        <w:rPr>
          <w:rFonts w:ascii="仿宋_GB2312" w:hAnsi="仿宋_GB2312" w:eastAsia="仿宋_GB2312"/>
          <w:b w:val="0"/>
          <w:bCs/>
          <w:sz w:val="32"/>
        </w:rPr>
        <w:t>4</w:t>
      </w:r>
      <w:r>
        <w:rPr>
          <w:rFonts w:hint="eastAsia" w:ascii="仿宋_GB2312" w:hAnsi="仿宋_GB2312" w:eastAsia="仿宋_GB2312"/>
          <w:b w:val="0"/>
          <w:bCs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/>
          <w:sz w:val="32"/>
        </w:rPr>
        <w:t>系统信创适配情况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国产化操作系统适配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国产数据库适配</w:t>
      </w:r>
    </w:p>
    <w:p>
      <w:pPr>
        <w:spacing w:after="0" w:line="560" w:lineRule="exact"/>
        <w:ind w:firstLine="640" w:firstLineChars="200"/>
        <w:jc w:val="both"/>
        <w:rPr>
          <w:rFonts w:ascii="仿宋_GB2312" w:hAnsi="仿宋_GB2312" w:eastAsia="仿宋_GB2312"/>
          <w:b w:val="0"/>
          <w:bCs/>
          <w:sz w:val="32"/>
        </w:rPr>
      </w:pPr>
      <w:r>
        <w:rPr>
          <w:rFonts w:ascii="仿宋_GB2312" w:hAnsi="仿宋_GB2312" w:eastAsia="仿宋_GB2312"/>
          <w:b w:val="0"/>
          <w:bCs/>
          <w:sz w:val="32"/>
        </w:rPr>
        <w:t>• 国产中间件适配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三、核心业务功能模块</w:t>
      </w:r>
    </w:p>
    <w:p>
      <w:pPr>
        <w:spacing w:after="0" w:line="560" w:lineRule="exact"/>
        <w:ind w:left="0" w:firstLine="640" w:firstLineChars="200"/>
        <w:jc w:val="left"/>
      </w:pPr>
      <w:r>
        <w:rPr>
          <w:rFonts w:ascii="仿宋_GB2312" w:hAnsi="仿宋_GB2312" w:eastAsia="仿宋_GB2312"/>
          <w:b w:val="0"/>
          <w:sz w:val="32"/>
        </w:rPr>
        <w:t>请重点介绍系统在以下业务功能方面的实现方式：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（一）集团客户管理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集团客户识别与管理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集团成员企业管理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集团组织架构管理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集团客户统一视图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（二）集团账户管理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集团账户统一管理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多银行账户管理能力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集团账户余额统一视图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集团账户权限及授权管理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（三）资金集中管理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资金归集管理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资金下拨管理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资金池管理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资金调拨管理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5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集团资金集中度管理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（四）集团收付结算管理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集团统一收款管理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集团统一付款管理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批量支付与自动化处理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集团内部资金划转管理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（五）资金计划与预算管理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资金预算管理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资金计划管理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bCs w:val="0"/>
          <w:sz w:val="32"/>
        </w:rPr>
      </w:pPr>
      <w:r>
        <w:rPr>
          <w:rFonts w:ascii="仿宋_GB2312" w:hAnsi="仿宋_GB2312" w:eastAsia="仿宋_GB2312"/>
          <w:b w:val="0"/>
          <w:bCs w:val="0"/>
          <w:sz w:val="32"/>
        </w:rPr>
        <w:t>3</w:t>
      </w:r>
      <w:r>
        <w:rPr>
          <w:rFonts w:hint="eastAsia" w:ascii="仿宋_GB2312" w:hAnsi="仿宋_GB2312" w:eastAsia="仿宋_GB2312"/>
          <w:b w:val="0"/>
          <w:bCs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 w:val="0"/>
          <w:sz w:val="32"/>
        </w:rPr>
        <w:t>资金预测与分析</w:t>
      </w:r>
    </w:p>
    <w:p>
      <w:pPr>
        <w:spacing w:after="0" w:line="560" w:lineRule="exact"/>
        <w:ind w:left="0" w:firstLine="420"/>
        <w:jc w:val="left"/>
        <w:rPr>
          <w:b w:val="0"/>
          <w:bCs w:val="0"/>
        </w:rPr>
      </w:pPr>
      <w:r>
        <w:rPr>
          <w:rFonts w:ascii="仿宋_GB2312" w:hAnsi="仿宋_GB2312" w:eastAsia="仿宋_GB2312"/>
          <w:b w:val="0"/>
          <w:bCs w:val="0"/>
          <w:sz w:val="32"/>
        </w:rPr>
        <w:t>4</w:t>
      </w:r>
      <w:r>
        <w:rPr>
          <w:rFonts w:hint="eastAsia" w:ascii="仿宋_GB2312" w:hAnsi="仿宋_GB2312" w:eastAsia="仿宋_GB2312"/>
          <w:b w:val="0"/>
          <w:bCs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bCs w:val="0"/>
          <w:sz w:val="32"/>
        </w:rPr>
        <w:t>资金使用效率分析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（六）融资与授信管理（如涉及）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集团融资管理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银行授信额度管理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融资结构分析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集团债务管理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（七）票据与供应链资金管理（如涉及）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票据管理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供应链资金管理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产业链资金结算服务</w:t>
      </w:r>
    </w:p>
    <w:p>
      <w:pPr>
        <w:spacing w:after="0" w:line="560" w:lineRule="exact"/>
        <w:ind w:left="0" w:firstLine="420"/>
        <w:jc w:val="left"/>
      </w:pPr>
      <w:r>
        <w:rPr>
          <w:rFonts w:ascii="楷体_GB2312" w:hAnsi="楷体_GB2312" w:eastAsia="楷体_GB2312"/>
          <w:b w:val="0"/>
          <w:sz w:val="32"/>
        </w:rPr>
        <w:t>（八）资金风险监控与预警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1.资金风险监控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2.异常资金预警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3.集团内部资金控制机制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4.内部控制与审计支持</w:t>
      </w:r>
    </w:p>
    <w:p>
      <w:pPr>
        <w:spacing w:after="0" w:line="560" w:lineRule="exact"/>
        <w:ind w:firstLine="640" w:firstLineChars="200"/>
        <w:jc w:val="left"/>
      </w:pPr>
      <w:r>
        <w:rPr>
          <w:rFonts w:ascii="黑体" w:hAnsi="黑体" w:eastAsia="黑体"/>
          <w:b w:val="0"/>
          <w:sz w:val="32"/>
        </w:rPr>
        <w:t>四、交易银行产品联动能力</w:t>
      </w:r>
    </w:p>
    <w:p>
      <w:pPr>
        <w:spacing w:after="0" w:line="560" w:lineRule="exact"/>
        <w:ind w:firstLine="640" w:firstLineChars="200"/>
        <w:jc w:val="left"/>
      </w:pPr>
      <w:r>
        <w:rPr>
          <w:rFonts w:ascii="仿宋_GB2312" w:hAnsi="仿宋_GB2312" w:eastAsia="仿宋_GB2312"/>
          <w:b w:val="0"/>
          <w:sz w:val="32"/>
        </w:rPr>
        <w:t>请重点介绍系统如何与银行交易银行产品体系联动，包括但不限于：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现金管理产品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对公结算产品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票据业务产品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供应链金融产品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5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存款类产品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6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融资类产品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五、集团客户经营与数据分析能力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集团客户资金视图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集团客户交易分析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集团客户资金流向分析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客户经营数据分析能力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5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对公客户综合金融服务支持能力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六、系统对接与开放能力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与银行核心系统对接方案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与企业ERP系统对接方案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银企直联技术方案</w:t>
      </w:r>
    </w:p>
    <w:p>
      <w:pPr>
        <w:spacing w:after="0" w:line="560" w:lineRule="exact"/>
        <w:ind w:firstLine="420"/>
        <w:jc w:val="both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API开放能力</w:t>
      </w:r>
    </w:p>
    <w:p>
      <w:pPr>
        <w:spacing w:after="0"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5.数据安全与权限控制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七、系统实施建设方案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项目实施总体方案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项目实施周期安排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项目实施组织架构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项目实施团队配置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5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项目实施风险及控制措施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八、典型案例介绍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请重点介绍银行业集团现金管理系统建设案例，包括：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项目背景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建设内容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系统规模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应用效果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5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项目经验</w:t>
      </w:r>
    </w:p>
    <w:p>
      <w:pPr>
        <w:spacing w:after="0" w:line="560" w:lineRule="exact"/>
        <w:ind w:left="0" w:firstLine="420"/>
        <w:jc w:val="left"/>
      </w:pPr>
      <w:r>
        <w:rPr>
          <w:rFonts w:ascii="黑体" w:hAnsi="黑体" w:eastAsia="黑体"/>
          <w:b w:val="0"/>
          <w:sz w:val="32"/>
        </w:rPr>
        <w:t>九、运维服务与技术支持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系统运维方案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技术支持模式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系统升级及版本管理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4.运维服务保障机制</w:t>
      </w:r>
    </w:p>
    <w:p>
      <w:pPr>
        <w:spacing w:after="0" w:line="560" w:lineRule="exact"/>
        <w:ind w:firstLine="420"/>
        <w:jc w:val="left"/>
      </w:pPr>
      <w:r>
        <w:rPr>
          <w:rFonts w:ascii="黑体" w:hAnsi="黑体" w:eastAsia="黑体"/>
          <w:b w:val="0"/>
          <w:sz w:val="32"/>
        </w:rPr>
        <w:t>十、建设建议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请结合福建农信系统特点，对集团现金管理系统建设提出建议，包括但不限于：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1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系统建设路径建议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2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功能规划建议</w:t>
      </w:r>
    </w:p>
    <w:p>
      <w:pPr>
        <w:spacing w:after="0" w:line="560" w:lineRule="exact"/>
        <w:ind w:firstLine="420"/>
        <w:jc w:val="left"/>
        <w:rPr>
          <w:rFonts w:ascii="仿宋_GB2312" w:hAnsi="仿宋_GB2312" w:eastAsia="仿宋_GB2312"/>
          <w:b w:val="0"/>
          <w:sz w:val="32"/>
        </w:rPr>
      </w:pPr>
      <w:r>
        <w:rPr>
          <w:rFonts w:ascii="仿宋_GB2312" w:hAnsi="仿宋_GB2312" w:eastAsia="仿宋_GB2312"/>
          <w:b w:val="0"/>
          <w:sz w:val="32"/>
        </w:rPr>
        <w:t>3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产品体系建设建议</w:t>
      </w:r>
    </w:p>
    <w:p>
      <w:pPr>
        <w:spacing w:after="0" w:line="560" w:lineRule="exact"/>
        <w:ind w:firstLine="420"/>
        <w:jc w:val="left"/>
        <w:rPr>
          <w:rFonts w:hint="eastAsia" w:eastAsia="宋体"/>
          <w:lang w:eastAsia="zh-CN"/>
        </w:rPr>
      </w:pPr>
      <w:r>
        <w:rPr>
          <w:rFonts w:ascii="仿宋_GB2312" w:hAnsi="仿宋_GB2312" w:eastAsia="仿宋_GB2312"/>
          <w:b w:val="0"/>
          <w:sz w:val="32"/>
        </w:rPr>
        <w:t>4</w:t>
      </w:r>
      <w:r>
        <w:rPr>
          <w:rFonts w:hint="eastAsia" w:ascii="仿宋_GB2312" w:hAnsi="仿宋_GB2312" w:eastAsia="仿宋_GB2312"/>
          <w:b w:val="0"/>
          <w:sz w:val="32"/>
          <w:lang w:eastAsia="zh-CN"/>
        </w:rPr>
        <w:t>.</w:t>
      </w:r>
      <w:r>
        <w:rPr>
          <w:rFonts w:ascii="仿宋_GB2312" w:hAnsi="仿宋_GB2312" w:eastAsia="仿宋_GB2312"/>
          <w:b w:val="0"/>
          <w:sz w:val="32"/>
        </w:rPr>
        <w:t>未来发展方向建议</w:t>
      </w:r>
    </w:p>
    <w:sectPr>
      <w:pgSz w:w="12240" w:h="15840"/>
      <w:pgMar w:top="2102" w:right="1469" w:bottom="1987" w:left="15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F7B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2026-03-11T08:42:04Z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87E36D8EE03845DA85CE8D16313215AF</vt:lpwstr>
  </property>
</Properties>
</file>