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1463">
      <w:pPr>
        <w:spacing w:line="600" w:lineRule="exact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长乐农商银行2</w:t>
      </w:r>
      <w:r>
        <w:rPr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年第</w:t>
      </w:r>
      <w:r>
        <w:rPr>
          <w:rFonts w:hint="eastAsia"/>
          <w:b/>
          <w:sz w:val="36"/>
          <w:szCs w:val="36"/>
          <w:lang w:val="en-US" w:eastAsia="zh-CN"/>
        </w:rPr>
        <w:t>一</w:t>
      </w:r>
      <w:r>
        <w:rPr>
          <w:rFonts w:hint="eastAsia"/>
          <w:b/>
          <w:sz w:val="36"/>
          <w:szCs w:val="36"/>
        </w:rPr>
        <w:t>季度</w:t>
      </w:r>
    </w:p>
    <w:p w14:paraId="469D5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关联交易公告</w:t>
      </w:r>
    </w:p>
    <w:p w14:paraId="1ED3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为加强关联交易监测及管理，根据《银行保险机构关联交易管理办法》和长乐农商银行（以下简称“我行”）关联交易管理办法相关规定，现将我行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sz w:val="28"/>
          <w:szCs w:val="28"/>
        </w:rPr>
        <w:t>季度关联交易情况公告如下：</w:t>
      </w:r>
    </w:p>
    <w:tbl>
      <w:tblPr>
        <w:tblStyle w:val="6"/>
        <w:tblW w:w="8762" w:type="dxa"/>
        <w:tblInd w:w="-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051"/>
        <w:gridCol w:w="2400"/>
        <w:gridCol w:w="2062"/>
      </w:tblGrid>
      <w:tr w14:paraId="0E24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49" w:type="dxa"/>
            <w:vAlign w:val="center"/>
          </w:tcPr>
          <w:p w14:paraId="1FB173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关联交易类型</w:t>
            </w:r>
          </w:p>
        </w:tc>
        <w:tc>
          <w:tcPr>
            <w:tcW w:w="2051" w:type="dxa"/>
            <w:vAlign w:val="center"/>
          </w:tcPr>
          <w:p w14:paraId="56BBD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交易笔数</w:t>
            </w:r>
          </w:p>
        </w:tc>
        <w:tc>
          <w:tcPr>
            <w:tcW w:w="2400" w:type="dxa"/>
            <w:vAlign w:val="center"/>
          </w:tcPr>
          <w:p w14:paraId="76FA9D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金额合计（万元）</w:t>
            </w:r>
          </w:p>
        </w:tc>
        <w:tc>
          <w:tcPr>
            <w:tcW w:w="2062" w:type="dxa"/>
            <w:vAlign w:val="center"/>
          </w:tcPr>
          <w:p w14:paraId="55A716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8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249" w:type="dxa"/>
            <w:vAlign w:val="center"/>
          </w:tcPr>
          <w:p w14:paraId="6DBB5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授信类</w:t>
            </w:r>
          </w:p>
        </w:tc>
        <w:tc>
          <w:tcPr>
            <w:tcW w:w="2051" w:type="dxa"/>
            <w:vAlign w:val="center"/>
          </w:tcPr>
          <w:p w14:paraId="63B24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6A5BE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480</w:t>
            </w:r>
          </w:p>
        </w:tc>
        <w:tc>
          <w:tcPr>
            <w:tcW w:w="2062" w:type="dxa"/>
            <w:vAlign w:val="center"/>
          </w:tcPr>
          <w:p w14:paraId="279D67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贷款等</w:t>
            </w:r>
          </w:p>
        </w:tc>
      </w:tr>
      <w:tr w14:paraId="6D80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249" w:type="dxa"/>
            <w:vAlign w:val="center"/>
          </w:tcPr>
          <w:p w14:paraId="52DA19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资产转移类</w:t>
            </w:r>
          </w:p>
        </w:tc>
        <w:tc>
          <w:tcPr>
            <w:tcW w:w="2051" w:type="dxa"/>
            <w:vAlign w:val="center"/>
          </w:tcPr>
          <w:p w14:paraId="28D7D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 w14:paraId="50758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 w14:paraId="6AEEB3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自用动产、不动产买卖等</w:t>
            </w:r>
          </w:p>
        </w:tc>
      </w:tr>
      <w:tr w14:paraId="25BA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249" w:type="dxa"/>
            <w:vAlign w:val="center"/>
          </w:tcPr>
          <w:p w14:paraId="6D5A26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服务类</w:t>
            </w:r>
          </w:p>
        </w:tc>
        <w:tc>
          <w:tcPr>
            <w:tcW w:w="2051" w:type="dxa"/>
            <w:vAlign w:val="center"/>
          </w:tcPr>
          <w:p w14:paraId="07694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400" w:type="dxa"/>
            <w:vAlign w:val="center"/>
          </w:tcPr>
          <w:p w14:paraId="4B50C7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062" w:type="dxa"/>
            <w:vAlign w:val="center"/>
          </w:tcPr>
          <w:p w14:paraId="1C0D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信用评估、租赁等</w:t>
            </w:r>
          </w:p>
        </w:tc>
      </w:tr>
      <w:tr w14:paraId="2EA10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249" w:type="dxa"/>
            <w:vAlign w:val="center"/>
          </w:tcPr>
          <w:p w14:paraId="2C5F8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存款和其他类</w:t>
            </w:r>
          </w:p>
        </w:tc>
        <w:tc>
          <w:tcPr>
            <w:tcW w:w="2051" w:type="dxa"/>
            <w:vAlign w:val="center"/>
          </w:tcPr>
          <w:p w14:paraId="1E01A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400" w:type="dxa"/>
            <w:vAlign w:val="center"/>
          </w:tcPr>
          <w:p w14:paraId="2ED08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1078.78</w:t>
            </w:r>
          </w:p>
        </w:tc>
        <w:tc>
          <w:tcPr>
            <w:tcW w:w="2062" w:type="dxa"/>
            <w:vAlign w:val="center"/>
          </w:tcPr>
          <w:p w14:paraId="65C4AD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存款和其他</w:t>
            </w:r>
          </w:p>
        </w:tc>
      </w:tr>
    </w:tbl>
    <w:p w14:paraId="12E36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0" w:firstLineChars="200"/>
        <w:textAlignment w:val="auto"/>
        <w:rPr>
          <w:rFonts w:hint="eastAsia" w:eastAsiaTheme="minorEastAsia"/>
          <w:sz w:val="20"/>
          <w:szCs w:val="20"/>
          <w:highlight w:val="none"/>
          <w:lang w:eastAsia="zh-CN"/>
        </w:rPr>
      </w:pPr>
      <w:r>
        <w:rPr>
          <w:rFonts w:hint="eastAsia"/>
          <w:sz w:val="20"/>
          <w:szCs w:val="20"/>
          <w:highlight w:val="none"/>
          <w:lang w:val="en-US" w:eastAsia="zh-CN"/>
        </w:rPr>
        <w:t>备注：根据《银行保险机构关联交易管理办法》第五十七条规定，上表合计金额不包含免予披露的相关交易金额。</w:t>
      </w:r>
    </w:p>
    <w:p w14:paraId="1708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季度所发生的关联交易均为一般关联交易，未发生重大关联交易，所发生的关联交易均符合监管要求，未超过监管标准，关联交易均遵循市场化定价原则，以不优于对非关联方同类交易的条件进行，不存在损害我行股东利益，符合关联交易管理的相关要求，不影响我行独立性，不会对我行的正常经营活动及财务状况造成重大影响。</w:t>
      </w:r>
    </w:p>
    <w:p w14:paraId="630F3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特此公告。</w:t>
      </w:r>
    </w:p>
    <w:p w14:paraId="1B998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长乐农商银行</w:t>
      </w:r>
    </w:p>
    <w:p w14:paraId="7FCA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36"/>
          <w:szCs w:val="36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  <w:highlight w:val="none"/>
        </w:rPr>
        <w:t xml:space="preserve"> 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21</w:t>
      </w:r>
      <w:r>
        <w:rPr>
          <w:rFonts w:hint="eastAsia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07"/>
    <w:rsid w:val="00010F80"/>
    <w:rsid w:val="00035AEF"/>
    <w:rsid w:val="000B43EB"/>
    <w:rsid w:val="001178FC"/>
    <w:rsid w:val="00161BAF"/>
    <w:rsid w:val="00193CE5"/>
    <w:rsid w:val="001A6103"/>
    <w:rsid w:val="001E2159"/>
    <w:rsid w:val="00252DFD"/>
    <w:rsid w:val="002872AA"/>
    <w:rsid w:val="00295D1B"/>
    <w:rsid w:val="00326E4C"/>
    <w:rsid w:val="00354B7C"/>
    <w:rsid w:val="00363C07"/>
    <w:rsid w:val="00524439"/>
    <w:rsid w:val="00524507"/>
    <w:rsid w:val="005348AD"/>
    <w:rsid w:val="00587B4C"/>
    <w:rsid w:val="005925B0"/>
    <w:rsid w:val="005D5C24"/>
    <w:rsid w:val="00623261"/>
    <w:rsid w:val="00635415"/>
    <w:rsid w:val="00636080"/>
    <w:rsid w:val="00654F7E"/>
    <w:rsid w:val="007F0570"/>
    <w:rsid w:val="008127A0"/>
    <w:rsid w:val="00814C9E"/>
    <w:rsid w:val="00914D2F"/>
    <w:rsid w:val="00915C15"/>
    <w:rsid w:val="009A15C0"/>
    <w:rsid w:val="009F2538"/>
    <w:rsid w:val="00A059EB"/>
    <w:rsid w:val="00B32958"/>
    <w:rsid w:val="00B42F43"/>
    <w:rsid w:val="00B62040"/>
    <w:rsid w:val="00BC4755"/>
    <w:rsid w:val="00BD454F"/>
    <w:rsid w:val="00C2534F"/>
    <w:rsid w:val="00C80E75"/>
    <w:rsid w:val="00C92901"/>
    <w:rsid w:val="00CD3207"/>
    <w:rsid w:val="00D25A1D"/>
    <w:rsid w:val="00D55022"/>
    <w:rsid w:val="00DC7FD2"/>
    <w:rsid w:val="00DE4219"/>
    <w:rsid w:val="00FF08E2"/>
    <w:rsid w:val="00FF4D75"/>
    <w:rsid w:val="01553507"/>
    <w:rsid w:val="06107847"/>
    <w:rsid w:val="070D149F"/>
    <w:rsid w:val="075F2250"/>
    <w:rsid w:val="0A436A63"/>
    <w:rsid w:val="0BE74F15"/>
    <w:rsid w:val="0DB07F22"/>
    <w:rsid w:val="0F762387"/>
    <w:rsid w:val="10D840E3"/>
    <w:rsid w:val="11352B49"/>
    <w:rsid w:val="11B006FD"/>
    <w:rsid w:val="122E2DBB"/>
    <w:rsid w:val="1342464F"/>
    <w:rsid w:val="13625C17"/>
    <w:rsid w:val="19840D69"/>
    <w:rsid w:val="1B520DD9"/>
    <w:rsid w:val="1B8C7649"/>
    <w:rsid w:val="1CBE05B7"/>
    <w:rsid w:val="1CDB4238"/>
    <w:rsid w:val="22905161"/>
    <w:rsid w:val="2316449E"/>
    <w:rsid w:val="233962C9"/>
    <w:rsid w:val="23400B66"/>
    <w:rsid w:val="2346744C"/>
    <w:rsid w:val="236E39FB"/>
    <w:rsid w:val="255D5CD2"/>
    <w:rsid w:val="26EA60E8"/>
    <w:rsid w:val="2D806D5D"/>
    <w:rsid w:val="2D882FF2"/>
    <w:rsid w:val="2EE56DFD"/>
    <w:rsid w:val="303A1923"/>
    <w:rsid w:val="334F0F3B"/>
    <w:rsid w:val="37553E39"/>
    <w:rsid w:val="3AB93A42"/>
    <w:rsid w:val="3E3316BA"/>
    <w:rsid w:val="3E5F4AE1"/>
    <w:rsid w:val="3EC008EF"/>
    <w:rsid w:val="401B2838"/>
    <w:rsid w:val="40D73C42"/>
    <w:rsid w:val="463C1AC9"/>
    <w:rsid w:val="49570A61"/>
    <w:rsid w:val="4B3756F4"/>
    <w:rsid w:val="4B900F95"/>
    <w:rsid w:val="4C37678B"/>
    <w:rsid w:val="4CBC32F1"/>
    <w:rsid w:val="4CD54258"/>
    <w:rsid w:val="50E2643D"/>
    <w:rsid w:val="5223678D"/>
    <w:rsid w:val="54414F42"/>
    <w:rsid w:val="5474391D"/>
    <w:rsid w:val="56F20FC9"/>
    <w:rsid w:val="5AAA3A4D"/>
    <w:rsid w:val="5B0E3771"/>
    <w:rsid w:val="5DE07B6A"/>
    <w:rsid w:val="5E6C2B86"/>
    <w:rsid w:val="5F875EC9"/>
    <w:rsid w:val="61146DC8"/>
    <w:rsid w:val="63B401A2"/>
    <w:rsid w:val="64BF60D6"/>
    <w:rsid w:val="66A67965"/>
    <w:rsid w:val="67AF422A"/>
    <w:rsid w:val="6B204E44"/>
    <w:rsid w:val="6B984B15"/>
    <w:rsid w:val="6DEB6263"/>
    <w:rsid w:val="6FC12966"/>
    <w:rsid w:val="73E66241"/>
    <w:rsid w:val="75A344EE"/>
    <w:rsid w:val="76CB1B74"/>
    <w:rsid w:val="77211305"/>
    <w:rsid w:val="78B95B1C"/>
    <w:rsid w:val="78D84097"/>
    <w:rsid w:val="7987746E"/>
    <w:rsid w:val="7AAF618D"/>
    <w:rsid w:val="7BFA6EF3"/>
    <w:rsid w:val="7C401BE6"/>
    <w:rsid w:val="7D8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387</Words>
  <Characters>406</Characters>
  <Lines>2</Lines>
  <Paragraphs>1</Paragraphs>
  <TotalTime>8</TotalTime>
  <ScaleCrop>false</ScaleCrop>
  <LinksUpToDate>false</LinksUpToDate>
  <CharactersWithSpaces>440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2024-01-24T08:11:00Z</dcterms:created>
  <dc:creator>user</dc:creator>
  <cp:lastModifiedBy>WPS_1731653394</cp:lastModifiedBy>
  <cp:lastPrinted>2026-04-20T03:29:00Z</cp:lastPrinted>
  <dcterms:modified xsi:type="dcterms:W3CDTF">2026-04-22T01:34:05Z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7CA7B787B73D466EBD50D4E1F36E2C4E_13</vt:lpwstr>
  </property>
</Properties>
</file>