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3B8D7D">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36"/>
          <w:szCs w:val="36"/>
        </w:rPr>
      </w:pPr>
      <w:r>
        <w:rPr>
          <w:rFonts w:hint="eastAsia" w:ascii="方正小标宋简体" w:hAnsi="方正小标宋简体" w:eastAsia="方正小标宋简体" w:cs="方正小标宋简体"/>
          <w:i w:val="0"/>
          <w:caps w:val="0"/>
          <w:color w:val="333333"/>
          <w:spacing w:val="0"/>
          <w:kern w:val="0"/>
          <w:sz w:val="36"/>
          <w:szCs w:val="36"/>
          <w:shd w:val="clear" w:fill="FEFEFE"/>
          <w:lang w:val="en-US" w:eastAsia="zh-CN" w:bidi="ar"/>
        </w:rPr>
        <w:t>银行保险机构关联交易管理办法</w:t>
      </w:r>
    </w:p>
    <w:p w14:paraId="07347368">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EFEFE"/>
        <w:kinsoku/>
        <w:wordWrap/>
        <w:overflowPunct/>
        <w:topLinePunct w:val="0"/>
        <w:autoSpaceDE/>
        <w:autoSpaceDN/>
        <w:bidi w:val="0"/>
        <w:adjustRightInd/>
        <w:snapToGrid/>
        <w:spacing w:before="0" w:beforeAutospacing="0" w:after="0" w:afterAutospacing="0" w:line="520" w:lineRule="exact"/>
        <w:ind w:left="0" w:right="0" w:firstLine="0"/>
        <w:jc w:val="center"/>
        <w:textAlignment w:val="auto"/>
        <w:rPr>
          <w:rFonts w:hint="eastAsia" w:ascii="方正小标宋简体" w:hAnsi="方正小标宋简体" w:eastAsia="方正小标宋简体" w:cs="方正小标宋简体"/>
          <w:i w:val="0"/>
          <w:caps w:val="0"/>
          <w:color w:val="333333"/>
          <w:spacing w:val="0"/>
          <w:sz w:val="36"/>
          <w:szCs w:val="36"/>
        </w:rPr>
      </w:pPr>
      <w:r>
        <w:rPr>
          <w:rFonts w:hint="eastAsia" w:ascii="方正小标宋简体" w:hAnsi="方正小标宋简体" w:eastAsia="方正小标宋简体" w:cs="方正小标宋简体"/>
          <w:i w:val="0"/>
          <w:caps w:val="0"/>
          <w:color w:val="333333"/>
          <w:spacing w:val="0"/>
          <w:kern w:val="0"/>
          <w:sz w:val="36"/>
          <w:szCs w:val="36"/>
          <w:shd w:val="clear" w:fill="FEFEFE"/>
          <w:lang w:val="en-US" w:eastAsia="zh-CN" w:bidi="ar"/>
        </w:rPr>
        <w:t>中国银行保险监督管理委员会令〔2022〕1号</w:t>
      </w:r>
    </w:p>
    <w:p w14:paraId="4726E7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b w:val="0"/>
          <w:i w:val="0"/>
          <w:caps w:val="0"/>
          <w:color w:val="333333"/>
          <w:spacing w:val="0"/>
          <w:kern w:val="0"/>
          <w:sz w:val="28"/>
          <w:szCs w:val="28"/>
          <w:shd w:val="clear" w:fill="FEFEFE"/>
          <w:lang w:val="en-US" w:eastAsia="zh-CN" w:bidi="ar"/>
        </w:rPr>
      </w:pPr>
    </w:p>
    <w:p w14:paraId="34119EA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sz w:val="28"/>
          <w:szCs w:val="28"/>
        </w:rPr>
      </w:pPr>
      <w:bookmarkStart w:id="4" w:name="_GoBack"/>
      <w:bookmarkEnd w:id="4"/>
      <w:r>
        <w:rPr>
          <w:rFonts w:hint="eastAsia" w:ascii="宋体" w:hAnsi="宋体" w:eastAsia="宋体" w:cs="宋体"/>
          <w:b w:val="0"/>
          <w:i w:val="0"/>
          <w:caps w:val="0"/>
          <w:color w:val="333333"/>
          <w:spacing w:val="0"/>
          <w:kern w:val="0"/>
          <w:sz w:val="28"/>
          <w:szCs w:val="28"/>
          <w:shd w:val="clear" w:fill="FEFEFE"/>
          <w:lang w:val="en-US" w:eastAsia="zh-CN" w:bidi="ar"/>
        </w:rPr>
        <w:t>第一章 总 则</w:t>
      </w:r>
    </w:p>
    <w:p w14:paraId="2AE49CB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第一条 为加强审慎监管，规范银行保险机构关联交易行为，防范关联交易风险，促进银行保险机构安全、独立、稳健运行，根据《中华人民共和国公司法》《中华人民共和国银行业监督管理法》《中华人民共和国商业银行法》《中华人民共和国保险法》《中华人民共和国信托法》等法律法规，制定本办法。</w:t>
      </w:r>
    </w:p>
    <w:p w14:paraId="06AA73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第二条 </w:t>
      </w:r>
      <w:r>
        <w:rPr>
          <w:rFonts w:hint="eastAsia" w:ascii="宋体" w:hAnsi="宋体" w:eastAsia="宋体" w:cs="宋体"/>
          <w:i w:val="0"/>
          <w:caps w:val="0"/>
          <w:color w:val="333333"/>
          <w:spacing w:val="0"/>
          <w:kern w:val="0"/>
          <w:sz w:val="28"/>
          <w:szCs w:val="28"/>
          <w:shd w:val="clear" w:fill="FEFEFE"/>
          <w:lang w:val="en-US" w:eastAsia="zh-CN" w:bidi="ar"/>
        </w:rPr>
        <w:t>本办法所称银行保险机构包括银行机构、保险机构和在中华人民共和国境内依法设立的信托公司、金融资产管理公司、金融租赁公司、汽车金融公司、消费金融公司。</w:t>
      </w:r>
    </w:p>
    <w:p w14:paraId="376A21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银行机构是指在中华人民共和国境内依法设立的商业银行、政策性银行、村镇银行、</w:t>
      </w:r>
      <w:r>
        <w:rPr>
          <w:rFonts w:hint="eastAsia" w:ascii="宋体" w:hAnsi="宋体" w:eastAsia="宋体" w:cs="宋体"/>
          <w:b w:val="0"/>
          <w:i w:val="0"/>
          <w:caps w:val="0"/>
          <w:color w:val="333333"/>
          <w:spacing w:val="0"/>
          <w:kern w:val="0"/>
          <w:sz w:val="28"/>
          <w:szCs w:val="28"/>
          <w:shd w:val="clear" w:fill="FEFEFE"/>
          <w:lang w:val="en-US" w:eastAsia="zh-CN" w:bidi="ar"/>
        </w:rPr>
        <w:t>农村信用合作社、农村合作银行。</w:t>
      </w:r>
    </w:p>
    <w:p w14:paraId="1B8F4D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保险机构是指在中华人民共和国境内依法设立的保险集团（控股）公司、保险公司、保险资产管理公司。</w:t>
      </w:r>
    </w:p>
    <w:p w14:paraId="4B88D2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第三条 银行保险机构开展关联交易应当遵守法律法规和有关监管规定，健全公司治理架构，完善内部控制和风险管理，遵循诚实信用、公开公允、穿透识别、结构清晰的原则。</w:t>
      </w:r>
    </w:p>
    <w:p w14:paraId="7007AF1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银行保险机构不得通过关联交易进行利益输送或监管套利，应当采取有效措施，防止关联方利用其特殊地位，通过关联交易侵害银行保险机构利益。</w:t>
      </w:r>
    </w:p>
    <w:p w14:paraId="60A0FB7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银行保险机构应当维护经营独立性，提高市场竞争力，控制关联交易的数量和规模，避免多层嵌套等复杂安排，重点防范向股东及其关联方进行利益输送的风险。</w:t>
      </w:r>
    </w:p>
    <w:p w14:paraId="311BA84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第四条 银保监会及其派出机构依法对银行保险机构的关联交易实施监督管理。</w:t>
      </w:r>
    </w:p>
    <w:p w14:paraId="50FAEF4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第二章 关联方</w:t>
      </w:r>
    </w:p>
    <w:p w14:paraId="72C66F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第五条 </w:t>
      </w:r>
      <w:r>
        <w:rPr>
          <w:rFonts w:hint="eastAsia" w:ascii="宋体" w:hAnsi="宋体" w:eastAsia="宋体" w:cs="宋体"/>
          <w:i w:val="0"/>
          <w:caps w:val="0"/>
          <w:color w:val="333333"/>
          <w:spacing w:val="0"/>
          <w:kern w:val="0"/>
          <w:sz w:val="28"/>
          <w:szCs w:val="28"/>
          <w:shd w:val="clear" w:fill="FEFEFE"/>
          <w:lang w:val="en-US" w:eastAsia="zh-CN" w:bidi="ar"/>
        </w:rPr>
        <w:t>银行保险机构的关联方，是指与银行保险机构存在一方控制另一方，或对另一方施加重大影响，以及与银行保险机构同受一方控制或重大影响的自然人、法人或非法人组织。</w:t>
      </w:r>
    </w:p>
    <w:p w14:paraId="27FBC3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第六条 银行保险机构的关联自然人包括：</w:t>
      </w:r>
    </w:p>
    <w:p w14:paraId="3D06D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（一）银行保险机构的自然人控股股东、实际控制人，及其一致行动人、最终受益人；</w:t>
      </w:r>
    </w:p>
    <w:p w14:paraId="4D11D2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（二）持有或控制银行保险机构5%以上股权的，或持股不足5%但对银行保险机构经营管理有重大影响的自然人；</w:t>
      </w:r>
    </w:p>
    <w:p w14:paraId="172B57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（三）银行保险机构的董事、监事、总行（总公司）和重要分行（分公司）的高级管理人员，以及具有大额授信、资产转移、保险资金运用等核心业务审批或决策权的人员；</w:t>
      </w:r>
    </w:p>
    <w:p w14:paraId="29DF225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（四）本条第（一）至（三）项所列关联方的配偶、父母、成年子女及兄弟姐妹；</w:t>
      </w:r>
    </w:p>
    <w:p w14:paraId="11AD5D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（五）本办法第七条第（一）（二）项所列关联方的董事、监事、高级管理人员。</w:t>
      </w:r>
    </w:p>
    <w:p w14:paraId="4D05D0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第七条 银行保险机构的关联法人或非法人组织包括：</w:t>
      </w:r>
    </w:p>
    <w:p w14:paraId="34EE74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（一）银行保险机构的法人控股股东、实际控制人，及其一致行动人、最终受益人；</w:t>
      </w:r>
    </w:p>
    <w:p w14:paraId="178301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（二）持有或控制银行保险机构5%以上股权的，或者持股不足5%但对银行保险机构经营管理有重大影响的法人或非法人组织，及其控股股东、实际控制人、一致行动人、最终受益人；</w:t>
      </w:r>
    </w:p>
    <w:p w14:paraId="015FB28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（三）本条第（一）项所列关联方控制或施加重大影响的法人或非法人组织，本条第（二）项所列关联方控制的法人或非法人组织；</w:t>
      </w:r>
    </w:p>
    <w:p w14:paraId="37AE53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（四）银行保险机构控制或施加重大影响的法人或非法人组织；</w:t>
      </w:r>
    </w:p>
    <w:p w14:paraId="72470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（五）本办法第六条第（一）项所列关联方控制或施加重大影响的法人或非法人组织，第六条第（二）至（四）项所列关联方控制的法人或非法人组织。</w:t>
      </w:r>
    </w:p>
    <w:p w14:paraId="07C6FA5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第八条 银行保险机构按照实质重于形式和穿透的原则,可以认定以下自然人、法人或非法人组织为关联方：</w:t>
      </w:r>
    </w:p>
    <w:p w14:paraId="4B4CAE8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（一）在过去十二个月内或者根据相关协议安排在未来十二个月内存在本办法第六条、第七条规定情形之一的；</w:t>
      </w:r>
    </w:p>
    <w:p w14:paraId="00DD8CB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（二）本办法第六条第（一）至（三）项所列关联方的其他关系密切的家庭成员；</w:t>
      </w:r>
    </w:p>
    <w:p w14:paraId="1EBAD8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（三）银行保险机构内部工作人员及其控制的法人或其他组织；</w:t>
      </w:r>
    </w:p>
    <w:p w14:paraId="507574C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（四）本办法第六条第（二）（三）项，以及第七条第（二）项所列关联方可施加重大影响的法人或非法人组织；</w:t>
      </w:r>
    </w:p>
    <w:p w14:paraId="2B7A75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（五）对银行保险机构有影响，与银行保险机构发生或可能发生未遵守商业原则、有失公允的交易行为，并可据以从交易中获取利益的自然人、法人或非法人组织。</w:t>
      </w:r>
    </w:p>
    <w:p w14:paraId="41150A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第九条 银保监会或其派出机构可以根据实质重于形式和穿透的原则，认定可能导致银行保险机构利益转移的自然人、法人或非法人组织为关联方。</w:t>
      </w:r>
    </w:p>
    <w:p w14:paraId="2E71A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第三章 关联交易</w:t>
      </w:r>
    </w:p>
    <w:p w14:paraId="3C5FA6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第十条 银行保险机构关联交易是指银行保险机构与关联方之间发生的利益转移事项。</w:t>
      </w:r>
    </w:p>
    <w:p w14:paraId="2F75BB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第十一条 银行保险机构应当按照实质重于形式和穿透原则，识别、认定、管理关联交易及计算关联交易金额。</w:t>
      </w:r>
    </w:p>
    <w:p w14:paraId="6955C59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计算关联自然人与银行保险机构的关联交易余额时，其配偶、父母、成年子女、兄弟姐妹等与该银行保险机构的关联交易应当合并计算；计算关联法人或非法人组织与银行保险机构的关联交易余额时，与其存在控制关系的法人或非法人组织与该银行保险机构的关联交易应当合并计算。</w:t>
      </w:r>
    </w:p>
    <w:p w14:paraId="14E2FE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第十二条 银保监会或其派出机构可以根据实质重于形式和穿透监管原则认定关联交易。</w:t>
      </w:r>
    </w:p>
    <w:p w14:paraId="4279E93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银保监会可以根据银行保险机构的公司治理状况、关联交易风险状况、机构类型特点等对银行保险机构适用的关联交易监管比例进行设定或调整。</w:t>
      </w:r>
    </w:p>
    <w:p w14:paraId="0E2B5E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第一节 银行机构关联交易</w:t>
      </w:r>
    </w:p>
    <w:p w14:paraId="4C97D7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第十三条 银行机构的关联交易包括以下类型:</w:t>
      </w:r>
    </w:p>
    <w:p w14:paraId="79D63EB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授信类关联交易：指银行机构向关联方提供资金支持、或者对关联方在有关经济活动中可能产生的赔偿、支付责任作出保证，包括贷款（含贸易融资）、票据承兑和贴现、透支、债券投资、特定目的载体投资、开立信用证、保理、担保、保函、贷款承诺、证券回购、拆借以及其他实质上由银行机构承担信用风险的表内外业务等；</w:t>
      </w:r>
    </w:p>
    <w:p w14:paraId="0AA32F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（二）资产转移类关联交易：包括银行机构与关联方之间发生的自用动产与不动产买卖，信贷资产及其收（受）益权买卖，抵债资产的接收和处置等；</w:t>
      </w:r>
    </w:p>
    <w:p w14:paraId="08EE675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（三）服务类关联交易：包括信用评估、资产评估、法律服务、咨询服务、信息服务、审计服务、技术和基础设施服务、财产租赁以及委托或受托销售等；</w:t>
      </w:r>
    </w:p>
    <w:p w14:paraId="2303B41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（四）存款和其他类型关联交易，以及根据实质重于形式原则认定的可能引致银行机构利益转移的事项。</w:t>
      </w:r>
    </w:p>
    <w:p w14:paraId="2978E7F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第十四条 银行机构关联交易分为重大关联交易和一般关联交易。</w:t>
      </w:r>
    </w:p>
    <w:p w14:paraId="0581125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银行机构重大关联交易是指银行机构与单个关联方之间单笔交易金额达到银行机构上季末资本净额1%以上，或累计达到银行机构上季末资本净额5%以上的交易。</w:t>
      </w:r>
    </w:p>
    <w:p w14:paraId="51A71EB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银行机构与单个关联方的交易金额累计达到前款标准后，其后发生的关联交易，每累计达到上季末资本净额1%以上，则应当重新认定为重大关联交易。</w:t>
      </w:r>
    </w:p>
    <w:p w14:paraId="158EEA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一般关联交易是指除重大关联交易以外的其他关联交易。</w:t>
      </w:r>
    </w:p>
    <w:p w14:paraId="44A4CC8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第十五条 银行机构关联交易金额计算方式如下：</w:t>
      </w:r>
    </w:p>
    <w:p w14:paraId="6F9E464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（一）授信类关联交易原则上以签订协议的金额计算交易金额；</w:t>
      </w:r>
    </w:p>
    <w:p w14:paraId="6289A4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（二）资产转移类关联交易以交易价格或公允价值计算交易金额；</w:t>
      </w:r>
    </w:p>
    <w:p w14:paraId="3C537D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（三）服务类关联交易以业务收入或支出金额计算交易金额；</w:t>
      </w:r>
    </w:p>
    <w:p w14:paraId="53F145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（四）银保监会确定的其他计算口径。</w:t>
      </w:r>
    </w:p>
    <w:p w14:paraId="5DBCF21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第十六条 银行机构对单个关联方的授信余额不得超过银行机构上季末资本净额的10%。银行机构对单个关联法人或非法人组织所在集团客户的合计授信余额不得超过银行机构上季末资本净额的15%。银行机构对全部关联方的授信余额不得超过银行机构上季末资本净额的50%。</w:t>
      </w:r>
    </w:p>
    <w:p w14:paraId="444F48D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计算授信余额时，可以扣除授信时关联方提供的保证金存款以及质押的银行存单和国债金额。</w:t>
      </w:r>
    </w:p>
    <w:p w14:paraId="7E169E4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机构与关联方开展同业业务应当同时遵守关于同业业务的相关规定。银行机构与境内外关联方银行之间开展的同业业务、外资银行与母行集团内银行之间开展的业务可不适用本条第一款所列比例规定和本办法第十四条重大关联交易标准。</w:t>
      </w:r>
    </w:p>
    <w:p w14:paraId="05023B2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被银保监会或其派出机构采取风险处置或接管等措施的银行机构，经银保监会批准可不适用本条所列比例规定。</w:t>
      </w:r>
    </w:p>
    <w:p w14:paraId="3DC648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562"/>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第二节 保险机构关联交易</w:t>
      </w:r>
    </w:p>
    <w:p w14:paraId="20CFC2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第十七条 保险机构的关联交易包括以下类型：</w:t>
      </w:r>
    </w:p>
    <w:p w14:paraId="4D84A8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资金运用类关联交易：包括在关联方办理银行存款；直接或间接买卖债券、股票等有价证券，投资关联方的股权、不动产及其他资产；直接或间接投资关联方发行的金融产品，或投资基础资产包含关联方资产的金融产品等。</w:t>
      </w:r>
    </w:p>
    <w:p w14:paraId="126DEF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（二）服务类关联交易：包括审计服务、精算服务、法律服务、咨询顾问服务、资产评估、技术和基础设施服务、委托或受托管理资产、租赁资产等。</w:t>
      </w:r>
    </w:p>
    <w:p w14:paraId="5FF0F78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（三）利益转移类关联交易：包括赠与、给予或接受财务资助，权利转让，担保，债权债务转移，放弃优先受让权、同比例增资权或其他权利等。</w:t>
      </w:r>
    </w:p>
    <w:p w14:paraId="654DC06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（四）保险业务和其他类型关联交易，以及根据实质重于形式原则认定的可能引致保险机构利益转移的事项。</w:t>
      </w:r>
    </w:p>
    <w:p w14:paraId="3A22BAA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第十八条 保险机构关联交易金额以交易对价或转移的利益计算。具体计算方式如下：</w:t>
      </w:r>
    </w:p>
    <w:p w14:paraId="3BC4358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资金运用类关联交易以保险资金投资金额计算交易金额。其中，投资于关联方发行的金融产品且基础资产涉及其他关联方的，以投资金额计算交易金额；投资于关联方发行的金融产品且基础资产不涉及其他关联方的，以发行费或投资管理费计算交易金额；买入资产的，以交易价格计算交易金额。</w:t>
      </w:r>
    </w:p>
    <w:p w14:paraId="7DF702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（二）服务类关联交易以业务收入或支出金额计算交易金额。</w:t>
      </w:r>
    </w:p>
    <w:p w14:paraId="18340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（三）利益转移类关联交易以资助金额、交易价格、担保金额、标的市场价值等计算交易金额。</w:t>
      </w:r>
    </w:p>
    <w:p w14:paraId="750072F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（四）银保监会确定的其他计算口径。</w:t>
      </w:r>
    </w:p>
    <w:p w14:paraId="47F223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第十九条 保险机构关联交易分为重大关联交易和一般关联交易。</w:t>
      </w:r>
    </w:p>
    <w:p w14:paraId="311F1C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保险机构重大关联交易是指保险机构与单个关联方之间单笔或年度累计交易金额达到3000万元以上，且占保险机构上一年度末经审计的净资产的1%以上的交易。</w:t>
      </w:r>
    </w:p>
    <w:p w14:paraId="700CC1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一个年度内保险机构与单个关联方的累计交易金额达到前款标准后，其后发生的关联交易再次累计达到前款标准，应当重新认定为重大关联交易。</w:t>
      </w:r>
    </w:p>
    <w:p w14:paraId="02CC1C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保险机构一般关联交易是指除重大关联交易以外的其他关联交易。</w:t>
      </w:r>
    </w:p>
    <w:p w14:paraId="24F774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第二十条 保险机构资金运用关联交易应符合以下比例要求：</w:t>
      </w:r>
    </w:p>
    <w:p w14:paraId="7FA43D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（一）保险机构投资全部关联方的账面余额，合计不得超过保险机构上一年度末总资产的25%与上一年度末净资产二者中的金额较低者；</w:t>
      </w:r>
    </w:p>
    <w:p w14:paraId="3B0D58D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（二）保险机构投资权益类资产、不动产类资产、其他金融资产和境外投资的账面余额中，对关联方的投资金额不得超过上述各类资产投资限额的30%；</w:t>
      </w:r>
    </w:p>
    <w:p w14:paraId="05F4348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（三）保险机构投资单一关联方的账面余额，合计不得超过保险机构上一年度末净资产的30%；</w:t>
      </w:r>
    </w:p>
    <w:p w14:paraId="298CA2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（四）保险机构投资金融产品，若底层基础资产涉及控股股东、实际控制人或控股股东、实际控制人的关联方，保险机构购买该金融产品的份额不得超过该产品发行总额的50%。</w:t>
      </w:r>
    </w:p>
    <w:p w14:paraId="7B29D77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保险机构与其控股的非金融子公司投资关联方的账面余额及购买份额应当合并计算并符合前述比例要求。</w:t>
      </w:r>
    </w:p>
    <w:p w14:paraId="6FA0F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保险机构与其控股子公司之间，以及控股子公司之间发生的关联交易，不适用前述规定。</w:t>
      </w:r>
    </w:p>
    <w:p w14:paraId="3FB0E29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第三节 信托公司及其他非银行金融机构</w:t>
      </w:r>
    </w:p>
    <w:p w14:paraId="135EC1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关联交易</w:t>
      </w:r>
    </w:p>
    <w:p w14:paraId="7E664E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第二十一条 </w:t>
      </w:r>
      <w:r>
        <w:rPr>
          <w:rFonts w:hint="eastAsia" w:ascii="宋体" w:hAnsi="宋体" w:eastAsia="宋体" w:cs="宋体"/>
          <w:i w:val="0"/>
          <w:caps w:val="0"/>
          <w:color w:val="333333"/>
          <w:spacing w:val="0"/>
          <w:kern w:val="0"/>
          <w:sz w:val="28"/>
          <w:szCs w:val="28"/>
          <w:shd w:val="clear" w:fill="FEFEFE"/>
          <w:lang w:val="en-US" w:eastAsia="zh-CN" w:bidi="ar"/>
        </w:rPr>
        <w:t>信托公司应当按照穿透原则和实质重于形式原则，加强关联交易认定和关联交易资金来源与运用的双向核查。</w:t>
      </w:r>
    </w:p>
    <w:p w14:paraId="316669B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信托公司关联交易分为重大关联交易和一般关联交易。</w:t>
      </w:r>
      <w:r>
        <w:rPr>
          <w:rFonts w:hint="eastAsia" w:ascii="宋体" w:hAnsi="宋体" w:eastAsia="宋体" w:cs="宋体"/>
          <w:i w:val="0"/>
          <w:caps w:val="0"/>
          <w:color w:val="333333"/>
          <w:spacing w:val="0"/>
          <w:kern w:val="0"/>
          <w:sz w:val="28"/>
          <w:szCs w:val="28"/>
          <w:shd w:val="clear" w:fill="FEFEFE"/>
          <w:lang w:val="en-US" w:eastAsia="zh-CN" w:bidi="ar"/>
        </w:rPr>
        <w:t>重大关联交易是指信托公司固有财产与单个关联方之间、信托公司信托财产与单个关联方之间单笔交易金额占信托公司注册资本5%以上，或信托公司与单个关联方发生交易后，信托公司与该关联方的交易余额占信托公司注册资本20%以上的交易。</w:t>
      </w:r>
      <w:r>
        <w:rPr>
          <w:rFonts w:hint="eastAsia" w:ascii="宋体" w:hAnsi="宋体" w:eastAsia="宋体" w:cs="宋体"/>
          <w:b w:val="0"/>
          <w:i w:val="0"/>
          <w:caps w:val="0"/>
          <w:color w:val="333333"/>
          <w:spacing w:val="0"/>
          <w:kern w:val="0"/>
          <w:sz w:val="28"/>
          <w:szCs w:val="28"/>
          <w:shd w:val="clear" w:fill="FEFEFE"/>
          <w:lang w:val="en-US" w:eastAsia="zh-CN" w:bidi="ar"/>
        </w:rPr>
        <w:t>一般关联交易是指除重大关联交易以外的其他关联交易。</w:t>
      </w:r>
    </w:p>
    <w:p w14:paraId="760941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第二十二条 金融资产管理公司、</w:t>
      </w:r>
      <w:r>
        <w:rPr>
          <w:rFonts w:hint="eastAsia" w:ascii="宋体" w:hAnsi="宋体" w:eastAsia="宋体" w:cs="宋体"/>
          <w:i w:val="0"/>
          <w:caps w:val="0"/>
          <w:color w:val="000000"/>
          <w:spacing w:val="0"/>
          <w:kern w:val="0"/>
          <w:sz w:val="28"/>
          <w:szCs w:val="28"/>
          <w:shd w:val="clear" w:fill="FEFEFE"/>
          <w:lang w:val="en-US" w:eastAsia="zh-CN" w:bidi="ar"/>
        </w:rPr>
        <w:t>金融租赁公司、</w:t>
      </w:r>
      <w:r>
        <w:rPr>
          <w:rFonts w:hint="eastAsia" w:ascii="宋体" w:hAnsi="宋体" w:eastAsia="宋体" w:cs="宋体"/>
          <w:i w:val="0"/>
          <w:caps w:val="0"/>
          <w:color w:val="333333"/>
          <w:spacing w:val="0"/>
          <w:kern w:val="0"/>
          <w:sz w:val="28"/>
          <w:szCs w:val="28"/>
          <w:shd w:val="clear" w:fill="FEFEFE"/>
          <w:lang w:val="en-US" w:eastAsia="zh-CN" w:bidi="ar"/>
        </w:rPr>
        <w:t>汽车金融公司、消费金融公司（下称其他非银行金融机构）的</w:t>
      </w:r>
      <w:r>
        <w:rPr>
          <w:rFonts w:hint="eastAsia" w:ascii="宋体" w:hAnsi="宋体" w:eastAsia="宋体" w:cs="宋体"/>
          <w:i w:val="0"/>
          <w:caps w:val="0"/>
          <w:color w:val="000000"/>
          <w:spacing w:val="0"/>
          <w:kern w:val="0"/>
          <w:sz w:val="28"/>
          <w:szCs w:val="28"/>
          <w:shd w:val="clear" w:fill="FEFEFE"/>
          <w:lang w:val="en-US" w:eastAsia="zh-CN" w:bidi="ar"/>
        </w:rPr>
        <w:t>关联交易包括以下类型：</w:t>
      </w:r>
    </w:p>
    <w:p w14:paraId="7ABABEF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（一）以资产为基础的关联交易：包括资产买卖与委托（代理）处置、资产重组（置换）、资产租赁等；</w:t>
      </w:r>
    </w:p>
    <w:p w14:paraId="4FD16C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bookmarkStart w:id="0" w:name="_Toc269996849"/>
      <w:bookmarkEnd w:id="0"/>
      <w:bookmarkStart w:id="1" w:name="_Toc269999831"/>
      <w:r>
        <w:rPr>
          <w:rFonts w:hint="eastAsia" w:ascii="宋体" w:hAnsi="宋体" w:eastAsia="宋体" w:cs="宋体"/>
          <w:i w:val="0"/>
          <w:caps w:val="0"/>
          <w:color w:val="000000"/>
          <w:spacing w:val="0"/>
          <w:kern w:val="0"/>
          <w:sz w:val="28"/>
          <w:szCs w:val="28"/>
          <w:u w:val="none"/>
          <w:shd w:val="clear" w:fill="FEFEFE"/>
          <w:lang w:val="en-US" w:eastAsia="zh-CN" w:bidi="ar"/>
        </w:rPr>
        <w:t>（二）以资金为基础的关联交易</w:t>
      </w:r>
      <w:bookmarkEnd w:id="1"/>
      <w:r>
        <w:rPr>
          <w:rFonts w:hint="eastAsia" w:ascii="宋体" w:hAnsi="宋体" w:eastAsia="宋体" w:cs="宋体"/>
          <w:i w:val="0"/>
          <w:caps w:val="0"/>
          <w:color w:val="000000"/>
          <w:spacing w:val="0"/>
          <w:kern w:val="0"/>
          <w:sz w:val="28"/>
          <w:szCs w:val="28"/>
          <w:shd w:val="clear" w:fill="FEFEFE"/>
          <w:lang w:val="en-US" w:eastAsia="zh-CN" w:bidi="ar"/>
        </w:rPr>
        <w:t>：包括投资、贷款、融资租赁、借款、拆借、存款、担保等；</w:t>
      </w:r>
    </w:p>
    <w:p w14:paraId="73AFA7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bookmarkStart w:id="2" w:name="_Toc269999832"/>
      <w:bookmarkEnd w:id="2"/>
      <w:bookmarkStart w:id="3" w:name="_Toc269996850"/>
      <w:r>
        <w:rPr>
          <w:rFonts w:hint="eastAsia" w:ascii="宋体" w:hAnsi="宋体" w:eastAsia="宋体" w:cs="宋体"/>
          <w:i w:val="0"/>
          <w:caps w:val="0"/>
          <w:color w:val="000000"/>
          <w:spacing w:val="0"/>
          <w:kern w:val="0"/>
          <w:sz w:val="28"/>
          <w:szCs w:val="28"/>
          <w:u w:val="none"/>
          <w:shd w:val="clear" w:fill="FEFEFE"/>
          <w:lang w:val="en-US" w:eastAsia="zh-CN" w:bidi="ar"/>
        </w:rPr>
        <w:t>（三）以中间服务为基础的关联交易</w:t>
      </w:r>
      <w:bookmarkEnd w:id="3"/>
      <w:r>
        <w:rPr>
          <w:rFonts w:hint="eastAsia" w:ascii="宋体" w:hAnsi="宋体" w:eastAsia="宋体" w:cs="宋体"/>
          <w:i w:val="0"/>
          <w:caps w:val="0"/>
          <w:color w:val="000000"/>
          <w:spacing w:val="0"/>
          <w:kern w:val="0"/>
          <w:sz w:val="28"/>
          <w:szCs w:val="28"/>
          <w:shd w:val="clear" w:fill="FEFEFE"/>
          <w:lang w:val="en-US" w:eastAsia="zh-CN" w:bidi="ar"/>
        </w:rPr>
        <w:t>：包括评级服务、评估服务、审计服务、法律服务、拍卖服务、咨询服务、业务代理、中介服务等；</w:t>
      </w:r>
    </w:p>
    <w:p w14:paraId="5F4819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（四）</w:t>
      </w:r>
      <w:r>
        <w:rPr>
          <w:rFonts w:hint="eastAsia" w:ascii="宋体" w:hAnsi="宋体" w:eastAsia="宋体" w:cs="宋体"/>
          <w:b w:val="0"/>
          <w:i w:val="0"/>
          <w:caps w:val="0"/>
          <w:color w:val="333333"/>
          <w:spacing w:val="0"/>
          <w:kern w:val="0"/>
          <w:sz w:val="28"/>
          <w:szCs w:val="28"/>
          <w:shd w:val="clear" w:fill="FEFEFE"/>
          <w:lang w:val="en-US" w:eastAsia="zh-CN" w:bidi="ar"/>
        </w:rPr>
        <w:t>其他类型关联交易以及根据实质重于形式原则认定的可能引致其他非银行金融机构利益转移的事项</w:t>
      </w:r>
      <w:r>
        <w:rPr>
          <w:rFonts w:hint="eastAsia" w:ascii="宋体" w:hAnsi="宋体" w:eastAsia="宋体" w:cs="宋体"/>
          <w:i w:val="0"/>
          <w:caps w:val="0"/>
          <w:color w:val="000000"/>
          <w:spacing w:val="0"/>
          <w:kern w:val="0"/>
          <w:sz w:val="28"/>
          <w:szCs w:val="28"/>
          <w:shd w:val="clear" w:fill="FEFEFE"/>
          <w:lang w:val="en-US" w:eastAsia="zh-CN" w:bidi="ar"/>
        </w:rPr>
        <w:t>。</w:t>
      </w:r>
    </w:p>
    <w:p w14:paraId="26FA1D8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第二十三条 </w:t>
      </w:r>
      <w:r>
        <w:rPr>
          <w:rFonts w:hint="eastAsia" w:ascii="宋体" w:hAnsi="宋体" w:eastAsia="宋体" w:cs="宋体"/>
          <w:i w:val="0"/>
          <w:caps w:val="0"/>
          <w:color w:val="333333"/>
          <w:spacing w:val="0"/>
          <w:kern w:val="0"/>
          <w:sz w:val="28"/>
          <w:szCs w:val="28"/>
          <w:shd w:val="clear" w:fill="FEFEFE"/>
          <w:lang w:val="en-US" w:eastAsia="zh-CN" w:bidi="ar"/>
        </w:rPr>
        <w:t>其他非银行金融机构</w:t>
      </w:r>
      <w:r>
        <w:rPr>
          <w:rFonts w:hint="eastAsia" w:ascii="宋体" w:hAnsi="宋体" w:eastAsia="宋体" w:cs="宋体"/>
          <w:b w:val="0"/>
          <w:i w:val="0"/>
          <w:caps w:val="0"/>
          <w:color w:val="333333"/>
          <w:spacing w:val="0"/>
          <w:kern w:val="0"/>
          <w:sz w:val="28"/>
          <w:szCs w:val="28"/>
          <w:shd w:val="clear" w:fill="FEFEFE"/>
          <w:lang w:val="en-US" w:eastAsia="zh-CN" w:bidi="ar"/>
        </w:rPr>
        <w:t>的关联交易分为重大关联交易和一般关联交易。</w:t>
      </w:r>
    </w:p>
    <w:p w14:paraId="749043E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其他非银行金融机构重大关联交易是指其他非银行金融机构与单个关联方之间单笔交易金额达到其他非银行金融机构上季末资本净额1%以上，或累计达到</w:t>
      </w:r>
      <w:r>
        <w:rPr>
          <w:rFonts w:hint="eastAsia" w:ascii="宋体" w:hAnsi="宋体" w:eastAsia="宋体" w:cs="宋体"/>
          <w:i w:val="0"/>
          <w:caps w:val="0"/>
          <w:color w:val="333333"/>
          <w:spacing w:val="0"/>
          <w:kern w:val="0"/>
          <w:sz w:val="28"/>
          <w:szCs w:val="28"/>
          <w:shd w:val="clear" w:fill="FEFEFE"/>
          <w:lang w:val="en-US" w:eastAsia="zh-CN" w:bidi="ar"/>
        </w:rPr>
        <w:t>其他非银行金融机构</w:t>
      </w:r>
      <w:r>
        <w:rPr>
          <w:rFonts w:hint="eastAsia" w:ascii="宋体" w:hAnsi="宋体" w:eastAsia="宋体" w:cs="宋体"/>
          <w:b w:val="0"/>
          <w:i w:val="0"/>
          <w:caps w:val="0"/>
          <w:color w:val="333333"/>
          <w:spacing w:val="0"/>
          <w:kern w:val="0"/>
          <w:sz w:val="28"/>
          <w:szCs w:val="28"/>
          <w:shd w:val="clear" w:fill="FEFEFE"/>
          <w:lang w:val="en-US" w:eastAsia="zh-CN" w:bidi="ar"/>
        </w:rPr>
        <w:t>上季末资本净额5%以上的交易。金融租赁公司除外。</w:t>
      </w:r>
    </w:p>
    <w:p w14:paraId="0BF327C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金融租赁公司重大关联交易是指金融租赁公司与单个关联方之间单笔交易金额达到金融租赁公司上季末资本净额5%以上，或累计达到金融租赁公司上季末资本净额10%以上的交易。</w:t>
      </w:r>
      <w:r>
        <w:rPr>
          <w:rFonts w:hint="eastAsia" w:ascii="宋体" w:hAnsi="宋体" w:eastAsia="宋体" w:cs="宋体"/>
          <w:b w:val="0"/>
          <w:i w:val="0"/>
          <w:caps w:val="0"/>
          <w:color w:val="333333"/>
          <w:spacing w:val="0"/>
          <w:kern w:val="0"/>
          <w:sz w:val="28"/>
          <w:szCs w:val="28"/>
          <w:shd w:val="clear" w:fill="FEFEFE"/>
          <w:lang w:val="en-US" w:eastAsia="zh-CN" w:bidi="ar"/>
        </w:rPr>
        <w:t xml:space="preserve"> </w:t>
      </w:r>
    </w:p>
    <w:p w14:paraId="501F61E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其他非银行金融机构与单个关联方的交易金额累计达到前款标准后，其后发生的关联交易，每累计达到上季末资本净额1%以上，应当重新认定为重大关联交易。金融租赁公司除外。</w:t>
      </w:r>
    </w:p>
    <w:p w14:paraId="5D8AEE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金融租赁公司与单个关联方的交易金额累计达到前款标准后，其后发生的关联交易，每累计达到上季末资本净额5%以上，应当重新认定为重大关联交易。</w:t>
      </w:r>
    </w:p>
    <w:p w14:paraId="0403682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一般关联交易是指除重大关联交易以外的其他关联交易。</w:t>
      </w:r>
    </w:p>
    <w:p w14:paraId="3B3F0E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第二十四条 </w:t>
      </w:r>
      <w:r>
        <w:rPr>
          <w:rFonts w:hint="eastAsia" w:ascii="宋体" w:hAnsi="宋体" w:eastAsia="宋体" w:cs="宋体"/>
          <w:i w:val="0"/>
          <w:caps w:val="0"/>
          <w:color w:val="000000"/>
          <w:spacing w:val="0"/>
          <w:kern w:val="0"/>
          <w:sz w:val="28"/>
          <w:szCs w:val="28"/>
          <w:shd w:val="clear" w:fill="FEFEFE"/>
          <w:lang w:val="en-US" w:eastAsia="zh-CN" w:bidi="ar"/>
        </w:rPr>
        <w:t>其他非银行金融机构</w:t>
      </w:r>
      <w:r>
        <w:rPr>
          <w:rFonts w:hint="eastAsia" w:ascii="宋体" w:hAnsi="宋体" w:eastAsia="宋体" w:cs="宋体"/>
          <w:b w:val="0"/>
          <w:i w:val="0"/>
          <w:caps w:val="0"/>
          <w:color w:val="000000"/>
          <w:spacing w:val="0"/>
          <w:kern w:val="0"/>
          <w:sz w:val="28"/>
          <w:szCs w:val="28"/>
          <w:shd w:val="clear" w:fill="FEFEFE"/>
          <w:lang w:val="en-US" w:eastAsia="zh-CN" w:bidi="ar"/>
        </w:rPr>
        <w:t>的关联交易金额以交易对价或转移的利益计算，具体计算方式如下：</w:t>
      </w:r>
    </w:p>
    <w:p w14:paraId="45C8A3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both"/>
        <w:textAlignment w:val="auto"/>
        <w:rPr>
          <w:rFonts w:hint="eastAsia" w:ascii="宋体" w:hAnsi="宋体" w:eastAsia="宋体" w:cs="宋体"/>
          <w:sz w:val="28"/>
          <w:szCs w:val="28"/>
        </w:rPr>
      </w:pPr>
      <w:r>
        <w:rPr>
          <w:rFonts w:hint="eastAsia" w:ascii="宋体" w:hAnsi="宋体" w:eastAsia="宋体" w:cs="宋体"/>
          <w:b w:val="0"/>
          <w:i w:val="0"/>
          <w:caps w:val="0"/>
          <w:color w:val="000000"/>
          <w:spacing w:val="0"/>
          <w:kern w:val="0"/>
          <w:sz w:val="28"/>
          <w:szCs w:val="28"/>
          <w:shd w:val="clear" w:fill="FEFEFE"/>
          <w:lang w:val="en-US" w:eastAsia="zh-CN" w:bidi="ar"/>
        </w:rPr>
        <w:t>（一）</w:t>
      </w:r>
      <w:r>
        <w:rPr>
          <w:rFonts w:hint="eastAsia" w:ascii="宋体" w:hAnsi="宋体" w:eastAsia="宋体" w:cs="宋体"/>
          <w:i w:val="0"/>
          <w:caps w:val="0"/>
          <w:color w:val="000000"/>
          <w:spacing w:val="0"/>
          <w:kern w:val="0"/>
          <w:sz w:val="28"/>
          <w:szCs w:val="28"/>
          <w:shd w:val="clear" w:fill="FEFEFE"/>
          <w:lang w:val="en-US" w:eastAsia="zh-CN" w:bidi="ar"/>
        </w:rPr>
        <w:t>以资产为基础的关联交易</w:t>
      </w:r>
      <w:r>
        <w:rPr>
          <w:rFonts w:hint="eastAsia" w:ascii="宋体" w:hAnsi="宋体" w:eastAsia="宋体" w:cs="宋体"/>
          <w:b w:val="0"/>
          <w:i w:val="0"/>
          <w:caps w:val="0"/>
          <w:color w:val="000000"/>
          <w:spacing w:val="0"/>
          <w:kern w:val="0"/>
          <w:sz w:val="28"/>
          <w:szCs w:val="28"/>
          <w:shd w:val="clear" w:fill="FEFEFE"/>
          <w:lang w:val="en-US" w:eastAsia="zh-CN" w:bidi="ar"/>
        </w:rPr>
        <w:t>以交易价格计算交易金额；</w:t>
      </w:r>
    </w:p>
    <w:p w14:paraId="1FD910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both"/>
        <w:textAlignment w:val="auto"/>
        <w:rPr>
          <w:rFonts w:hint="eastAsia" w:ascii="宋体" w:hAnsi="宋体" w:eastAsia="宋体" w:cs="宋体"/>
          <w:sz w:val="28"/>
          <w:szCs w:val="28"/>
        </w:rPr>
      </w:pPr>
      <w:r>
        <w:rPr>
          <w:rFonts w:hint="eastAsia" w:ascii="宋体" w:hAnsi="宋体" w:eastAsia="宋体" w:cs="宋体"/>
          <w:b w:val="0"/>
          <w:i w:val="0"/>
          <w:caps w:val="0"/>
          <w:color w:val="000000"/>
          <w:spacing w:val="0"/>
          <w:kern w:val="0"/>
          <w:sz w:val="28"/>
          <w:szCs w:val="28"/>
          <w:shd w:val="clear" w:fill="FEFEFE"/>
          <w:lang w:val="en-US" w:eastAsia="zh-CN" w:bidi="ar"/>
        </w:rPr>
        <w:t>（二）</w:t>
      </w:r>
      <w:r>
        <w:rPr>
          <w:rFonts w:hint="eastAsia" w:ascii="宋体" w:hAnsi="宋体" w:eastAsia="宋体" w:cs="宋体"/>
          <w:i w:val="0"/>
          <w:caps w:val="0"/>
          <w:color w:val="000000"/>
          <w:spacing w:val="0"/>
          <w:kern w:val="0"/>
          <w:sz w:val="28"/>
          <w:szCs w:val="28"/>
          <w:shd w:val="clear" w:fill="FEFEFE"/>
          <w:lang w:val="en-US" w:eastAsia="zh-CN" w:bidi="ar"/>
        </w:rPr>
        <w:t>以资金为基础的关联交易</w:t>
      </w:r>
      <w:r>
        <w:rPr>
          <w:rFonts w:hint="eastAsia" w:ascii="宋体" w:hAnsi="宋体" w:eastAsia="宋体" w:cs="宋体"/>
          <w:b w:val="0"/>
          <w:i w:val="0"/>
          <w:caps w:val="0"/>
          <w:color w:val="000000"/>
          <w:spacing w:val="0"/>
          <w:kern w:val="0"/>
          <w:sz w:val="28"/>
          <w:szCs w:val="28"/>
          <w:shd w:val="clear" w:fill="FEFEFE"/>
          <w:lang w:val="en-US" w:eastAsia="zh-CN" w:bidi="ar"/>
        </w:rPr>
        <w:t>以签订协议的金额计算交易金额；</w:t>
      </w:r>
    </w:p>
    <w:p w14:paraId="36ADE45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（三）以中间服务为基础的关联交易</w:t>
      </w:r>
      <w:r>
        <w:rPr>
          <w:rFonts w:hint="eastAsia" w:ascii="宋体" w:hAnsi="宋体" w:eastAsia="宋体" w:cs="宋体"/>
          <w:b w:val="0"/>
          <w:i w:val="0"/>
          <w:caps w:val="0"/>
          <w:color w:val="000000"/>
          <w:spacing w:val="0"/>
          <w:kern w:val="0"/>
          <w:sz w:val="28"/>
          <w:szCs w:val="28"/>
          <w:shd w:val="clear" w:fill="FEFEFE"/>
          <w:lang w:val="en-US" w:eastAsia="zh-CN" w:bidi="ar"/>
        </w:rPr>
        <w:t>以业务收入或支出金额计算交易金额；</w:t>
      </w:r>
    </w:p>
    <w:p w14:paraId="1E26717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（四）银保监会确定的其他计算口径。</w:t>
      </w:r>
    </w:p>
    <w:p w14:paraId="42C35F7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第二十五条 金融资产管理公司及其非金融控股子公司与关联方之间发生的以资金、资产为基础的交易余额应当合并计算，参照适用本办法第十六条相关监管要求，金融资产管理公司与其控股子公司之间、以及控股子公司之间发生的关联交易除外。</w:t>
      </w:r>
    </w:p>
    <w:p w14:paraId="35EE319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金融资产管理公司应当参照本办法第二章规定，将控股子公司的关联方纳入集团关联方范围。</w:t>
      </w:r>
    </w:p>
    <w:p w14:paraId="770FE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第二十六条 金融租赁公司对单个关联方的融资余额不得超过上季末资本净额的30%。</w:t>
      </w:r>
    </w:p>
    <w:p w14:paraId="578FB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金融租赁公司对全部关联方的全部</w:t>
      </w:r>
      <w:r>
        <w:rPr>
          <w:rFonts w:hint="eastAsia" w:ascii="宋体" w:hAnsi="宋体" w:eastAsia="宋体" w:cs="宋体"/>
          <w:b w:val="0"/>
          <w:i w:val="0"/>
          <w:caps w:val="0"/>
          <w:color w:val="333333"/>
          <w:spacing w:val="0"/>
          <w:kern w:val="0"/>
          <w:sz w:val="28"/>
          <w:szCs w:val="28"/>
          <w:shd w:val="clear" w:fill="FEFEFE"/>
          <w:lang w:val="en-US" w:eastAsia="zh-CN" w:bidi="ar"/>
        </w:rPr>
        <w:t>融资余额</w:t>
      </w:r>
      <w:r>
        <w:rPr>
          <w:rFonts w:hint="eastAsia" w:ascii="宋体" w:hAnsi="宋体" w:eastAsia="宋体" w:cs="宋体"/>
          <w:i w:val="0"/>
          <w:caps w:val="0"/>
          <w:color w:val="333333"/>
          <w:spacing w:val="0"/>
          <w:kern w:val="0"/>
          <w:sz w:val="28"/>
          <w:szCs w:val="28"/>
          <w:shd w:val="clear" w:fill="FEFEFE"/>
          <w:lang w:val="en-US" w:eastAsia="zh-CN" w:bidi="ar"/>
        </w:rPr>
        <w:t>不得超过上季末资本净额的50%</w:t>
      </w:r>
      <w:r>
        <w:rPr>
          <w:rFonts w:hint="eastAsia" w:ascii="宋体" w:hAnsi="宋体" w:eastAsia="宋体" w:cs="宋体"/>
          <w:b w:val="0"/>
          <w:i w:val="0"/>
          <w:caps w:val="0"/>
          <w:color w:val="333333"/>
          <w:spacing w:val="0"/>
          <w:kern w:val="0"/>
          <w:sz w:val="28"/>
          <w:szCs w:val="28"/>
          <w:shd w:val="clear" w:fill="FEFEFE"/>
          <w:lang w:val="en-US" w:eastAsia="zh-CN" w:bidi="ar"/>
        </w:rPr>
        <w:t>。</w:t>
      </w:r>
    </w:p>
    <w:p w14:paraId="4550FCF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金融租赁公司对单个股东及其全部关联方的融资余额不得超过该股东在金融租赁公司的出资额，且应同时满足本条第一款的规定。</w:t>
      </w:r>
    </w:p>
    <w:p w14:paraId="6C8348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金融租赁公司及其设立的控股子公司、项目公司之间的关联交易不适用本条规定。</w:t>
      </w:r>
    </w:p>
    <w:p w14:paraId="6E454EC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汽车金融公司对单个股东及其关联方的授信余额不得超过该股东在汽车金融公司的出资额。</w:t>
      </w:r>
    </w:p>
    <w:p w14:paraId="10DEAA4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第四节 禁止性规定</w:t>
      </w:r>
    </w:p>
    <w:p w14:paraId="328A24C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第二十七条 银行保险机构不得通过掩盖关联关系、拆分交易等各种隐蔽方式规避重大关联交易审批或监管要求。</w:t>
      </w:r>
    </w:p>
    <w:p w14:paraId="3C6C2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银行保险机构不得利用各种嵌套交易拉长融资链条、模糊业务实质、规避监管规定，不得为股东及其关联方违规融资、腾挪资产、空转套利、隐匿风险等。</w:t>
      </w:r>
    </w:p>
    <w:p w14:paraId="30AA9A0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第二十八条 银行机构不得直接通过或借道同业、理财、表外等业务，突破比例限制或违反规定向关联方提供资金。</w:t>
      </w:r>
    </w:p>
    <w:p w14:paraId="266E9A9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银行机构不得接受本行的股权作为质押提供授信。银行机构不得为关联方的融资行为提供担保（含等同于担保的或有事项），但关联方以银行存单、国债提供足额反担保的除外。</w:t>
      </w:r>
    </w:p>
    <w:p w14:paraId="6761B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银行机构向关联方提供授信发生损失的，自发现损失之日起二年内不得再向该关联方提供授信，但为减少该授信的损失，经银行机构董事会批准的除外。</w:t>
      </w:r>
    </w:p>
    <w:p w14:paraId="1687856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第二十九条 </w:t>
      </w:r>
      <w:r>
        <w:rPr>
          <w:rFonts w:hint="eastAsia" w:ascii="宋体" w:hAnsi="宋体" w:eastAsia="宋体" w:cs="宋体"/>
          <w:i w:val="0"/>
          <w:caps w:val="0"/>
          <w:color w:val="000000"/>
          <w:spacing w:val="0"/>
          <w:kern w:val="0"/>
          <w:sz w:val="28"/>
          <w:szCs w:val="28"/>
          <w:shd w:val="clear" w:fill="FEFEFE"/>
          <w:lang w:val="en-US" w:eastAsia="zh-CN" w:bidi="ar"/>
        </w:rPr>
        <w:t>保险机构不得借道不动产项目、非保险子公司、信托计划、资管产品投资，或其他通道、嵌套方式等变相突破监管限制，为关联方违规提供融资。</w:t>
      </w:r>
    </w:p>
    <w:p w14:paraId="68842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第三十条 </w:t>
      </w:r>
      <w:r>
        <w:rPr>
          <w:rFonts w:hint="eastAsia" w:ascii="宋体" w:hAnsi="宋体" w:eastAsia="宋体" w:cs="宋体"/>
          <w:i w:val="0"/>
          <w:caps w:val="0"/>
          <w:color w:val="000000"/>
          <w:spacing w:val="0"/>
          <w:kern w:val="0"/>
          <w:sz w:val="28"/>
          <w:szCs w:val="28"/>
          <w:shd w:val="clear" w:fill="FEFEFE"/>
          <w:lang w:val="en-US" w:eastAsia="zh-CN" w:bidi="ar"/>
        </w:rPr>
        <w:t>金融资产管理公司参照执行本办法第二十八条规定，且不得与关联方开展无担保的以资金为基础的关联交易，同业拆借、股东流动性支持以及金融监管机构另有规定的除外。非金融子公司负债依存度不得超过30%，确有必要救助的，原则上不得超过70%，并于作出救助决定后3个工作日内向董事会、监事会和银保监会报告。</w:t>
      </w:r>
    </w:p>
    <w:p w14:paraId="48280E1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000000"/>
          <w:spacing w:val="0"/>
          <w:kern w:val="0"/>
          <w:sz w:val="28"/>
          <w:szCs w:val="28"/>
          <w:shd w:val="clear" w:fill="FEFEFE"/>
          <w:lang w:val="en-US" w:eastAsia="zh-CN" w:bidi="ar"/>
        </w:rPr>
        <w:t>金融资产管理公司及其子公司将自身形成的不良资产在集团内部转让的，应当由集团母公司董事会审批，金融子公司按规定批量转让的除外。</w:t>
      </w:r>
    </w:p>
    <w:p w14:paraId="2ADD9C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第三十一条 </w:t>
      </w:r>
      <w:r>
        <w:rPr>
          <w:rFonts w:hint="eastAsia" w:ascii="宋体" w:hAnsi="宋体" w:eastAsia="宋体" w:cs="宋体"/>
          <w:i w:val="0"/>
          <w:caps w:val="0"/>
          <w:color w:val="333333"/>
          <w:spacing w:val="0"/>
          <w:kern w:val="0"/>
          <w:sz w:val="28"/>
          <w:szCs w:val="28"/>
          <w:shd w:val="clear" w:fill="FEFEFE"/>
          <w:lang w:val="en-US" w:eastAsia="zh-CN" w:bidi="ar"/>
        </w:rPr>
        <w:t>金融租赁公司与关联方开展以资产、资金为基础的关联交易发生损失的，自发现损失之日起二年内不得与该关联方新增以资产、资金为基础的关联交易。但为减少损失，经金融租赁公司董事会批准的除外。</w:t>
      </w:r>
    </w:p>
    <w:p w14:paraId="011110A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第三十二条 </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begin"/>
      </w:r>
      <w:r>
        <w:rPr>
          <w:rFonts w:hint="eastAsia" w:ascii="宋体" w:hAnsi="宋体" w:eastAsia="宋体" w:cs="宋体"/>
          <w:i w:val="0"/>
          <w:caps w:val="0"/>
          <w:color w:val="000000"/>
          <w:spacing w:val="0"/>
          <w:kern w:val="0"/>
          <w:sz w:val="28"/>
          <w:szCs w:val="28"/>
          <w:u w:val="none"/>
          <w:shd w:val="clear" w:fill="FEFEFE"/>
          <w:lang w:val="en-US" w:eastAsia="zh-CN" w:bidi="ar"/>
        </w:rPr>
        <w:instrText xml:space="preserve"> HYPERLINK "https://baike.baidu.com/item/%E4%BF%A1%E6%89%98%E5%85%AC%E5%8F%B8/94434" </w:instrText>
      </w:r>
      <w:r>
        <w:rPr>
          <w:rFonts w:hint="eastAsia" w:ascii="宋体" w:hAnsi="宋体" w:eastAsia="宋体" w:cs="宋体"/>
          <w:i w:val="0"/>
          <w:caps w:val="0"/>
          <w:color w:val="000000"/>
          <w:spacing w:val="0"/>
          <w:kern w:val="0"/>
          <w:sz w:val="28"/>
          <w:szCs w:val="28"/>
          <w:u w:val="none"/>
          <w:shd w:val="clear" w:fill="FEFEFE"/>
          <w:lang w:val="en-US" w:eastAsia="zh-CN" w:bidi="ar"/>
        </w:rPr>
        <w:fldChar w:fldCharType="separate"/>
      </w:r>
      <w:r>
        <w:rPr>
          <w:rStyle w:val="5"/>
          <w:rFonts w:hint="eastAsia" w:ascii="宋体" w:hAnsi="宋体" w:eastAsia="宋体" w:cs="宋体"/>
          <w:b w:val="0"/>
          <w:i w:val="0"/>
          <w:caps w:val="0"/>
          <w:color w:val="000000"/>
          <w:spacing w:val="0"/>
          <w:sz w:val="28"/>
          <w:szCs w:val="28"/>
          <w:u w:val="none"/>
          <w:shd w:val="clear" w:fill="FEFEFE"/>
        </w:rPr>
        <w:t>信托公司</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end"/>
      </w:r>
      <w:r>
        <w:rPr>
          <w:rFonts w:hint="eastAsia" w:ascii="宋体" w:hAnsi="宋体" w:eastAsia="宋体" w:cs="宋体"/>
          <w:b w:val="0"/>
          <w:i w:val="0"/>
          <w:caps w:val="0"/>
          <w:color w:val="333333"/>
          <w:spacing w:val="0"/>
          <w:kern w:val="0"/>
          <w:sz w:val="28"/>
          <w:szCs w:val="28"/>
          <w:shd w:val="clear" w:fill="FEFEFE"/>
          <w:lang w:val="en-US" w:eastAsia="zh-CN" w:bidi="ar"/>
        </w:rPr>
        <w:t>开展固有业务，不得向</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begin"/>
      </w:r>
      <w:r>
        <w:rPr>
          <w:rFonts w:hint="eastAsia" w:ascii="宋体" w:hAnsi="宋体" w:eastAsia="宋体" w:cs="宋体"/>
          <w:i w:val="0"/>
          <w:caps w:val="0"/>
          <w:color w:val="000000"/>
          <w:spacing w:val="0"/>
          <w:kern w:val="0"/>
          <w:sz w:val="28"/>
          <w:szCs w:val="28"/>
          <w:u w:val="none"/>
          <w:shd w:val="clear" w:fill="FEFEFE"/>
          <w:lang w:val="en-US" w:eastAsia="zh-CN" w:bidi="ar"/>
        </w:rPr>
        <w:instrText xml:space="preserve"> HYPERLINK "https://baike.baidu.com/item/%E5%85%B3%E8%81%94%E6%96%B9/9800589" </w:instrText>
      </w:r>
      <w:r>
        <w:rPr>
          <w:rFonts w:hint="eastAsia" w:ascii="宋体" w:hAnsi="宋体" w:eastAsia="宋体" w:cs="宋体"/>
          <w:i w:val="0"/>
          <w:caps w:val="0"/>
          <w:color w:val="000000"/>
          <w:spacing w:val="0"/>
          <w:kern w:val="0"/>
          <w:sz w:val="28"/>
          <w:szCs w:val="28"/>
          <w:u w:val="none"/>
          <w:shd w:val="clear" w:fill="FEFEFE"/>
          <w:lang w:val="en-US" w:eastAsia="zh-CN" w:bidi="ar"/>
        </w:rPr>
        <w:fldChar w:fldCharType="separate"/>
      </w:r>
      <w:r>
        <w:rPr>
          <w:rStyle w:val="5"/>
          <w:rFonts w:hint="eastAsia" w:ascii="宋体" w:hAnsi="宋体" w:eastAsia="宋体" w:cs="宋体"/>
          <w:b w:val="0"/>
          <w:i w:val="0"/>
          <w:caps w:val="0"/>
          <w:color w:val="000000"/>
          <w:spacing w:val="0"/>
          <w:sz w:val="28"/>
          <w:szCs w:val="28"/>
          <w:u w:val="none"/>
          <w:shd w:val="clear" w:fill="FEFEFE"/>
        </w:rPr>
        <w:t>关联方</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end"/>
      </w:r>
      <w:r>
        <w:rPr>
          <w:rFonts w:hint="eastAsia" w:ascii="宋体" w:hAnsi="宋体" w:eastAsia="宋体" w:cs="宋体"/>
          <w:b w:val="0"/>
          <w:i w:val="0"/>
          <w:caps w:val="0"/>
          <w:color w:val="333333"/>
          <w:spacing w:val="0"/>
          <w:kern w:val="0"/>
          <w:sz w:val="28"/>
          <w:szCs w:val="28"/>
          <w:shd w:val="clear" w:fill="FEFEFE"/>
          <w:lang w:val="en-US" w:eastAsia="zh-CN" w:bidi="ar"/>
        </w:rPr>
        <w:t>融出资金或</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begin"/>
      </w:r>
      <w:r>
        <w:rPr>
          <w:rFonts w:hint="eastAsia" w:ascii="宋体" w:hAnsi="宋体" w:eastAsia="宋体" w:cs="宋体"/>
          <w:i w:val="0"/>
          <w:caps w:val="0"/>
          <w:color w:val="000000"/>
          <w:spacing w:val="0"/>
          <w:kern w:val="0"/>
          <w:sz w:val="28"/>
          <w:szCs w:val="28"/>
          <w:u w:val="none"/>
          <w:shd w:val="clear" w:fill="FEFEFE"/>
          <w:lang w:val="en-US" w:eastAsia="zh-CN" w:bidi="ar"/>
        </w:rPr>
        <w:instrText xml:space="preserve"> HYPERLINK "https://baike.baidu.com/item/%E8%BD%AC%E7%A7%BB%E8%B4%A2%E4%BA%A7/3841188" </w:instrText>
      </w:r>
      <w:r>
        <w:rPr>
          <w:rFonts w:hint="eastAsia" w:ascii="宋体" w:hAnsi="宋体" w:eastAsia="宋体" w:cs="宋体"/>
          <w:i w:val="0"/>
          <w:caps w:val="0"/>
          <w:color w:val="000000"/>
          <w:spacing w:val="0"/>
          <w:kern w:val="0"/>
          <w:sz w:val="28"/>
          <w:szCs w:val="28"/>
          <w:u w:val="none"/>
          <w:shd w:val="clear" w:fill="FEFEFE"/>
          <w:lang w:val="en-US" w:eastAsia="zh-CN" w:bidi="ar"/>
        </w:rPr>
        <w:fldChar w:fldCharType="separate"/>
      </w:r>
      <w:r>
        <w:rPr>
          <w:rStyle w:val="5"/>
          <w:rFonts w:hint="eastAsia" w:ascii="宋体" w:hAnsi="宋体" w:eastAsia="宋体" w:cs="宋体"/>
          <w:b w:val="0"/>
          <w:i w:val="0"/>
          <w:caps w:val="0"/>
          <w:color w:val="000000"/>
          <w:spacing w:val="0"/>
          <w:sz w:val="28"/>
          <w:szCs w:val="28"/>
          <w:u w:val="none"/>
          <w:shd w:val="clear" w:fill="FEFEFE"/>
        </w:rPr>
        <w:t>转移财产</w:t>
      </w:r>
      <w:r>
        <w:rPr>
          <w:rFonts w:hint="eastAsia" w:ascii="宋体" w:hAnsi="宋体" w:eastAsia="宋体" w:cs="宋体"/>
          <w:i w:val="0"/>
          <w:caps w:val="0"/>
          <w:color w:val="000000"/>
          <w:spacing w:val="0"/>
          <w:kern w:val="0"/>
          <w:sz w:val="28"/>
          <w:szCs w:val="28"/>
          <w:u w:val="none"/>
          <w:shd w:val="clear" w:fill="FEFEFE"/>
          <w:lang w:val="en-US" w:eastAsia="zh-CN" w:bidi="ar"/>
        </w:rPr>
        <w:fldChar w:fldCharType="end"/>
      </w:r>
      <w:r>
        <w:rPr>
          <w:rFonts w:hint="eastAsia" w:ascii="宋体" w:hAnsi="宋体" w:eastAsia="宋体" w:cs="宋体"/>
          <w:b w:val="0"/>
          <w:i w:val="0"/>
          <w:caps w:val="0"/>
          <w:color w:val="333333"/>
          <w:spacing w:val="0"/>
          <w:kern w:val="0"/>
          <w:sz w:val="28"/>
          <w:szCs w:val="28"/>
          <w:shd w:val="clear" w:fill="FEFEFE"/>
          <w:lang w:val="en-US" w:eastAsia="zh-CN" w:bidi="ar"/>
        </w:rPr>
        <w:t>，不得为关联方提供担保。</w:t>
      </w:r>
    </w:p>
    <w:p w14:paraId="14019B7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信托公司开展结构化信托业务不得以利益相关人作为劣后受益人，利益相关人包括但不限于信托公司及其全体员工、信托公司股东等。</w:t>
      </w:r>
    </w:p>
    <w:p w14:paraId="03794E8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信托公司管理集合资金信托计划，不得将信托资金直接或间接运用于信托公司的股东及其关联方，但信托资金全部来源于股东或其关联方的除外。</w:t>
      </w:r>
    </w:p>
    <w:p w14:paraId="150BF1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第三十三条 公司治理监管评估结果为E级的银行保险机构，不得开展授信类、资金运用类、以资金为基础的关联交易。经银保监会或其派出机构认可的除外。</w:t>
      </w:r>
    </w:p>
    <w:p w14:paraId="2271D1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第三十四条  银行保险机构违反本办法规定的，银保监会或其派出机构予以责令改正，包括以下措施:</w:t>
      </w:r>
    </w:p>
    <w:p w14:paraId="6E402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（一）责令禁止与特定关联方开展交易;</w:t>
      </w:r>
    </w:p>
    <w:p w14:paraId="6AA2335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（二）要求对特定的交易出具审计报告；</w:t>
      </w:r>
    </w:p>
    <w:p w14:paraId="7E85196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（三）根据银行保险机构关联交易风险状况，要求</w:t>
      </w:r>
      <w:r>
        <w:rPr>
          <w:rFonts w:hint="eastAsia" w:ascii="宋体" w:hAnsi="宋体" w:eastAsia="宋体" w:cs="宋体"/>
          <w:i w:val="0"/>
          <w:caps w:val="0"/>
          <w:color w:val="333333"/>
          <w:spacing w:val="0"/>
          <w:kern w:val="0"/>
          <w:sz w:val="28"/>
          <w:szCs w:val="28"/>
          <w:shd w:val="clear" w:fill="FEFEFE"/>
          <w:lang w:val="en-US" w:eastAsia="zh-CN" w:bidi="ar"/>
        </w:rPr>
        <w:t>银行保险机构缩减对单个或全部关联方交易金额的比例要求，直至停止关联交易</w:t>
      </w:r>
      <w:r>
        <w:rPr>
          <w:rFonts w:hint="eastAsia" w:ascii="宋体" w:hAnsi="宋体" w:eastAsia="宋体" w:cs="宋体"/>
          <w:b w:val="0"/>
          <w:i w:val="0"/>
          <w:caps w:val="0"/>
          <w:color w:val="333333"/>
          <w:spacing w:val="0"/>
          <w:kern w:val="0"/>
          <w:sz w:val="28"/>
          <w:szCs w:val="28"/>
          <w:shd w:val="clear" w:fill="FEFEFE"/>
          <w:lang w:val="en-US" w:eastAsia="zh-CN" w:bidi="ar"/>
        </w:rPr>
        <w:t>；</w:t>
      </w:r>
    </w:p>
    <w:p w14:paraId="3DD4D7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（四）责令更换会计师事务所、专业评估机构、律师事务所等服务机构；</w:t>
      </w:r>
    </w:p>
    <w:p w14:paraId="3C59BE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（五）银保监会或其派出机构可依法采取的其他措施。</w:t>
      </w:r>
    </w:p>
    <w:p w14:paraId="7B9B64E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第三十五条 银行保险机构董事、监事、高级管理人员或其他有关从业人员违反本办法规定的，银保监会或其派出机构可以对相关责任人员采取以下措施：</w:t>
      </w:r>
    </w:p>
    <w:p w14:paraId="26A6C79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（一）责令改正；</w:t>
      </w:r>
    </w:p>
    <w:p w14:paraId="65D2433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（二）记入履职记录并进行行业通报；</w:t>
      </w:r>
    </w:p>
    <w:p w14:paraId="703396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（三）责令银行保险机构予以问责；</w:t>
      </w:r>
    </w:p>
    <w:p w14:paraId="69D672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（四）银保监会或其派出机构可依法采取的其他措施。</w:t>
      </w:r>
    </w:p>
    <w:p w14:paraId="0F990D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64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银行保险机构的关联方违反本办法规定的，银保监会或其派出机构可以采取公开谴责等措施。</w:t>
      </w:r>
    </w:p>
    <w:p w14:paraId="6DC484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第三十六条 持有银行保险机构5%以上股权的股东质押股权数量超过其持有该银行保险机构股权总量50%的，银保监会或其派出机构可以限制其与银行保险机构开展关联交易。</w:t>
      </w:r>
    </w:p>
    <w:p w14:paraId="0E0DDC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第四章 关联交易的内部管理</w:t>
      </w:r>
    </w:p>
    <w:p w14:paraId="401CD9E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第三十七条 银行保险机构应当制定关联交易管理制度。</w:t>
      </w:r>
    </w:p>
    <w:p w14:paraId="3339A30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关联交易管理制度包括关联交易的管理架构和相应职责分工，关联方的识别、报告、信息收集与管理，关联交易的定价、审查、回避、报告、披露、审计和责任追究等内容。</w:t>
      </w:r>
    </w:p>
    <w:p w14:paraId="4321C9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第三十八条 银行保险机构应对其控股子公司与银行保险机构关联方发生的关联交易事项进行管理，明确管理机制，加强风险管控。</w:t>
      </w:r>
    </w:p>
    <w:p w14:paraId="4984C18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第三十九条 银行保险机构董事会应当设立关联交易控制委员会，负责关联交易管理、审查和风险控制。银保监会对设立董事会下设专业委员会另有规定的，从其规定。</w:t>
      </w:r>
    </w:p>
    <w:p w14:paraId="21BCB93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董事会对关联交易管理承担最终责任，关联交易控制委员会、涉及业务部门、风险审批及合规审查的部门负责人对关联交易的合规性承担相应责任。</w:t>
      </w:r>
    </w:p>
    <w:p w14:paraId="5B0D5DC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关联交易控制委员会由三名以上董事组成，由独立董事担任负责人。关联交易控制委员会应重点关注关联交易的合规性、公允性和必要性。</w:t>
      </w:r>
    </w:p>
    <w:p w14:paraId="7A7E559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银行保险机构应当在管理层面设立跨部门的关联交易管理办公室，成员应当包括合规、业务、风控、财务等相关部门人员，并明确牵头部门、设置专岗，负责关联方识别维护、关联交易管理等日常事务。</w:t>
      </w:r>
    </w:p>
    <w:p w14:paraId="682D29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第四十条 银行保险机构应当建立关联方信息档案，确定重要分行、分公司标准或名单，明确具有大额授信、资产转移、保险资金运用等核心业务审批或决策权的人员范围。</w:t>
      </w:r>
    </w:p>
    <w:p w14:paraId="097507D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银行保险机构应当通过关联交易监管相关信息系统及时向银保监会或其派出机构报送关联方、重大关联交易、季度关联交易情况等信息，保证数据的真实性、准确性，不得瞒报、漏报。</w:t>
      </w:r>
    </w:p>
    <w:p w14:paraId="4E09310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银行保险机构应当提高关联方和关联交易管理的信息化和智能化水平，强化大数据管理能力。</w:t>
      </w:r>
    </w:p>
    <w:p w14:paraId="02E8304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第四十一条 银行保险机构董事、监事、高级管理人员及具有大额授信、资产转移、保险资金运用等核心业务审批或决策权的人员，应当自任职之日起15个工作日内，按本办法有关规定向银行保险机构报告其关联方情况。</w:t>
      </w:r>
    </w:p>
    <w:p w14:paraId="1010D1C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持有银行保险机构5%以上股权，或持股不足5%但是对银行保险机构经营管理有重大影响的自然人、法人或非法人组织，应当在</w:t>
      </w:r>
      <w:r>
        <w:rPr>
          <w:rFonts w:hint="eastAsia" w:ascii="宋体" w:hAnsi="宋体" w:eastAsia="宋体" w:cs="宋体"/>
          <w:i w:val="0"/>
          <w:caps w:val="0"/>
          <w:color w:val="333333"/>
          <w:spacing w:val="0"/>
          <w:kern w:val="0"/>
          <w:sz w:val="28"/>
          <w:szCs w:val="28"/>
          <w:shd w:val="clear" w:fill="FEFEFE"/>
          <w:lang w:val="en-US" w:eastAsia="zh-CN" w:bidi="ar"/>
        </w:rPr>
        <w:t>持股达到5%之日或能够施加重大影响之日起</w:t>
      </w:r>
      <w:r>
        <w:rPr>
          <w:rFonts w:hint="eastAsia" w:ascii="宋体" w:hAnsi="宋体" w:eastAsia="宋体" w:cs="宋体"/>
          <w:b w:val="0"/>
          <w:i w:val="0"/>
          <w:caps w:val="0"/>
          <w:color w:val="333333"/>
          <w:spacing w:val="0"/>
          <w:kern w:val="0"/>
          <w:sz w:val="28"/>
          <w:szCs w:val="28"/>
          <w:shd w:val="clear" w:fill="FEFEFE"/>
          <w:lang w:val="en-US" w:eastAsia="zh-CN" w:bidi="ar"/>
        </w:rPr>
        <w:t>15个工作日内，按本办法有关规定向银行保险机构报告其关联方情况。</w:t>
      </w:r>
    </w:p>
    <w:p w14:paraId="53E5BC7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前款报告事项如发生变动，应当在变动后的15个工作日内向银行保险机构报告并更新关联方情况。</w:t>
      </w:r>
    </w:p>
    <w:p w14:paraId="009F360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第四十二条 银行保险机构关联方不得通过隐瞒关联关系等不当手段规避关联交易的内部审查、外部监管以及报告披露义务。</w:t>
      </w:r>
    </w:p>
    <w:p w14:paraId="5C00E5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第四十三条 银行保险机构应当主动穿透识别关联交易，动态监测交易资金来源和流向，及时掌握基础资产状况，动态评估对风险暴露和资本占用的影响程度，建立有效的关联交易风险控制机制，及时调整经营行为以符合本办法的有关规定。</w:t>
      </w:r>
    </w:p>
    <w:p w14:paraId="1CD03E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第四十四条 关联交易应当订立书面协议，按照商业原则，以不优于对非关联方同类交易的条件进行。必要时关联交易控制委员会可以聘请财务顾问等独立第三方出具报告，作为判断的依据。</w:t>
      </w:r>
    </w:p>
    <w:p w14:paraId="6761B64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第四十五条 银行保险机构应当完善关联交易内控机制，优化关联交易管理流程，关键环节的审查意见以及关联交易控制委员会等会议决议、记录应当清晰可查。</w:t>
      </w:r>
    </w:p>
    <w:p w14:paraId="4C3307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般关联交易按照公司内部管理制度和授权程序审查，报关联交易控制委员会备案。重大关联交易经由关联交易控制委员会审查后，提交董事会批准。董事会会议所作决议须经非关联董事2/3以上通过。出席董事会会议的非关联董事人数不足三人的，应当提交股东（大）会审议。</w:t>
      </w:r>
    </w:p>
    <w:p w14:paraId="20930B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第四十六条 银行保险机构关联交易控制委员会、董事会及股东（大）会对关联交易进行表决或决策时，与该关联交易有利害关系的人员应当回避。</w:t>
      </w:r>
    </w:p>
    <w:p w14:paraId="67D642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如银行保险机构未设立股东（大）会，或者因回避原则而无法召开股东（大）会的，仍由董事会审议且不适用本条第一款关于回避的规定，但关联董事应出具不存在利益输送的声明。</w:t>
      </w:r>
    </w:p>
    <w:p w14:paraId="57484AA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第四十七条 银行保险机构与同一关联方之间长期持续发生的，需要反复签订交易协议的提供服务类、保险业务类及其他经银保监会认可的关联交易，可以签订统一交易协议，协议期限一般不超过三年。</w:t>
      </w:r>
    </w:p>
    <w:p w14:paraId="557B51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第四十八条 </w:t>
      </w:r>
      <w:r>
        <w:rPr>
          <w:rFonts w:hint="eastAsia" w:ascii="宋体" w:hAnsi="宋体" w:eastAsia="宋体" w:cs="宋体"/>
          <w:i w:val="0"/>
          <w:caps w:val="0"/>
          <w:color w:val="000000"/>
          <w:spacing w:val="0"/>
          <w:kern w:val="0"/>
          <w:sz w:val="28"/>
          <w:szCs w:val="28"/>
          <w:shd w:val="clear" w:fill="FEFEFE"/>
          <w:lang w:val="en-US" w:eastAsia="zh-CN" w:bidi="ar"/>
        </w:rPr>
        <w:t>统一交易协议的签订、续签、实质性变更，应按照重大关联交易进行内部审查、报告和信息披露。统一交易协议下发生的关联交易无需逐笔进行审查、报告和披露，但应当在季度报告中说明执行情况。统一交易协议应当明确或预估关联交易金额。</w:t>
      </w:r>
    </w:p>
    <w:p w14:paraId="5F6A51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第四十九条 独立董事应当逐笔对重大关联交易的公允性、合规性以及内部审批程序履行情况发表书面意见。独立董事认为有必要的，可以聘请中介机构等独立第三方提供意见，费用由银行保险机构承担。</w:t>
      </w:r>
    </w:p>
    <w:p w14:paraId="3E8FDF3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第五十条 对于未按照规定报告关联方、违规开展关联交易等情形，银行保险机构应当按照内部问责制度对相关人员进行问责，并将问责情况报关联交易控制委员会。</w:t>
      </w:r>
    </w:p>
    <w:p w14:paraId="795AC8B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第五十一条 银行保险机构应当每年至少对关联交易进行一次专项审计，并将审计结果报董事会和监事会。</w:t>
      </w:r>
    </w:p>
    <w:p w14:paraId="65398C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银行保险机构不得聘用关联方控制的会计师事务所、专业评估机构、律师事务所为其提供审计、评估等服务。</w:t>
      </w:r>
    </w:p>
    <w:p w14:paraId="00CEFE6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第五章  关联交易的报告和披露 </w:t>
      </w:r>
    </w:p>
    <w:p w14:paraId="1440182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第五十二条 银行保险机构及其关联方应当按照本办法有关规定，真实、准确、完整、及时地报告、披露关联交易信息，不得存在任何虚假记载、误导性陈述或重大遗漏。</w:t>
      </w:r>
    </w:p>
    <w:p w14:paraId="717C910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第五十三条 银行保险机构应当在签订以下交易协议后15个工作日内逐笔向银保监会或其派出机构报告：</w:t>
      </w:r>
    </w:p>
    <w:p w14:paraId="0F06F3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（一）重大关联交易；</w:t>
      </w:r>
    </w:p>
    <w:p w14:paraId="59FC742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（二）统一交易协议的签订、续签或实质性变更；</w:t>
      </w:r>
    </w:p>
    <w:p w14:paraId="398BC8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（三）银保监会要求报告的其他交易。</w:t>
      </w:r>
    </w:p>
    <w:p w14:paraId="77C0080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信托公司关联交易逐笔报告另有规定的，从其规定。</w:t>
      </w:r>
    </w:p>
    <w:p w14:paraId="3C93FA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第五十四条 </w:t>
      </w:r>
      <w:r>
        <w:rPr>
          <w:rFonts w:hint="eastAsia" w:ascii="宋体" w:hAnsi="宋体" w:eastAsia="宋体" w:cs="宋体"/>
          <w:i w:val="0"/>
          <w:caps w:val="0"/>
          <w:color w:val="333333"/>
          <w:spacing w:val="0"/>
          <w:kern w:val="0"/>
          <w:sz w:val="28"/>
          <w:szCs w:val="28"/>
          <w:shd w:val="clear" w:fill="FEFEFE"/>
          <w:lang w:val="en-US" w:eastAsia="zh-CN" w:bidi="ar"/>
        </w:rPr>
        <w:t>银行保险机构应当</w:t>
      </w:r>
      <w:r>
        <w:rPr>
          <w:rFonts w:hint="eastAsia" w:ascii="宋体" w:hAnsi="宋体" w:eastAsia="宋体" w:cs="宋体"/>
          <w:b w:val="0"/>
          <w:i w:val="0"/>
          <w:caps w:val="0"/>
          <w:color w:val="333333"/>
          <w:spacing w:val="0"/>
          <w:kern w:val="0"/>
          <w:sz w:val="28"/>
          <w:szCs w:val="28"/>
          <w:shd w:val="clear" w:fill="FEFEFE"/>
          <w:lang w:val="en-US" w:eastAsia="zh-CN" w:bidi="ar"/>
        </w:rPr>
        <w:t>按照本办法有关规定统计季度全部关联交易金额及比例，并于每季度结束后30日内通过关联交易监管相关信息系统向银保监会或其派出机构报送关联交易有关情况。</w:t>
      </w:r>
    </w:p>
    <w:p w14:paraId="38991E1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第五十五条 银行保险机构董事会应当每年向股东（大）会就关联交易整体情况做出专项报告，并向银保监会或其派出机构报送。</w:t>
      </w:r>
    </w:p>
    <w:p w14:paraId="730B444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第五十六条 </w:t>
      </w:r>
      <w:r>
        <w:rPr>
          <w:rFonts w:hint="eastAsia" w:ascii="宋体" w:hAnsi="宋体" w:eastAsia="宋体" w:cs="宋体"/>
          <w:i w:val="0"/>
          <w:caps w:val="0"/>
          <w:color w:val="333333"/>
          <w:spacing w:val="0"/>
          <w:kern w:val="0"/>
          <w:sz w:val="28"/>
          <w:szCs w:val="28"/>
          <w:shd w:val="clear" w:fill="FEFEFE"/>
          <w:lang w:val="en-US" w:eastAsia="zh-CN" w:bidi="ar"/>
        </w:rPr>
        <w:t>银行保险机构应当在</w:t>
      </w:r>
      <w:r>
        <w:rPr>
          <w:rFonts w:hint="eastAsia" w:ascii="宋体" w:hAnsi="宋体" w:eastAsia="宋体" w:cs="宋体"/>
          <w:b w:val="0"/>
          <w:i w:val="0"/>
          <w:caps w:val="0"/>
          <w:color w:val="333333"/>
          <w:spacing w:val="0"/>
          <w:kern w:val="0"/>
          <w:sz w:val="28"/>
          <w:szCs w:val="28"/>
          <w:shd w:val="clear" w:fill="FEFEFE"/>
          <w:lang w:val="en-US" w:eastAsia="zh-CN" w:bidi="ar"/>
        </w:rPr>
        <w:t>公司网站中</w:t>
      </w:r>
      <w:r>
        <w:rPr>
          <w:rFonts w:hint="eastAsia" w:ascii="宋体" w:hAnsi="宋体" w:eastAsia="宋体" w:cs="宋体"/>
          <w:i w:val="0"/>
          <w:caps w:val="0"/>
          <w:color w:val="333333"/>
          <w:spacing w:val="0"/>
          <w:kern w:val="0"/>
          <w:sz w:val="28"/>
          <w:szCs w:val="28"/>
          <w:shd w:val="clear" w:fill="FEFEFE"/>
          <w:lang w:val="en-US" w:eastAsia="zh-CN" w:bidi="ar"/>
        </w:rPr>
        <w:t>披露关联交易信息，</w:t>
      </w:r>
      <w:r>
        <w:rPr>
          <w:rFonts w:hint="eastAsia" w:ascii="宋体" w:hAnsi="宋体" w:eastAsia="宋体" w:cs="宋体"/>
          <w:b w:val="0"/>
          <w:i w:val="0"/>
          <w:caps w:val="0"/>
          <w:color w:val="333333"/>
          <w:spacing w:val="0"/>
          <w:kern w:val="0"/>
          <w:sz w:val="28"/>
          <w:szCs w:val="28"/>
          <w:shd w:val="clear" w:fill="FEFEFE"/>
          <w:lang w:val="en-US" w:eastAsia="zh-CN" w:bidi="ar"/>
        </w:rPr>
        <w:t>在公司年报中披露当年关联交易的总体情况</w:t>
      </w:r>
      <w:r>
        <w:rPr>
          <w:rFonts w:hint="eastAsia" w:ascii="宋体" w:hAnsi="宋体" w:eastAsia="宋体" w:cs="宋体"/>
          <w:i w:val="0"/>
          <w:caps w:val="0"/>
          <w:color w:val="333333"/>
          <w:spacing w:val="0"/>
          <w:kern w:val="0"/>
          <w:sz w:val="28"/>
          <w:szCs w:val="28"/>
          <w:shd w:val="clear" w:fill="FEFEFE"/>
          <w:lang w:val="en-US" w:eastAsia="zh-CN" w:bidi="ar"/>
        </w:rPr>
        <w:t>。按照本办法第五十三条规定</w:t>
      </w:r>
      <w:r>
        <w:rPr>
          <w:rFonts w:hint="eastAsia" w:ascii="宋体" w:hAnsi="宋体" w:eastAsia="宋体" w:cs="宋体"/>
          <w:b w:val="0"/>
          <w:i w:val="0"/>
          <w:caps w:val="0"/>
          <w:color w:val="333333"/>
          <w:spacing w:val="0"/>
          <w:kern w:val="0"/>
          <w:sz w:val="28"/>
          <w:szCs w:val="28"/>
          <w:shd w:val="clear" w:fill="FEFEFE"/>
          <w:lang w:val="en-US" w:eastAsia="zh-CN" w:bidi="ar"/>
        </w:rPr>
        <w:t>需逐笔报告的关联交易应当在签订交易协议后15个工作日内逐笔披露，一般关联交易应在每季度结束后30日内按交易类型合并披露</w:t>
      </w:r>
      <w:r>
        <w:rPr>
          <w:rFonts w:hint="eastAsia" w:ascii="宋体" w:hAnsi="宋体" w:eastAsia="宋体" w:cs="宋体"/>
          <w:i w:val="0"/>
          <w:caps w:val="0"/>
          <w:color w:val="333333"/>
          <w:spacing w:val="0"/>
          <w:kern w:val="0"/>
          <w:sz w:val="28"/>
          <w:szCs w:val="28"/>
          <w:shd w:val="clear" w:fill="FEFEFE"/>
          <w:lang w:val="en-US" w:eastAsia="zh-CN" w:bidi="ar"/>
        </w:rPr>
        <w:t>。</w:t>
      </w:r>
    </w:p>
    <w:p w14:paraId="63779BF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逐笔披露内容包括：</w:t>
      </w:r>
    </w:p>
    <w:p w14:paraId="51DEBD5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（一）关联交易概述及交易标的情况。 </w:t>
      </w:r>
    </w:p>
    <w:p w14:paraId="0ECD6E1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（二）交易对手情况。包括关联自然人基本情况，关联法人或非法人组织的名称、经济性质或类型、主营业务或经营范围、法定代表人、注册地、注册资本及其变化，与银行保险机构存在的关联关系。</w:t>
      </w:r>
    </w:p>
    <w:p w14:paraId="50B801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（三）定价政策。</w:t>
      </w:r>
    </w:p>
    <w:p w14:paraId="53065DA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（四）关联交易金额及相应比例。</w:t>
      </w:r>
    </w:p>
    <w:p w14:paraId="5A1D4A5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（五）股东（大）会、董事会决议，关联交易控制委员会的意见或决议情况。</w:t>
      </w:r>
    </w:p>
    <w:p w14:paraId="24735F6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（六）独立董事发表意见情况。</w:t>
      </w:r>
    </w:p>
    <w:p w14:paraId="43B153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（七）银保监会认为需要披露的其他事项。</w:t>
      </w:r>
    </w:p>
    <w:p w14:paraId="7D728F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合并披露内容应当包括关联交易类型、交易金额及相应监管比例执行情况。</w:t>
      </w:r>
    </w:p>
    <w:p w14:paraId="6C0EE6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第五十七条 银行保险机构进行的下列关联交易，可以免予按照关联交易的方式进行审议和披露：</w:t>
      </w:r>
    </w:p>
    <w:p w14:paraId="5D58083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（一）与关联自然人单笔交易额在50万元以下或与关联法人单笔交易额在500万元以下的关联交易，且交易后累计未达到重大关联交易标准的；</w:t>
      </w:r>
    </w:p>
    <w:p w14:paraId="4D3547C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（二）一方以现金认购另一方公开发行的股票、公司债券或企业债券、可转换债券或其他衍生品种；</w:t>
      </w:r>
    </w:p>
    <w:p w14:paraId="441972A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（三）活期存款业务；</w:t>
      </w:r>
    </w:p>
    <w:p w14:paraId="3D4EE19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（四）同一自然人同时担任银行保险机构和其他法人的独立董事且不存在其他构成关联方情形的，该法人与银行保险机构进行的交易；</w:t>
      </w:r>
    </w:p>
    <w:p w14:paraId="1D9B6F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（五）交易的定价为国家规定的；</w:t>
      </w:r>
    </w:p>
    <w:p w14:paraId="3ACDCEF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（六）银保监会认可的其他情形。</w:t>
      </w:r>
    </w:p>
    <w:p w14:paraId="1136C72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第五十八条 银行保险机构关联交易信息涉及国家秘密、商业秘密或者银保监会认可的其他情形，银行保险机构可以向银保监会申请豁免按照本办法披露或履行相关义务。</w:t>
      </w:r>
    </w:p>
    <w:p w14:paraId="25FE4E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第六章  关联交易的监督管理</w:t>
      </w:r>
    </w:p>
    <w:p w14:paraId="27D515E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第五十九条 银行机构、信托公司、其他非银行金融机构的股东或其控股股东、实际控制人，通过向机构施加影响，迫使机构从事下列行为的，银保监会或其派出机构应当责令限期改正；逾期未改正的，可以限制该股东的权利；对情节严重的控股股东，可以责令其转让股权。</w:t>
      </w:r>
    </w:p>
    <w:p w14:paraId="538096E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（一）违反本办法第二十七条规定进行关联交易的；</w:t>
      </w:r>
    </w:p>
    <w:p w14:paraId="256D4B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（二）未按本办法第四十四条规定的商业原则进行关联交易的；</w:t>
      </w:r>
    </w:p>
    <w:p w14:paraId="4AD4321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（三）未按本办法第四十五条规定审查关联交易的；</w:t>
      </w:r>
    </w:p>
    <w:p w14:paraId="4508EA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（四）违反本办法规定为关联方融资行为提供担保的；</w:t>
      </w:r>
    </w:p>
    <w:p w14:paraId="1A6C49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（五）接受本公司的股权作为质押提供授信的；</w:t>
      </w:r>
    </w:p>
    <w:p w14:paraId="37CD67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（六）聘用关联方控制的会计师事务所等为其提供服务的；</w:t>
      </w:r>
    </w:p>
    <w:p w14:paraId="36813DD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（七）对关联方授信余额或融资余额等超过本办法规定比例的；</w:t>
      </w:r>
    </w:p>
    <w:p w14:paraId="5D7FA1B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（八）未按照本办法规定披露信息的。</w:t>
      </w:r>
    </w:p>
    <w:p w14:paraId="57F7235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第六十条 银行机构、信托公司、其他非银行金融机构董事、高级管理人员有下列情形之一的，银保监会或其派出机构可以责令其限期改正；逾期未改正或者情节严重的，银保监会或其派出机构可以责令机构调整董事、高级管理人员或者限制其权利。</w:t>
      </w:r>
    </w:p>
    <w:p w14:paraId="031E25B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（一）未按本办法第四十一条规定报告的；</w:t>
      </w:r>
    </w:p>
    <w:p w14:paraId="5B921AA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（二）做出虚假或有重大遗漏报告的；</w:t>
      </w:r>
    </w:p>
    <w:p w14:paraId="6D2CE7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（三）未按本办法第四十六条规定回避的；</w:t>
      </w:r>
    </w:p>
    <w:p w14:paraId="7E656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（四）独立董事未按本办法第四十九条规定发表书面意见的。</w:t>
      </w:r>
    </w:p>
    <w:p w14:paraId="234343B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第六十一条 银行机构、信托公司、其他非银行金融机构有下列情形之一的，</w:t>
      </w:r>
      <w:r>
        <w:rPr>
          <w:rFonts w:hint="eastAsia" w:ascii="宋体" w:hAnsi="宋体" w:eastAsia="宋体" w:cs="宋体"/>
          <w:i w:val="0"/>
          <w:caps w:val="0"/>
          <w:color w:val="333333"/>
          <w:spacing w:val="0"/>
          <w:kern w:val="0"/>
          <w:sz w:val="28"/>
          <w:szCs w:val="28"/>
          <w:shd w:val="clear" w:fill="FEFEFE"/>
          <w:lang w:val="en-US" w:eastAsia="zh-CN" w:bidi="ar"/>
        </w:rPr>
        <w:t>银保监会或其派出机构可依照法律法规采取相关监管措施或进行处罚</w:t>
      </w:r>
      <w:r>
        <w:rPr>
          <w:rFonts w:hint="eastAsia" w:ascii="宋体" w:hAnsi="宋体" w:eastAsia="宋体" w:cs="宋体"/>
          <w:b w:val="0"/>
          <w:i w:val="0"/>
          <w:caps w:val="0"/>
          <w:color w:val="333333"/>
          <w:spacing w:val="0"/>
          <w:kern w:val="0"/>
          <w:sz w:val="28"/>
          <w:szCs w:val="28"/>
          <w:shd w:val="clear" w:fill="FEFEFE"/>
          <w:lang w:val="en-US" w:eastAsia="zh-CN" w:bidi="ar"/>
        </w:rPr>
        <w:t>：</w:t>
      </w:r>
    </w:p>
    <w:p w14:paraId="2F401C8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（一）违反本办法第二十七条规定进行关联交易的；</w:t>
      </w:r>
    </w:p>
    <w:p w14:paraId="2793948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（二）未按本办法第四十四条规定的商业原则进行关联交易的；</w:t>
      </w:r>
    </w:p>
    <w:p w14:paraId="3699B8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（三）未按本办法第四十五条规定审查关联交易的；</w:t>
      </w:r>
    </w:p>
    <w:p w14:paraId="5D43C85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（四）违反本办法规定为关联方融资行为提供担保的</w:t>
      </w:r>
      <w:r>
        <w:rPr>
          <w:rFonts w:hint="eastAsia" w:ascii="宋体" w:hAnsi="宋体" w:eastAsia="宋体" w:cs="宋体"/>
          <w:i w:val="0"/>
          <w:caps w:val="0"/>
          <w:color w:val="333333"/>
          <w:spacing w:val="0"/>
          <w:kern w:val="0"/>
          <w:sz w:val="28"/>
          <w:szCs w:val="28"/>
          <w:shd w:val="clear" w:fill="FEFEFE"/>
          <w:lang w:val="en-US" w:eastAsia="zh-CN" w:bidi="ar"/>
        </w:rPr>
        <w:t>；</w:t>
      </w:r>
    </w:p>
    <w:p w14:paraId="3954673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（五）接受本行的股权作为质押提供授信的；</w:t>
      </w:r>
    </w:p>
    <w:p w14:paraId="4EB3C70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（六）聘用关联方控制的会计师事务所等为其提供服务的；</w:t>
      </w:r>
    </w:p>
    <w:p w14:paraId="76DC232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（七）对关联方授信余额或融资余额等超过本办法规定比例的；</w:t>
      </w:r>
    </w:p>
    <w:p w14:paraId="221F130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（八）未按照本办法规定披露信息的；</w:t>
      </w:r>
    </w:p>
    <w:p w14:paraId="1CA0755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（九）未按要求执行本办法第五十九条和第六十条规定的监督管理措施的；</w:t>
      </w:r>
    </w:p>
    <w:p w14:paraId="25485C9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（十）其他违反本办法规定的情形。</w:t>
      </w:r>
    </w:p>
    <w:p w14:paraId="0D21E57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第六十二条 银行机构、信托公司、其他非银行金融机构未按照本办法规定向银保监会或其派出机构报告重大关联交易或报送关联交易情况报告的，</w:t>
      </w:r>
      <w:r>
        <w:rPr>
          <w:rFonts w:hint="eastAsia" w:ascii="宋体" w:hAnsi="宋体" w:eastAsia="宋体" w:cs="宋体"/>
          <w:i w:val="0"/>
          <w:caps w:val="0"/>
          <w:color w:val="333333"/>
          <w:spacing w:val="0"/>
          <w:kern w:val="0"/>
          <w:sz w:val="28"/>
          <w:szCs w:val="28"/>
          <w:shd w:val="clear" w:fill="FEFEFE"/>
          <w:lang w:val="en-US" w:eastAsia="zh-CN" w:bidi="ar"/>
        </w:rPr>
        <w:t>银保监会或其派出机构可依照法律法规采取相关监管措施或进行处罚。</w:t>
      </w:r>
    </w:p>
    <w:p w14:paraId="681FCDE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left"/>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第六十三条 银行机构、信托公司、其他非银行金融机构有本办法第六十一条所列情形之一的，银保监会或其派出机构可以区别不同情形，依据《中华人民共和国银行业监督管理法》等法律法规对董事、高级管理人员和其他直接责任人员采取相应处罚措施。</w:t>
      </w:r>
    </w:p>
    <w:p w14:paraId="3E872FC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sz w:val="28"/>
          <w:szCs w:val="28"/>
          <w:shd w:val="clear" w:fill="FEFEFE"/>
        </w:rPr>
        <w:t>第六十四条 保险机构及其股东、控股股东，保险机构的董事、监事或高级管理人员违反本办法相关规定的，银保监会或其派出机构可依照法律法规采取相关监管措施或进行处罚。涉嫌犯罪的，依法移送司法机关追究刑事责任。</w:t>
      </w:r>
    </w:p>
    <w:p w14:paraId="694FEC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center"/>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第七章 附 则</w:t>
      </w:r>
    </w:p>
    <w:p w14:paraId="4CBF0CD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第六十五条 本办法中下列用语的含义：</w:t>
      </w:r>
    </w:p>
    <w:p w14:paraId="6B72376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本办法所称“以上”含本数，“以下”不含本数。年度为会计年度。</w:t>
      </w:r>
    </w:p>
    <w:p w14:paraId="5169ABD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控制，包括直接控制、间接控制，是指有权决定一个企业的财务和经营决策，并能据以从该企业的经营活动中获取利益。</w:t>
      </w:r>
    </w:p>
    <w:p w14:paraId="34F33FE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持有，包括直接持有与间接持有。</w:t>
      </w:r>
    </w:p>
    <w:p w14:paraId="44F1F41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重大影响，是指对法人或组织的财务和经营政策有参与决策的权力，但不能够控制或者与其他方共同控制这些政策的制定。包括但不限于派驻董事、监事或高级管理人员、通过协议或其他方式影响法人或组织的财务和经营管理决策，以及银保监会或其派出机构认定的其他情形。</w:t>
      </w:r>
    </w:p>
    <w:p w14:paraId="4ACA86C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共同控制，指按照合同约定对某项经济活动所共有的控制，仅在与该项经济活动相关的重要财务和经营决策需要分享控制权的投资方一致同意时存在。</w:t>
      </w:r>
    </w:p>
    <w:p w14:paraId="54971C2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控股股东，是指持股比例达到50%以上的股东；或持股比例虽不足50%，但依享有的表决权已足以对股东（大）会的决议产生控制性影响的股东。</w:t>
      </w:r>
    </w:p>
    <w:p w14:paraId="25EC99A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控股子公司，是指对该子公司的持股比例达到50%以上；或者持股比例虽不足50%，但通过表决权、协议等安排能够对其施加控制性影响。控股子公司包括直接、间接或共同控制的子公司或非法人组织。</w:t>
      </w:r>
    </w:p>
    <w:p w14:paraId="69FD617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实际控制人，是指虽不是公司的股东，但通过投资关系、协议或者其他安排，能够实际支配公司行为的自然人或其他最终控制人。</w:t>
      </w:r>
    </w:p>
    <w:p w14:paraId="7155979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集团客户，是指存在控制关系的一组企事业法人客户或同业单一客户。</w:t>
      </w:r>
    </w:p>
    <w:p w14:paraId="1198523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一致行动人，是指通过协议、合作或其他途径，在行使表决权或参与其他经济活动时采取相同意思表示的自然人、法人或非法人组织。</w:t>
      </w:r>
    </w:p>
    <w:p w14:paraId="4234495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最终受益人，是指实际享有银行保险机构股权收益、金融产品收益的人。</w:t>
      </w:r>
    </w:p>
    <w:p w14:paraId="45A896D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其他关系密切的家庭成员，是指除配偶、父母、成年子女及兄弟姐妹以外的包括配偶的父母、子女的配偶、兄弟姐妹的配偶、配偶的兄弟姐妹以及其他可能产生利益转移的家庭成员。</w:t>
      </w:r>
    </w:p>
    <w:p w14:paraId="3B0FDB4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内部工作人员，是指与银行保险机构签订劳动合同的人员。</w:t>
      </w:r>
    </w:p>
    <w:p w14:paraId="44C75C6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关联关系，是指银行保险机构控股股东、实际控制人、董事、监事、高级管理人员等与其直接或者间接控制的企业之间的关系，以及可能导致利益转移的其他关系。</w:t>
      </w:r>
    </w:p>
    <w:p w14:paraId="76CB1DE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关联董事、关联股东，是指交易的一方，或者在审议关联交易时可能影响该交易公允性的董事、股东。</w:t>
      </w:r>
    </w:p>
    <w:p w14:paraId="3BA705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书面协议的书面形式包括合同书、信件和数据电文（包括电报、电传、传真、电子数据交换和电子邮件）等法律认可的有形的表现所载内容的形式。</w:t>
      </w:r>
    </w:p>
    <w:p w14:paraId="624C75D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本办法所称关联法人或非法人组织不包括国家行政机关、政府部门，</w:t>
      </w:r>
      <w:r>
        <w:rPr>
          <w:rFonts w:hint="eastAsia" w:ascii="宋体" w:hAnsi="宋体" w:eastAsia="宋体" w:cs="宋体"/>
          <w:i w:val="0"/>
          <w:caps w:val="0"/>
          <w:color w:val="000000"/>
          <w:spacing w:val="0"/>
          <w:kern w:val="0"/>
          <w:sz w:val="28"/>
          <w:szCs w:val="28"/>
          <w:shd w:val="clear" w:fill="FEFEFE"/>
          <w:lang w:val="en-US" w:eastAsia="zh-CN" w:bidi="ar"/>
        </w:rPr>
        <w:t>中央</w:t>
      </w:r>
      <w:r>
        <w:rPr>
          <w:rFonts w:hint="eastAsia" w:ascii="宋体" w:hAnsi="宋体" w:eastAsia="宋体" w:cs="宋体"/>
          <w:i w:val="0"/>
          <w:caps w:val="0"/>
          <w:color w:val="333333"/>
          <w:spacing w:val="0"/>
          <w:kern w:val="0"/>
          <w:sz w:val="28"/>
          <w:szCs w:val="28"/>
          <w:shd w:val="clear" w:fill="FEFEFE"/>
          <w:lang w:val="en-US" w:eastAsia="zh-CN" w:bidi="ar"/>
        </w:rPr>
        <w:t>汇金投资有限责任公司</w:t>
      </w:r>
      <w:r>
        <w:rPr>
          <w:rFonts w:hint="eastAsia" w:ascii="宋体" w:hAnsi="宋体" w:eastAsia="宋体" w:cs="宋体"/>
          <w:b w:val="0"/>
          <w:i w:val="0"/>
          <w:caps w:val="0"/>
          <w:color w:val="333333"/>
          <w:spacing w:val="0"/>
          <w:kern w:val="0"/>
          <w:sz w:val="28"/>
          <w:szCs w:val="28"/>
          <w:shd w:val="clear" w:fill="FEFEFE"/>
          <w:lang w:val="en-US" w:eastAsia="zh-CN" w:bidi="ar"/>
        </w:rPr>
        <w:t>，全国社保基金理事会，梧桐树投资平台有限责任公司，存款保险基金管理有限责任公司，以及</w:t>
      </w:r>
      <w:r>
        <w:rPr>
          <w:rFonts w:hint="eastAsia" w:ascii="宋体" w:hAnsi="宋体" w:eastAsia="宋体" w:cs="宋体"/>
          <w:i w:val="0"/>
          <w:caps w:val="0"/>
          <w:color w:val="000000"/>
          <w:spacing w:val="0"/>
          <w:kern w:val="0"/>
          <w:sz w:val="28"/>
          <w:szCs w:val="28"/>
          <w:shd w:val="clear" w:fill="FEFEFE"/>
          <w:lang w:val="en-US" w:eastAsia="zh-CN" w:bidi="ar"/>
        </w:rPr>
        <w:t>经银保监会批准豁免认定的关联方。上述机构派出同一自然人同时担任两家或以上银行保险机构董事或监事，且不存在其他关联关系的，所任职机构之间不构成关联方</w:t>
      </w:r>
      <w:r>
        <w:rPr>
          <w:rFonts w:hint="eastAsia" w:ascii="宋体" w:hAnsi="宋体" w:eastAsia="宋体" w:cs="宋体"/>
          <w:b w:val="0"/>
          <w:i w:val="0"/>
          <w:caps w:val="0"/>
          <w:color w:val="333333"/>
          <w:spacing w:val="0"/>
          <w:kern w:val="0"/>
          <w:sz w:val="28"/>
          <w:szCs w:val="28"/>
          <w:shd w:val="clear" w:fill="FEFEFE"/>
          <w:lang w:val="en-US" w:eastAsia="zh-CN" w:bidi="ar"/>
        </w:rPr>
        <w:t>。</w:t>
      </w:r>
    </w:p>
    <w:p w14:paraId="12D917B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国家控股的企业之间不仅因为同受国家控股而构成关联方。</w:t>
      </w:r>
    </w:p>
    <w:p w14:paraId="4EDDD14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 xml:space="preserve">第六十六条 </w:t>
      </w:r>
      <w:r>
        <w:rPr>
          <w:rFonts w:hint="eastAsia" w:ascii="宋体" w:hAnsi="宋体" w:eastAsia="宋体" w:cs="宋体"/>
          <w:i w:val="0"/>
          <w:caps w:val="0"/>
          <w:color w:val="333333"/>
          <w:spacing w:val="0"/>
          <w:kern w:val="0"/>
          <w:sz w:val="28"/>
          <w:szCs w:val="28"/>
          <w:shd w:val="clear" w:fill="FEFEFE"/>
          <w:lang w:val="en-US" w:eastAsia="zh-CN" w:bidi="ar"/>
        </w:rPr>
        <w:t>银保监会批准设立的外国银行分行、其他金融机构</w:t>
      </w:r>
      <w:r>
        <w:rPr>
          <w:rFonts w:hint="eastAsia" w:ascii="宋体" w:hAnsi="宋体" w:eastAsia="宋体" w:cs="宋体"/>
          <w:b w:val="0"/>
          <w:i w:val="0"/>
          <w:caps w:val="0"/>
          <w:color w:val="333333"/>
          <w:spacing w:val="0"/>
          <w:kern w:val="0"/>
          <w:sz w:val="28"/>
          <w:szCs w:val="28"/>
          <w:shd w:val="clear" w:fill="FEFEFE"/>
          <w:lang w:val="en-US" w:eastAsia="zh-CN" w:bidi="ar"/>
        </w:rPr>
        <w:t>参照</w:t>
      </w:r>
      <w:r>
        <w:rPr>
          <w:rFonts w:hint="eastAsia" w:ascii="宋体" w:hAnsi="宋体" w:eastAsia="宋体" w:cs="宋体"/>
          <w:i w:val="0"/>
          <w:caps w:val="0"/>
          <w:color w:val="333333"/>
          <w:spacing w:val="0"/>
          <w:kern w:val="0"/>
          <w:sz w:val="28"/>
          <w:szCs w:val="28"/>
          <w:shd w:val="clear" w:fill="FEFEFE"/>
          <w:lang w:val="en-US" w:eastAsia="zh-CN" w:bidi="ar"/>
        </w:rPr>
        <w:t>适用本办法，</w:t>
      </w:r>
      <w:r>
        <w:rPr>
          <w:rFonts w:hint="eastAsia" w:ascii="宋体" w:hAnsi="宋体" w:eastAsia="宋体" w:cs="宋体"/>
          <w:b w:val="0"/>
          <w:i w:val="0"/>
          <w:caps w:val="0"/>
          <w:color w:val="333333"/>
          <w:spacing w:val="0"/>
          <w:kern w:val="0"/>
          <w:sz w:val="28"/>
          <w:szCs w:val="28"/>
          <w:shd w:val="clear" w:fill="FEFEFE"/>
          <w:lang w:val="en-US" w:eastAsia="zh-CN" w:bidi="ar"/>
        </w:rPr>
        <w:t>法律、行政法规及银保监会另有规定的从其规定。</w:t>
      </w:r>
    </w:p>
    <w:p w14:paraId="73655D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i w:val="0"/>
          <w:caps w:val="0"/>
          <w:color w:val="333333"/>
          <w:spacing w:val="0"/>
          <w:kern w:val="0"/>
          <w:sz w:val="28"/>
          <w:szCs w:val="28"/>
          <w:shd w:val="clear" w:fill="FEFEFE"/>
          <w:lang w:val="en-US" w:eastAsia="zh-CN" w:bidi="ar"/>
        </w:rPr>
        <w:t>自保公司的自保业务、企业集团财务公司的成员单位业务不适用本办法。</w:t>
      </w:r>
    </w:p>
    <w:p w14:paraId="3DE00068">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银行保险机构为上市公司的，应同时遵守上市公司有关规定。</w:t>
      </w:r>
    </w:p>
    <w:p w14:paraId="788BE90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第六十七条 本办法由银保监会负责解释。</w:t>
      </w:r>
    </w:p>
    <w:p w14:paraId="795B749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20" w:lineRule="exact"/>
        <w:ind w:left="300" w:right="300" w:firstLine="720"/>
        <w:jc w:val="both"/>
        <w:textAlignment w:val="auto"/>
        <w:rPr>
          <w:rFonts w:hint="eastAsia" w:ascii="宋体" w:hAnsi="宋体" w:eastAsia="宋体" w:cs="宋体"/>
          <w:sz w:val="28"/>
          <w:szCs w:val="28"/>
        </w:rPr>
      </w:pPr>
      <w:r>
        <w:rPr>
          <w:rFonts w:hint="eastAsia" w:ascii="宋体" w:hAnsi="宋体" w:eastAsia="宋体" w:cs="宋体"/>
          <w:b w:val="0"/>
          <w:i w:val="0"/>
          <w:caps w:val="0"/>
          <w:color w:val="333333"/>
          <w:spacing w:val="0"/>
          <w:kern w:val="0"/>
          <w:sz w:val="28"/>
          <w:szCs w:val="28"/>
          <w:shd w:val="clear" w:fill="FEFEFE"/>
          <w:lang w:val="en-US" w:eastAsia="zh-CN" w:bidi="ar"/>
        </w:rPr>
        <w:t>第六十八条 本办法自2022年3月1日起施行。《商业银行与内部人和股东关联交易管理办法》（中国银行业监督管理委员会令2004年第3号）、《保险公司关联交易管理办法》（银保监发〔2019〕35号）同时废止。本办法施行前，银保监会有关银行保险机构关联交易管理的规定与本办法不一致的，按照本办法执行。</w:t>
      </w:r>
    </w:p>
    <w:p w14:paraId="2BBD006A">
      <w:pPr>
        <w:keepNext w:val="0"/>
        <w:keepLines w:val="0"/>
        <w:pageBreakBefore w:val="0"/>
        <w:kinsoku/>
        <w:wordWrap/>
        <w:overflowPunct/>
        <w:topLinePunct w:val="0"/>
        <w:autoSpaceDE/>
        <w:autoSpaceDN/>
        <w:bidi w:val="0"/>
        <w:adjustRightInd/>
        <w:snapToGrid/>
        <w:spacing w:line="520" w:lineRule="exact"/>
        <w:textAlignment w:val="auto"/>
        <w:rPr>
          <w:rFonts w:hint="eastAsia" w:ascii="宋体" w:hAnsi="宋体" w:eastAsia="宋体" w:cs="宋体"/>
          <w:sz w:val="28"/>
          <w:szCs w:val="28"/>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C278B"/>
    <w:rsid w:val="58AB273D"/>
    <w:rsid w:val="5A351F1E"/>
    <w:rsid w:val="6FE405D0"/>
    <w:rsid w:val="7BDC27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rPr>
      <w:sz w:val="24"/>
    </w:rPr>
  </w:style>
  <w:style w:type="character" w:styleId="5">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23</Pages>
  <Words>12171</Words>
  <Characters>12253</Characters>
  <Lines>0</Lines>
  <Paragraphs>0</Paragraphs>
  <TotalTime>96</TotalTime>
  <ScaleCrop>false</ScaleCrop>
  <LinksUpToDate>false</LinksUpToDate>
  <CharactersWithSpaces>12340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2022-01-14T08:30:00Z</dcterms:created>
  <dc:creator>佳信伟业</dc:creator>
  <cp:lastModifiedBy>黄磊</cp:lastModifiedBy>
  <dcterms:modified xsi:type="dcterms:W3CDTF">2025-12-27T03:54:38Z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eyJoZGlkIjoiMGMwYWZhYjVjZmQwMGQzN2UwZjA3MDM5NmUyOTg2MTMiLCJ1c2VySWQiOiIyMzA5NzU5NDYifQ==</vt:lpwstr>
  </property>
  <property fmtid="{D5CDD505-2E9C-101B-9397-08002B2CF9AE}" pid="4" name="ICV">
    <vt:lpwstr>45D09AF35CE4426C96BE1280614BB29D_12</vt:lpwstr>
  </property>
</Properties>
</file>