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兴银理财【稳利安盈封闭式】理财产品</w:t>
      </w:r>
    </w:p>
    <w:p>
      <w:pPr>
        <w:widowControl/>
        <w:spacing w:line="360" w:lineRule="auto"/>
        <w:jc w:val="center"/>
        <w:rPr>
          <w:b/>
          <w:szCs w:val="21"/>
        </w:rPr>
      </w:pPr>
      <w:r>
        <w:rPr>
          <w:rFonts w:hint="eastAsia" w:ascii="黑体" w:hAnsi="黑体" w:eastAsia="黑体"/>
          <w:b/>
          <w:sz w:val="44"/>
          <w:szCs w:val="44"/>
        </w:rPr>
        <w:t>销售文件</w:t>
      </w:r>
    </w:p>
    <w:tbl>
      <w:tblPr>
        <w:tblStyle w:val="8"/>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兴银理财【稳利安盈封闭式】理财产品产品说明书</w:t>
            </w:r>
          </w:p>
        </w:tc>
        <w:tc>
          <w:tcPr>
            <w:tcW w:w="1984" w:type="dxa"/>
          </w:tcPr>
          <w:p>
            <w:pPr>
              <w:pStyle w:val="12"/>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兴银理财【稳利安盈封闭式】理财产品（代理）销售协议书</w:t>
            </w:r>
          </w:p>
        </w:tc>
        <w:tc>
          <w:tcPr>
            <w:tcW w:w="1984"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12"/>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widowControl/>
        <w:snapToGrid w:val="0"/>
        <w:spacing w:line="360" w:lineRule="auto"/>
        <w:rPr>
          <w:rFonts w:ascii="黑体" w:hAnsi="黑体" w:eastAsia="黑体"/>
          <w:kern w:val="0"/>
          <w:szCs w:val="21"/>
        </w:rPr>
        <w:sectPr>
          <w:pgSz w:w="11906" w:h="16838"/>
          <w:pgMar w:top="1440" w:right="1800" w:bottom="1440" w:left="1800" w:header="567" w:footer="964" w:gutter="0"/>
          <w:pgNumType w:start="1"/>
          <w:cols w:space="720" w:num="1"/>
          <w:docGrid w:type="lines" w:linePitch="312" w:charSpace="0"/>
        </w:sectPr>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p>
    <w:p>
      <w:pPr>
        <w:tabs>
          <w:tab w:val="left" w:pos="6660"/>
        </w:tabs>
        <w:spacing w:line="360" w:lineRule="auto"/>
        <w:jc w:val="center"/>
        <w:rPr>
          <w:rFonts w:ascii="黑体" w:hAnsi="黑体" w:eastAsia="黑体"/>
          <w:kern w:val="0"/>
          <w:szCs w:val="21"/>
        </w:rPr>
      </w:pPr>
    </w:p>
    <w:p>
      <w:pPr>
        <w:tabs>
          <w:tab w:val="left" w:pos="6660"/>
        </w:tabs>
        <w:spacing w:line="360" w:lineRule="auto"/>
        <w:jc w:val="center"/>
        <w:rPr>
          <w:bCs/>
          <w:sz w:val="44"/>
        </w:rPr>
      </w:pP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兴银理财【稳利安盈封闭式】理财产品</w:t>
      </w: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协议编号：</w:t>
      </w: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10"/>
          <w:rFonts w:ascii="宋体" w:hAnsi="宋体"/>
          <w:sz w:val="28"/>
          <w:szCs w:val="28"/>
        </w:rPr>
      </w:pPr>
      <w:bookmarkStart w:id="0" w:name="_Toc139992301"/>
      <w:bookmarkStart w:id="1" w:name="_Toc123112263"/>
      <w:bookmarkStart w:id="2" w:name="_Toc123701383"/>
      <w:bookmarkStart w:id="3" w:name="_Toc139991726"/>
      <w:bookmarkStart w:id="4" w:name="_Toc123112224"/>
      <w:r>
        <w:rPr>
          <w:rStyle w:val="10"/>
          <w:rFonts w:hint="eastAsia" w:ascii="宋体" w:hAnsi="宋体"/>
          <w:sz w:val="28"/>
          <w:szCs w:val="28"/>
        </w:rPr>
        <w:t>理财产品管理人：</w:t>
      </w:r>
      <w:bookmarkEnd w:id="0"/>
      <w:bookmarkEnd w:id="1"/>
      <w:bookmarkEnd w:id="2"/>
      <w:bookmarkEnd w:id="3"/>
      <w:bookmarkEnd w:id="4"/>
      <w:r>
        <w:rPr>
          <w:rStyle w:val="10"/>
          <w:rFonts w:hint="eastAsia" w:ascii="宋体" w:hAnsi="宋体"/>
          <w:sz w:val="28"/>
          <w:szCs w:val="28"/>
        </w:rPr>
        <w:t>兴银理财有限责任公司</w:t>
      </w:r>
    </w:p>
    <w:p>
      <w:pPr>
        <w:adjustRightInd w:val="0"/>
        <w:spacing w:line="360" w:lineRule="auto"/>
        <w:jc w:val="center"/>
        <w:rPr>
          <w:rStyle w:val="10"/>
          <w:rFonts w:ascii="黑体" w:hAnsi="黑体" w:eastAsia="黑体" w:cs="宋体"/>
          <w:sz w:val="28"/>
          <w:szCs w:val="28"/>
        </w:rPr>
      </w:pPr>
    </w:p>
    <w:p>
      <w:pPr>
        <w:adjustRightInd w:val="0"/>
        <w:spacing w:line="360" w:lineRule="auto"/>
        <w:jc w:val="center"/>
        <w:rPr>
          <w:rStyle w:val="10"/>
          <w:rFonts w:ascii="宋体" w:hAnsi="宋体"/>
          <w:sz w:val="28"/>
          <w:szCs w:val="28"/>
        </w:rPr>
      </w:pPr>
      <w:r>
        <w:rPr>
          <w:rStyle w:val="10"/>
          <w:rFonts w:hint="eastAsia" w:ascii="宋体" w:hAnsi="宋体"/>
          <w:sz w:val="28"/>
          <w:szCs w:val="28"/>
        </w:rPr>
        <w:t>日期</w:t>
      </w:r>
      <w:r>
        <w:rPr>
          <w:rStyle w:val="10"/>
          <w:rFonts w:ascii="宋体" w:hAnsi="宋体"/>
          <w:sz w:val="28"/>
          <w:szCs w:val="28"/>
        </w:rPr>
        <w:t>：</w:t>
      </w:r>
      <w:r>
        <w:rPr>
          <w:rStyle w:val="10"/>
          <w:rFonts w:hint="eastAsia" w:ascii="宋体" w:hAnsi="宋体"/>
          <w:sz w:val="28"/>
          <w:szCs w:val="28"/>
        </w:rPr>
        <w:t>【</w:t>
      </w:r>
      <w:r>
        <w:rPr>
          <w:rStyle w:val="10"/>
          <w:rFonts w:ascii="宋体" w:hAnsi="宋体"/>
          <w:sz w:val="28"/>
          <w:szCs w:val="28"/>
        </w:rPr>
        <w:t>2024</w:t>
      </w:r>
      <w:r>
        <w:rPr>
          <w:rStyle w:val="10"/>
          <w:rFonts w:hint="eastAsia" w:ascii="宋体" w:hAnsi="宋体"/>
          <w:sz w:val="28"/>
          <w:szCs w:val="28"/>
        </w:rPr>
        <w:t>】年【</w:t>
      </w:r>
      <w:r>
        <w:rPr>
          <w:rStyle w:val="10"/>
          <w:rFonts w:ascii="宋体" w:hAnsi="宋体"/>
          <w:sz w:val="28"/>
          <w:szCs w:val="28"/>
        </w:rPr>
        <w:t>03</w:t>
      </w:r>
      <w:r>
        <w:rPr>
          <w:rStyle w:val="10"/>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rPr>
          <w:bCs/>
          <w:sz w:val="32"/>
        </w:rPr>
      </w:pP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w:t>
            </w:r>
            <w:r>
              <w:rPr>
                <w:rFonts w:hint="eastAsia" w:ascii="黑体" w:hAnsi="黑体" w:eastAsia="黑体"/>
                <w:bCs/>
                <w:sz w:val="18"/>
                <w:szCs w:val="18"/>
              </w:rPr>
              <w:t>基准等类似表述不是预期收益率，不代表产品的未来表现和实际收益，不构成对产品收益的承诺，仅供投资者进行投资决定时参考。</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tabs>
                <w:tab w:val="left" w:pos="704"/>
                <w:tab w:val="left" w:pos="1995"/>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投资者签署本理财产品销售文件即视为已经同意管理人在前述范围内向相关方提供投资者信息。</w:t>
            </w:r>
          </w:p>
          <w:p>
            <w:pPr>
              <w:pStyle w:val="6"/>
              <w:snapToGrid w:val="0"/>
              <w:spacing w:before="0" w:beforeAutospacing="0" w:after="0" w:afterAutospacing="0" w:line="360" w:lineRule="auto"/>
              <w:jc w:val="both"/>
              <w:rPr>
                <w:rFonts w:ascii="黑体" w:hAnsi="黑体" w:eastAsia="黑体"/>
                <w:bCs/>
                <w:sz w:val="18"/>
                <w:szCs w:val="18"/>
              </w:rPr>
            </w:pPr>
          </w:p>
          <w:p>
            <w:pPr>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6"/>
              <w:snapToGrid w:val="0"/>
              <w:spacing w:before="0" w:beforeAutospacing="0" w:after="0" w:afterAutospacing="0"/>
              <w:jc w:val="both"/>
              <w:rPr>
                <w:rFonts w:ascii="黑体" w:hAnsi="黑体" w:eastAsia="黑体"/>
                <w:bCs/>
                <w:sz w:val="18"/>
                <w:szCs w:val="18"/>
              </w:rPr>
            </w:pPr>
          </w:p>
          <w:p>
            <w:pPr>
              <w:pStyle w:val="6"/>
              <w:numPr>
                <w:ilvl w:val="255"/>
                <w:numId w:val="0"/>
              </w:numPr>
              <w:snapToGrid w:val="0"/>
              <w:spacing w:before="0" w:beforeAutospacing="0" w:after="0" w:afterAutospacing="0"/>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5" w:name="_Toc123701386"/>
      <w:bookmarkStart w:id="6" w:name="_Toc123112227"/>
      <w:bookmarkStart w:id="7" w:name="_Toc123112266"/>
      <w:bookmarkStart w:id="8" w:name="_Toc139991729"/>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7"/>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4"/>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本公司系根据原中国银保监会（现国家金融监督管理总局）批准设立的由兴业银行股份有限公司全资控股的银行理财子公司。公司名称：中文为“兴银理财有限责任公司”；英文：“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监管部门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4"/>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4"/>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r>
              <w:rPr>
                <w:rFonts w:ascii="宋体" w:hAnsi="宋体"/>
                <w:szCs w:val="18"/>
                <w:u w:val="single"/>
              </w:rPr>
              <w:t xml:space="preserve">　                     </w:t>
            </w:r>
            <w:r>
              <w:rPr>
                <w:rFonts w:hint="eastAsia" w:ascii="宋体" w:hAnsi="宋体"/>
                <w:szCs w:val="18"/>
              </w:rPr>
              <w:t>。</w:t>
            </w:r>
          </w:p>
        </w:tc>
      </w:tr>
    </w:tbl>
    <w:p>
      <w:pPr>
        <w:widowControl/>
        <w:jc w:val="left"/>
        <w:rPr>
          <w:bCs/>
          <w:sz w:val="32"/>
        </w:rPr>
      </w:pPr>
      <w:r>
        <w:rPr>
          <w:bCs/>
          <w:sz w:val="32"/>
        </w:rPr>
        <w:br w:type="page"/>
      </w: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3"/>
            <w:spacing w:line="360" w:lineRule="auto"/>
            <w:jc w:val="center"/>
          </w:pPr>
          <w:r>
            <w:rPr>
              <w:lang w:val="zh-CN"/>
            </w:rPr>
            <w:t>目录</w:t>
          </w:r>
        </w:p>
        <w:p>
          <w:pPr>
            <w:pStyle w:val="5"/>
            <w:tabs>
              <w:tab w:val="right" w:leader="dot" w:pos="8306"/>
              <w:tab w:val="clear"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"_Toc11962" </w:instrText>
          </w:r>
          <w:r>
            <w:fldChar w:fldCharType="separate"/>
          </w:r>
          <w:r>
            <w:rPr>
              <w:rFonts w:hint="eastAsia"/>
            </w:rPr>
            <w:t>第一条</w:t>
          </w:r>
          <w:r>
            <w:t xml:space="preserve">  </w:t>
          </w:r>
          <w:r>
            <w:rPr>
              <w:rFonts w:hint="eastAsia"/>
            </w:rPr>
            <w:t>前言</w:t>
          </w:r>
          <w:r>
            <w:tab/>
          </w:r>
          <w:r>
            <w:fldChar w:fldCharType="begin"/>
          </w:r>
          <w:r>
            <w:instrText xml:space="preserve"> PAGEREF _Toc11962 \h </w:instrText>
          </w:r>
          <w:r>
            <w:fldChar w:fldCharType="separate"/>
          </w:r>
          <w:r>
            <w:t>6</w:t>
          </w:r>
          <w:r>
            <w:fldChar w:fldCharType="end"/>
          </w:r>
          <w:r>
            <w:fldChar w:fldCharType="end"/>
          </w:r>
        </w:p>
        <w:p>
          <w:pPr>
            <w:pStyle w:val="5"/>
            <w:tabs>
              <w:tab w:val="right" w:leader="dot" w:pos="8306"/>
              <w:tab w:val="clear" w:pos="8296"/>
            </w:tabs>
          </w:pPr>
          <w:r>
            <w:fldChar w:fldCharType="begin"/>
          </w:r>
          <w:r>
            <w:instrText xml:space="preserve"> HYPERLINK \l "_Toc12429" </w:instrText>
          </w:r>
          <w:r>
            <w:fldChar w:fldCharType="separate"/>
          </w:r>
          <w:r>
            <w:t>第</w:t>
          </w:r>
          <w:r>
            <w:rPr>
              <w:rFonts w:hint="eastAsia"/>
            </w:rPr>
            <w:t xml:space="preserve">二条 </w:t>
          </w:r>
          <w:r>
            <w:t xml:space="preserve"> </w:t>
          </w:r>
          <w:r>
            <w:rPr>
              <w:rFonts w:hint="eastAsia"/>
            </w:rPr>
            <w:t>双方</w:t>
          </w:r>
          <w:r>
            <w:t>权利义务</w:t>
          </w:r>
          <w:r>
            <w:tab/>
          </w:r>
          <w:r>
            <w:fldChar w:fldCharType="begin"/>
          </w:r>
          <w:r>
            <w:instrText xml:space="preserve"> PAGEREF _Toc12429 \h </w:instrText>
          </w:r>
          <w:r>
            <w:fldChar w:fldCharType="separate"/>
          </w:r>
          <w:r>
            <w:t>7</w:t>
          </w:r>
          <w:r>
            <w:fldChar w:fldCharType="end"/>
          </w:r>
          <w:r>
            <w:fldChar w:fldCharType="end"/>
          </w:r>
        </w:p>
        <w:p>
          <w:pPr>
            <w:pStyle w:val="5"/>
            <w:tabs>
              <w:tab w:val="right" w:leader="dot" w:pos="8306"/>
              <w:tab w:val="clear" w:pos="8296"/>
            </w:tabs>
          </w:pPr>
          <w:r>
            <w:fldChar w:fldCharType="begin"/>
          </w:r>
          <w:r>
            <w:instrText xml:space="preserve"> HYPERLINK \l "_Toc706" </w:instrText>
          </w:r>
          <w:r>
            <w:fldChar w:fldCharType="separate"/>
          </w:r>
          <w:r>
            <w:rPr>
              <w:rFonts w:hint="eastAsia"/>
            </w:rPr>
            <w:t>第三条</w:t>
          </w:r>
          <w:r>
            <w:t xml:space="preserve">  不可抗力</w:t>
          </w:r>
          <w:r>
            <w:tab/>
          </w:r>
          <w:r>
            <w:fldChar w:fldCharType="begin"/>
          </w:r>
          <w:r>
            <w:instrText xml:space="preserve"> PAGEREF _Toc706 \h </w:instrText>
          </w:r>
          <w:r>
            <w:fldChar w:fldCharType="separate"/>
          </w:r>
          <w:r>
            <w:t>10</w:t>
          </w:r>
          <w:r>
            <w:fldChar w:fldCharType="end"/>
          </w:r>
          <w:r>
            <w:fldChar w:fldCharType="end"/>
          </w:r>
        </w:p>
        <w:p>
          <w:pPr>
            <w:pStyle w:val="5"/>
            <w:tabs>
              <w:tab w:val="right" w:leader="dot" w:pos="8306"/>
              <w:tab w:val="clear" w:pos="8296"/>
            </w:tabs>
          </w:pPr>
          <w:r>
            <w:fldChar w:fldCharType="begin"/>
          </w:r>
          <w:r>
            <w:instrText xml:space="preserve"> HYPERLINK \l "_Toc265" </w:instrText>
          </w:r>
          <w:r>
            <w:fldChar w:fldCharType="separate"/>
          </w:r>
          <w:r>
            <w:rPr>
              <w:rFonts w:hint="eastAsia"/>
            </w:rPr>
            <w:t>第四条</w:t>
          </w:r>
          <w:r>
            <w:t xml:space="preserve">  </w:t>
          </w:r>
          <w:r>
            <w:rPr>
              <w:rFonts w:hint="eastAsia"/>
            </w:rPr>
            <w:t>违约责任</w:t>
          </w:r>
          <w:r>
            <w:tab/>
          </w:r>
          <w:r>
            <w:fldChar w:fldCharType="begin"/>
          </w:r>
          <w:r>
            <w:instrText xml:space="preserve"> PAGEREF _Toc265 \h </w:instrText>
          </w:r>
          <w:r>
            <w:fldChar w:fldCharType="separate"/>
          </w:r>
          <w:r>
            <w:t>11</w:t>
          </w:r>
          <w:r>
            <w:fldChar w:fldCharType="end"/>
          </w:r>
          <w:r>
            <w:fldChar w:fldCharType="end"/>
          </w:r>
        </w:p>
        <w:p>
          <w:pPr>
            <w:pStyle w:val="5"/>
            <w:tabs>
              <w:tab w:val="right" w:leader="dot" w:pos="8306"/>
              <w:tab w:val="clear" w:pos="8296"/>
            </w:tabs>
          </w:pPr>
          <w:r>
            <w:fldChar w:fldCharType="begin"/>
          </w:r>
          <w:r>
            <w:instrText xml:space="preserve"> HYPERLINK \l "_Toc29618" </w:instrText>
          </w:r>
          <w:r>
            <w:fldChar w:fldCharType="separate"/>
          </w:r>
          <w:r>
            <w:rPr>
              <w:rFonts w:hint="eastAsia"/>
            </w:rPr>
            <w:t>第五条</w:t>
          </w:r>
          <w:r>
            <w:t xml:space="preserve">  法律适用和争议解决</w:t>
          </w:r>
          <w:r>
            <w:tab/>
          </w:r>
          <w:r>
            <w:fldChar w:fldCharType="begin"/>
          </w:r>
          <w:r>
            <w:instrText xml:space="preserve"> PAGEREF _Toc29618 \h </w:instrText>
          </w:r>
          <w:r>
            <w:fldChar w:fldCharType="separate"/>
          </w:r>
          <w:r>
            <w:t>12</w:t>
          </w:r>
          <w:r>
            <w:fldChar w:fldCharType="end"/>
          </w:r>
          <w:r>
            <w:fldChar w:fldCharType="end"/>
          </w:r>
        </w:p>
        <w:p>
          <w:pPr>
            <w:pStyle w:val="5"/>
            <w:tabs>
              <w:tab w:val="right" w:leader="dot" w:pos="8306"/>
              <w:tab w:val="clear" w:pos="8296"/>
            </w:tabs>
          </w:pPr>
          <w:r>
            <w:fldChar w:fldCharType="begin"/>
          </w:r>
          <w:r>
            <w:instrText xml:space="preserve"> HYPERLINK \l "_Toc11943" </w:instrText>
          </w:r>
          <w:r>
            <w:fldChar w:fldCharType="separate"/>
          </w:r>
          <w:r>
            <w:rPr>
              <w:rFonts w:hint="eastAsia"/>
            </w:rPr>
            <w:t xml:space="preserve">第六条 </w:t>
          </w:r>
          <w:r>
            <w:t xml:space="preserve"> 协议的签署和</w:t>
          </w:r>
          <w:r>
            <w:rPr>
              <w:rFonts w:hint="eastAsia"/>
            </w:rPr>
            <w:t>效力</w:t>
          </w:r>
          <w:r>
            <w:tab/>
          </w:r>
          <w:r>
            <w:fldChar w:fldCharType="begin"/>
          </w:r>
          <w:r>
            <w:instrText xml:space="preserve"> PAGEREF _Toc11943 \h </w:instrText>
          </w:r>
          <w:r>
            <w:fldChar w:fldCharType="separate"/>
          </w:r>
          <w:r>
            <w:t>13</w:t>
          </w:r>
          <w:r>
            <w:fldChar w:fldCharType="end"/>
          </w:r>
          <w:r>
            <w:fldChar w:fldCharType="end"/>
          </w:r>
        </w:p>
        <w:p>
          <w:pPr>
            <w:pStyle w:val="5"/>
            <w:tabs>
              <w:tab w:val="right" w:leader="dot" w:pos="8306"/>
              <w:tab w:val="clear" w:pos="8296"/>
            </w:tabs>
          </w:pPr>
          <w:r>
            <w:fldChar w:fldCharType="begin"/>
          </w:r>
          <w:r>
            <w:instrText xml:space="preserve"> HYPERLINK \l "_Toc29352" </w:instrText>
          </w:r>
          <w:r>
            <w:fldChar w:fldCharType="separate"/>
          </w:r>
          <w:r>
            <w:rPr>
              <w:rFonts w:hint="eastAsia"/>
            </w:rPr>
            <w:t xml:space="preserve">第七条 </w:t>
          </w:r>
          <w:r>
            <w:t xml:space="preserve"> </w:t>
          </w:r>
          <w:r>
            <w:rPr>
              <w:rFonts w:hint="eastAsia"/>
            </w:rPr>
            <w:t>消费者权益保护</w:t>
          </w:r>
          <w:r>
            <w:tab/>
          </w:r>
          <w:r>
            <w:fldChar w:fldCharType="begin"/>
          </w:r>
          <w:r>
            <w:instrText xml:space="preserve"> PAGEREF _Toc29352 \h </w:instrText>
          </w:r>
          <w:r>
            <w:fldChar w:fldCharType="separate"/>
          </w:r>
          <w:r>
            <w:t>14</w:t>
          </w:r>
          <w:r>
            <w:fldChar w:fldCharType="end"/>
          </w:r>
          <w:r>
            <w:fldChar w:fldCharType="end"/>
          </w:r>
        </w:p>
        <w:p>
          <w:pPr>
            <w:spacing w:line="360" w:lineRule="auto"/>
          </w:pPr>
          <w:r>
            <w:rPr>
              <w:bCs/>
              <w:lang w:val="zh-CN"/>
            </w:rPr>
            <w:fldChar w:fldCharType="end"/>
          </w:r>
        </w:p>
      </w:sdtContent>
    </w:sdt>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5"/>
    <w:bookmarkEnd w:id="6"/>
    <w:bookmarkEnd w:id="7"/>
    <w:bookmarkEnd w:id="8"/>
    <w:p>
      <w:pPr>
        <w:pStyle w:val="2"/>
        <w:spacing w:before="0" w:after="0"/>
        <w:jc w:val="center"/>
        <w:rPr>
          <w:rFonts w:ascii="Times New Roman"/>
          <w:color w:val="auto"/>
          <w:sz w:val="30"/>
        </w:rPr>
      </w:pPr>
      <w:bookmarkStart w:id="9" w:name="_Toc15517"/>
      <w:bookmarkStart w:id="10" w:name="_Toc23386"/>
      <w:bookmarkStart w:id="11" w:name="_Toc8727"/>
      <w:bookmarkStart w:id="12" w:name="_Toc32639"/>
      <w:bookmarkStart w:id="13" w:name="_Toc123112268"/>
      <w:bookmarkStart w:id="14" w:name="_Toc6306"/>
      <w:bookmarkStart w:id="15" w:name="_Toc123701389"/>
      <w:bookmarkStart w:id="16" w:name="_Toc29629"/>
      <w:bookmarkStart w:id="17" w:name="_Toc4867"/>
      <w:bookmarkStart w:id="18" w:name="_Toc4966"/>
      <w:bookmarkStart w:id="19" w:name="_Toc30935"/>
      <w:bookmarkStart w:id="20" w:name="_Toc141703880"/>
      <w:bookmarkStart w:id="21" w:name="_Toc139991730"/>
      <w:bookmarkStart w:id="22" w:name="_Toc123112229"/>
      <w:bookmarkStart w:id="23" w:name="_Toc26897"/>
      <w:bookmarkStart w:id="24" w:name="_Toc11962"/>
      <w:bookmarkStart w:id="25" w:name="_Toc74065738"/>
      <w:bookmarkStart w:id="26" w:name="_Toc233456271"/>
      <w:r>
        <w:rPr>
          <w:rFonts w:hint="eastAsia" w:ascii="Times New Roman"/>
          <w:color w:val="auto"/>
          <w:sz w:val="30"/>
        </w:rPr>
        <w:t>第一条</w:t>
      </w:r>
      <w:r>
        <w:rPr>
          <w:rFonts w:ascii="Times New Roman"/>
          <w:color w:val="auto"/>
          <w:sz w:val="30"/>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7" w:name="_Toc24860"/>
      <w:bookmarkStart w:id="28" w:name="_Toc13020"/>
      <w:bookmarkStart w:id="29" w:name="_Toc819"/>
      <w:bookmarkStart w:id="30" w:name="_Toc21301"/>
      <w:bookmarkStart w:id="31" w:name="_Toc258829399"/>
      <w:bookmarkStart w:id="32" w:name="_Toc22864"/>
      <w:bookmarkStart w:id="33" w:name="_Toc2465"/>
      <w:bookmarkStart w:id="34" w:name="_Toc15067"/>
      <w:bookmarkStart w:id="35" w:name="_Toc19592"/>
      <w:bookmarkStart w:id="36" w:name="_Toc6617"/>
      <w:bookmarkStart w:id="37" w:name="_Toc3224"/>
      <w:r>
        <w:rPr>
          <w:rFonts w:hint="eastAsia" w:ascii="Times New Roman"/>
          <w:color w:val="auto"/>
          <w:sz w:val="30"/>
        </w:rPr>
        <w:t>前言</w:t>
      </w:r>
      <w:bookmarkEnd w:id="24"/>
    </w:p>
    <w:p>
      <w:pPr>
        <w:pStyle w:val="14"/>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.订立本投资协议书的目的是保护投资人合法权益，明确投资协议书当事人的权利义务，规范理财产品运作。</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订立本投资协议书的依据是《中华人民共和国民法典》等法律法规、《关于规范金融机构资产管理业务的指导意见》（银发</w:t>
      </w:r>
      <w:r>
        <w:rPr>
          <w:rFonts w:ascii="宋体" w:hAnsi="宋体"/>
          <w:sz w:val="18"/>
          <w:szCs w:val="18"/>
        </w:rPr>
        <w:t>[2018]106</w:t>
      </w:r>
      <w:r>
        <w:rPr>
          <w:rFonts w:hint="eastAsia" w:ascii="宋体" w:hAnsi="宋体"/>
          <w:sz w:val="18"/>
          <w:szCs w:val="18"/>
        </w:rPr>
        <w:t>号）、《商业银行理财业务监督管理办法》（银保监会令2018年第</w:t>
      </w:r>
      <w:r>
        <w:rPr>
          <w:rFonts w:ascii="宋体" w:hAnsi="宋体"/>
          <w:sz w:val="18"/>
          <w:szCs w:val="18"/>
        </w:rPr>
        <w:t>6</w:t>
      </w:r>
      <w:r>
        <w:rPr>
          <w:rFonts w:hint="eastAsia" w:ascii="宋体" w:hAnsi="宋体"/>
          <w:sz w:val="18"/>
          <w:szCs w:val="18"/>
        </w:rPr>
        <w:t>号）、</w:t>
      </w:r>
      <w:bookmarkStart w:id="38" w:name="_Toc59965743"/>
      <w:r>
        <w:rPr>
          <w:rFonts w:hint="eastAsia" w:ascii="宋体" w:hAnsi="宋体"/>
          <w:sz w:val="18"/>
          <w:szCs w:val="18"/>
        </w:rPr>
        <w:t>《商业银行理财子公司管理办法》</w:t>
      </w:r>
      <w:bookmarkEnd w:id="38"/>
      <w:r>
        <w:rPr>
          <w:rFonts w:hint="eastAsia" w:ascii="宋体" w:hAnsi="宋体"/>
          <w:sz w:val="18"/>
          <w:szCs w:val="18"/>
        </w:rPr>
        <w:t>（银保监会令2018年第7号）、《理财公司理财产品销售管理暂行办法》（银保监会令2021年第4号）等监管规定及其他有关规定。</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.订立本投资协议书的原则是平等自愿、诚实信用、充分保护投资人合法权益。</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bookmarkEnd w:id="25"/>
    <w:p>
      <w:pPr>
        <w:widowControl/>
        <w:spacing w:line="360" w:lineRule="auto"/>
        <w:jc w:val="left"/>
      </w:pPr>
      <w:r>
        <w:br w:type="page"/>
      </w:r>
    </w:p>
    <w:p>
      <w:pPr>
        <w:pStyle w:val="2"/>
        <w:spacing w:before="0" w:after="0"/>
        <w:jc w:val="center"/>
        <w:rPr>
          <w:rFonts w:ascii="Times New Roman"/>
          <w:color w:val="auto"/>
          <w:sz w:val="30"/>
        </w:rPr>
      </w:pPr>
      <w:bookmarkStart w:id="39" w:name="_Toc12429"/>
      <w:bookmarkStart w:id="40"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39"/>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确认：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sz w:val="18"/>
        </w:rPr>
      </w:pPr>
      <w:r>
        <w:rPr>
          <w:rFonts w:ascii="黑体" w:hAnsi="黑体"/>
          <w:sz w:val="18"/>
        </w:rPr>
        <w:t>10.</w:t>
      </w:r>
      <w:r>
        <w:rPr>
          <w:rFonts w:hint="eastAsia" w:ascii="黑体" w:hAnsi="黑体" w:eastAsia="黑体"/>
          <w:sz w:val="18"/>
          <w:szCs w:val="18"/>
        </w:rPr>
        <w:t>★若投资者以本产品项下的任何权利、利益、权益（包括单独和整体）为投资者和任何第三人的债务设定担保或其他权益的，应由投资者与其他相关主体对前述行为负责（包括但不限于前述行为的合法有效性、权利享有和义务承担、争议解决等），产品管理人仅依据销售文件约定承担产品管理人的职责，不对前述行为承担任何责任</w:t>
      </w:r>
      <w:r>
        <w:rPr>
          <w:rFonts w:hint="eastAsia" w:ascii="黑体" w:hAnsi="黑体"/>
          <w:sz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按照《产品说明书》约定向投资者进行理财产品份额的利益分配并将对应资金划入投资者指定账户后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即视为产品管理人已向投资者完成利益分配和资金的清算分配。因投资者指定账户冻结、挂失、换卡、销户、长期不动户等原因造成账户变更或异常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有权机关、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有权机关和自律组织要求，本产品的投资合作机构（包括但不限于本产品所投资的信托计划、资管计划、基金的受托人或管理人、相关投资顾问等，下同）、销售机构、投资交易相关方、中介服务机构等有可能需要向监管机构、有权机关、自律组织等报送投资者信息，产品管理人将应投资合作机构、销售机构、投资交易相关方、中介服务机构等的申请，在必要范围内向监管机构、有权机关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cs="仿宋_GB2312"/>
          <w:kern w:val="0"/>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产品管理人有权根据符合条件的申请，受理并办理继承、承继、捐赠、司法强制执行和经理财产品登记机构认可的其他情况下的非交易过户。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26"/>
    <w:bookmarkEnd w:id="27"/>
    <w:bookmarkEnd w:id="28"/>
    <w:bookmarkEnd w:id="29"/>
    <w:bookmarkEnd w:id="30"/>
    <w:bookmarkEnd w:id="31"/>
    <w:bookmarkEnd w:id="32"/>
    <w:bookmarkEnd w:id="33"/>
    <w:bookmarkEnd w:id="34"/>
    <w:bookmarkEnd w:id="35"/>
    <w:bookmarkEnd w:id="36"/>
    <w:bookmarkEnd w:id="37"/>
    <w:bookmarkEnd w:id="40"/>
    <w:p>
      <w:pPr>
        <w:pStyle w:val="2"/>
        <w:spacing w:before="0" w:after="0"/>
        <w:jc w:val="center"/>
        <w:rPr>
          <w:rFonts w:ascii="Times New Roman"/>
          <w:sz w:val="30"/>
        </w:rPr>
      </w:pPr>
      <w:bookmarkStart w:id="41" w:name="_Toc706"/>
      <w:bookmarkStart w:id="42" w:name="_Toc22708"/>
      <w:bookmarkStart w:id="43" w:name="_Toc18631"/>
      <w:bookmarkStart w:id="44" w:name="_Toc13288"/>
      <w:bookmarkStart w:id="45" w:name="_Toc24571"/>
      <w:bookmarkStart w:id="46" w:name="_Toc74065740"/>
      <w:bookmarkStart w:id="47" w:name="_Toc20627"/>
      <w:bookmarkStart w:id="48" w:name="_Toc20318"/>
      <w:bookmarkStart w:id="49" w:name="_Toc6149"/>
      <w:bookmarkStart w:id="50" w:name="_Toc6683"/>
      <w:bookmarkStart w:id="51" w:name="_Toc733"/>
      <w:bookmarkStart w:id="52" w:name="_Toc545"/>
      <w:bookmarkStart w:id="53" w:name="_Toc233456272"/>
      <w:bookmarkStart w:id="54" w:name="_Toc258829400"/>
      <w:r>
        <w:rPr>
          <w:rFonts w:hint="eastAsia" w:ascii="Times New Roman"/>
          <w:color w:val="auto"/>
          <w:sz w:val="30"/>
        </w:rPr>
        <w:t>第三条</w:t>
      </w:r>
      <w:r>
        <w:rPr>
          <w:rFonts w:ascii="Times New Roman"/>
          <w:color w:val="auto"/>
          <w:sz w:val="30"/>
        </w:rPr>
        <w:t xml:space="preserve">  不可抗力</w:t>
      </w:r>
      <w:bookmarkEnd w:id="41"/>
    </w:p>
    <w:bookmarkEnd w:id="42"/>
    <w:bookmarkEnd w:id="43"/>
    <w:bookmarkEnd w:id="44"/>
    <w:bookmarkEnd w:id="45"/>
    <w:bookmarkEnd w:id="46"/>
    <w:bookmarkEnd w:id="47"/>
    <w:bookmarkEnd w:id="48"/>
    <w:bookmarkEnd w:id="49"/>
    <w:bookmarkEnd w:id="50"/>
    <w:bookmarkEnd w:id="51"/>
    <w:bookmarkEnd w:id="52"/>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55" w:name="_Toc26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55"/>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6" w:name="_Toc29618"/>
      <w:r>
        <w:rPr>
          <w:rFonts w:hint="eastAsia" w:ascii="Times New Roman"/>
          <w:color w:val="auto"/>
          <w:sz w:val="30"/>
        </w:rPr>
        <w:t>第五条</w:t>
      </w:r>
      <w:r>
        <w:rPr>
          <w:rFonts w:ascii="Times New Roman"/>
          <w:color w:val="auto"/>
          <w:sz w:val="30"/>
        </w:rPr>
        <w:t xml:space="preserve">  法律适用和争议解决</w:t>
      </w:r>
      <w:bookmarkEnd w:id="56"/>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（一）法律适用</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本协议的订立、生效、履行、解除、解释及争议的解决等均适用中华人民共和国法律（为本合同之目的，不包括香港特别行政区、澳门特别行政区和台湾地区的法律）。</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（二）★争议解决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宋体" w:hAnsi="宋体" w:cs="仿宋_GB2312"/>
          <w:kern w:val="0"/>
          <w:sz w:val="18"/>
          <w:szCs w:val="18"/>
        </w:rPr>
        <w:t>双方在本协议书的执行过程中发生的任何争议，应通过友好协商解决。</w:t>
      </w:r>
      <w:r>
        <w:rPr>
          <w:rFonts w:hint="eastAsia" w:ascii="黑体" w:hAnsi="黑体" w:eastAsia="黑体" w:cs="黑体"/>
          <w:kern w:val="0"/>
          <w:sz w:val="18"/>
          <w:szCs w:val="18"/>
        </w:rPr>
        <w:t>如友好协商不成的，双方均同意以如下第【壹】种方式解决：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（壹）向产品管理人住所地之人民法院提起诉讼。</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57" w:name="_Toc11943"/>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57"/>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8" w:name="_Toc77953869"/>
      <w:bookmarkStart w:id="59" w:name="_Toc29352"/>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58"/>
      <w:bookmarkEnd w:id="59"/>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0"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0"/>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3"/>
    <w:bookmarkEnd w:id="54"/>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【】类</w:t>
            </w:r>
            <w:r>
              <w:rPr>
                <w:rFonts w:ascii="宋体" w:hAnsi="宋体" w:cs="宋体"/>
                <w:b/>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w:t>
            </w:r>
            <w:r>
              <w:rPr>
                <w:rFonts w:ascii="黑体" w:hAnsi="黑体" w:eastAsia="黑体"/>
                <w:sz w:val="18"/>
                <w:szCs w:val="18"/>
              </w:rPr>
              <w:t>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w:t>
            </w:r>
            <w:r>
              <w:rPr>
                <w:rFonts w:ascii="黑体" w:hAnsi="黑体" w:eastAsia="黑体"/>
                <w:sz w:val="18"/>
                <w:szCs w:val="18"/>
              </w:rPr>
              <w:t>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8"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4" w:hRule="atLeast"/>
        </w:trPr>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b/>
                <w:sz w:val="18"/>
                <w:szCs w:val="18"/>
              </w:rPr>
            </w:pPr>
            <w:r>
              <w:rPr>
                <w:rFonts w:hint="eastAsia" w:cs="Arial"/>
                <w:sz w:val="18"/>
                <w:szCs w:val="18"/>
              </w:rPr>
              <w:t>投资者法定代表人或授权代理人（签字或盖章）：</w:t>
            </w:r>
          </w:p>
          <w:p>
            <w:pPr>
              <w:spacing w:line="360" w:lineRule="auto"/>
              <w:rPr>
                <w:sz w:val="18"/>
                <w:szCs w:val="18"/>
              </w:rPr>
            </w:pPr>
            <w:r>
              <w:rPr>
                <w:rFonts w:hint="eastAsia"/>
                <w:sz w:val="18"/>
                <w:szCs w:val="18"/>
              </w:rPr>
              <w:t>日期：</w:t>
            </w:r>
          </w:p>
        </w:tc>
      </w:tr>
    </w:tbl>
    <w:p>
      <w:pPr>
        <w:spacing w:line="360" w:lineRule="auto"/>
        <w:jc w:val="left"/>
        <w:rPr>
          <w:rFonts w:hint="eastAsia" w:ascii="宋体" w:hAnsi="宋体"/>
          <w:b/>
          <w:sz w:val="18"/>
          <w:szCs w:val="18"/>
        </w:rPr>
        <w:sectPr>
          <w:headerReference r:id="rId3" w:type="default"/>
          <w:footerReference r:id="rId4" w:type="default"/>
          <w:pgSz w:w="11906" w:h="16838"/>
          <w:pgMar w:top="1440" w:right="1800" w:bottom="1440" w:left="1800" w:header="567" w:footer="964" w:gutter="0"/>
          <w:pgNumType w:start="1"/>
          <w:cols w:space="720" w:num="1"/>
          <w:docGrid w:type="lines" w:linePitch="312" w:charSpace="0"/>
        </w:sect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兴银理财【稳利安盈封闭式】理财产品</w:t>
      </w: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产品说明书</w:t>
      </w:r>
    </w:p>
    <w:p>
      <w:pPr>
        <w:adjustRightInd w:val="0"/>
        <w:spacing w:line="360" w:lineRule="auto"/>
        <w:jc w:val="center"/>
        <w:rPr>
          <w:rStyle w:val="10"/>
          <w:rFonts w:ascii="宋体" w:hAnsi="宋体"/>
          <w:sz w:val="32"/>
          <w:szCs w:val="32"/>
        </w:rPr>
      </w:pPr>
    </w:p>
    <w:p>
      <w:pPr>
        <w:adjustRightInd w:val="0"/>
        <w:spacing w:line="360" w:lineRule="auto"/>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理财产品管理人：兴银理财有限责任公司</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日期</w:t>
      </w:r>
      <w:r>
        <w:rPr>
          <w:rStyle w:val="10"/>
          <w:rFonts w:ascii="宋体" w:hAnsi="宋体" w:cs="Times New Roman"/>
          <w:sz w:val="32"/>
          <w:szCs w:val="32"/>
        </w:rPr>
        <w:t>：</w:t>
      </w:r>
      <w:r>
        <w:rPr>
          <w:rStyle w:val="10"/>
          <w:rFonts w:hint="eastAsia" w:ascii="宋体" w:hAnsi="宋体" w:cs="Times New Roman"/>
          <w:sz w:val="32"/>
          <w:szCs w:val="32"/>
        </w:rPr>
        <w:t>【2</w:t>
      </w:r>
      <w:r>
        <w:rPr>
          <w:rStyle w:val="10"/>
          <w:rFonts w:ascii="宋体" w:hAnsi="宋体" w:cs="Times New Roman"/>
          <w:sz w:val="32"/>
          <w:szCs w:val="32"/>
        </w:rPr>
        <w:t>024</w:t>
      </w:r>
      <w:r>
        <w:rPr>
          <w:rStyle w:val="10"/>
          <w:rFonts w:hint="eastAsia" w:ascii="宋体" w:hAnsi="宋体" w:cs="Times New Roman"/>
          <w:sz w:val="32"/>
          <w:szCs w:val="32"/>
        </w:rPr>
        <w:t>】年【</w:t>
      </w:r>
      <w:r>
        <w:rPr>
          <w:rStyle w:val="10"/>
          <w:rFonts w:ascii="宋体" w:hAnsi="宋体" w:cs="Times New Roman"/>
          <w:sz w:val="32"/>
          <w:szCs w:val="32"/>
        </w:rPr>
        <w:t>03</w:t>
      </w:r>
      <w:r>
        <w:rPr>
          <w:rStyle w:val="10"/>
          <w:rFonts w:hint="eastAsia" w:ascii="宋体" w:hAnsi="宋体" w:cs="Times New Roman"/>
          <w:sz w:val="32"/>
          <w:szCs w:val="32"/>
        </w:rPr>
        <w:t>】月</w:t>
      </w:r>
    </w:p>
    <w:p>
      <w:pPr>
        <w:adjustRightInd w:val="0"/>
        <w:spacing w:line="360" w:lineRule="auto"/>
        <w:jc w:val="center"/>
        <w:rPr>
          <w:rStyle w:val="10"/>
          <w:rFonts w:ascii="宋体" w:hAnsi="宋体"/>
          <w:sz w:val="32"/>
          <w:szCs w:val="32"/>
        </w:rPr>
      </w:pPr>
    </w:p>
    <w:p>
      <w:pPr>
        <w:pStyle w:val="14"/>
        <w:spacing w:line="360" w:lineRule="auto"/>
        <w:rPr>
          <w:rFonts w:hAnsi="宋体"/>
          <w:sz w:val="28"/>
          <w:szCs w:val="28"/>
        </w:rPr>
      </w:pPr>
      <w:r>
        <w:rPr>
          <w:rFonts w:hAnsi="宋体"/>
          <w:sz w:val="28"/>
          <w:szCs w:val="28"/>
        </w:rPr>
        <w:br w:type="page"/>
      </w: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Calibri" w:hAnsi="Calibri" w:eastAsia="宋体" w:cs="宋体"/>
          <w:b w:val="0"/>
          <w:bCs w:val="0"/>
          <w:color w:val="auto"/>
          <w:kern w:val="2"/>
          <w:sz w:val="21"/>
          <w:szCs w:val="22"/>
          <w:lang w:val="en-US"/>
        </w:rPr>
      </w:sdtEndPr>
      <w:sdtContent>
        <w:p>
          <w:pPr>
            <w:pStyle w:val="15"/>
            <w:spacing w:line="360" w:lineRule="auto"/>
            <w:jc w:val="center"/>
          </w:pPr>
          <w:bookmarkStart w:id="61" w:name="_Toc78276587"/>
          <w:r>
            <w:rPr>
              <w:lang w:val="zh-CN"/>
            </w:rPr>
            <w:t>目录</w:t>
          </w:r>
        </w:p>
        <w:p>
          <w:pPr>
            <w:pStyle w:val="5"/>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"_Toc116649649" </w:instrText>
          </w:r>
          <w:r>
            <w:fldChar w:fldCharType="separate"/>
          </w:r>
          <w:r>
            <w:rPr>
              <w:rStyle w:val="11"/>
              <w:rFonts w:hint="eastAsia" w:ascii="Times New Roman"/>
            </w:rPr>
            <w:t>第一条</w:t>
          </w:r>
          <w:r>
            <w:rPr>
              <w:rStyle w:val="11"/>
              <w:rFonts w:ascii="Times New Roman"/>
            </w:rPr>
            <w:t xml:space="preserve">  </w:t>
          </w:r>
          <w:r>
            <w:rPr>
              <w:rStyle w:val="11"/>
              <w:rFonts w:hint="eastAsia" w:ascii="Times New Roman"/>
            </w:rPr>
            <w:t>释义</w:t>
          </w:r>
          <w:r>
            <w:tab/>
          </w:r>
          <w:r>
            <w:fldChar w:fldCharType="begin"/>
          </w:r>
          <w:r>
            <w:instrText xml:space="preserve"> PAGEREF _Toc116649649 \h </w:instrText>
          </w:r>
          <w:r>
            <w:fldChar w:fldCharType="separate"/>
          </w:r>
          <w:r>
            <w:t>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"_Toc116649650" </w:instrText>
          </w:r>
          <w:r>
            <w:fldChar w:fldCharType="separate"/>
          </w:r>
          <w:r>
            <w:rPr>
              <w:rStyle w:val="11"/>
              <w:rFonts w:hint="eastAsia" w:hAnsi="宋体"/>
            </w:rPr>
            <w:t>第二条</w:t>
          </w:r>
          <w:r>
            <w:rPr>
              <w:rStyle w:val="11"/>
              <w:rFonts w:hAnsi="宋体"/>
            </w:rPr>
            <w:t xml:space="preserve">  </w:t>
          </w:r>
          <w:r>
            <w:rPr>
              <w:rStyle w:val="11"/>
              <w:rFonts w:hint="eastAsia" w:hAnsi="宋体"/>
            </w:rPr>
            <w:t>理财产品基本情况</w:t>
          </w:r>
          <w:r>
            <w:rPr>
              <w:rStyle w:val="11"/>
              <w:rFonts w:hAnsi="宋体"/>
            </w:rPr>
            <w:t xml:space="preserve"> </w:t>
          </w:r>
          <w:r>
            <w:tab/>
          </w:r>
          <w:r>
            <w:fldChar w:fldCharType="begin"/>
          </w:r>
          <w:r>
            <w:instrText xml:space="preserve"> PAGEREF _Toc116649650 \h </w:instrText>
          </w:r>
          <w:r>
            <w:fldChar w:fldCharType="separate"/>
          </w:r>
          <w:r>
            <w:t>8</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"_Toc116649651" </w:instrText>
          </w:r>
          <w:r>
            <w:fldChar w:fldCharType="separate"/>
          </w:r>
          <w:r>
            <w:rPr>
              <w:rStyle w:val="11"/>
              <w:rFonts w:hint="eastAsia" w:ascii="Times New Roman"/>
            </w:rPr>
            <w:t>第三条</w:t>
          </w:r>
          <w:r>
            <w:rPr>
              <w:rStyle w:val="11"/>
              <w:rFonts w:ascii="Times New Roman"/>
            </w:rPr>
            <w:t xml:space="preserve">  </w:t>
          </w:r>
          <w:r>
            <w:rPr>
              <w:rStyle w:val="11"/>
              <w:rFonts w:hint="eastAsia" w:ascii="Times New Roman"/>
            </w:rPr>
            <w:t>理财产品的认购</w:t>
          </w:r>
          <w:r>
            <w:tab/>
          </w:r>
          <w:r>
            <w:fldChar w:fldCharType="begin"/>
          </w:r>
          <w:r>
            <w:instrText xml:space="preserve"> PAGEREF _Toc116649651 \h </w:instrText>
          </w:r>
          <w:r>
            <w:fldChar w:fldCharType="separate"/>
          </w:r>
          <w:r>
            <w:t>14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"_Toc116649652" </w:instrText>
          </w:r>
          <w:r>
            <w:fldChar w:fldCharType="separate"/>
          </w:r>
          <w:r>
            <w:rPr>
              <w:rStyle w:val="11"/>
              <w:rFonts w:hint="eastAsia" w:ascii="Times New Roman"/>
            </w:rPr>
            <w:t>第四条</w:t>
          </w:r>
          <w:r>
            <w:rPr>
              <w:rStyle w:val="11"/>
              <w:rFonts w:ascii="Times New Roman"/>
            </w:rPr>
            <w:t xml:space="preserve">  </w:t>
          </w:r>
          <w:r>
            <w:rPr>
              <w:rStyle w:val="11"/>
              <w:rFonts w:hint="eastAsia" w:ascii="Times New Roman"/>
            </w:rPr>
            <w:t>理财产品的申购与赎回</w:t>
          </w:r>
          <w:r>
            <w:tab/>
          </w:r>
          <w:r>
            <w:fldChar w:fldCharType="begin"/>
          </w:r>
          <w:r>
            <w:instrText xml:space="preserve"> PAGEREF _Toc116649652 \h </w:instrText>
          </w:r>
          <w:r>
            <w:fldChar w:fldCharType="separate"/>
          </w:r>
          <w:r>
            <w:t>16</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"_Toc116649653" </w:instrText>
          </w:r>
          <w:r>
            <w:fldChar w:fldCharType="separate"/>
          </w:r>
          <w:r>
            <w:rPr>
              <w:rStyle w:val="11"/>
              <w:rFonts w:hint="eastAsia" w:ascii="Times New Roman"/>
            </w:rPr>
            <w:t>第五条</w:t>
          </w:r>
          <w:r>
            <w:rPr>
              <w:rStyle w:val="11"/>
              <w:rFonts w:ascii="Times New Roman"/>
            </w:rPr>
            <w:t xml:space="preserve">  </w:t>
          </w:r>
          <w:r>
            <w:rPr>
              <w:rStyle w:val="11"/>
              <w:rFonts w:hint="eastAsia" w:ascii="Times New Roman"/>
            </w:rPr>
            <w:t>理财产品的投资</w:t>
          </w:r>
          <w:r>
            <w:tab/>
          </w:r>
          <w:r>
            <w:fldChar w:fldCharType="begin"/>
          </w:r>
          <w:r>
            <w:instrText xml:space="preserve"> PAGEREF _Toc116649653 \h </w:instrText>
          </w:r>
          <w:r>
            <w:fldChar w:fldCharType="separate"/>
          </w:r>
          <w:r>
            <w:t>17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"_Toc116649654" </w:instrText>
          </w:r>
          <w:r>
            <w:fldChar w:fldCharType="separate"/>
          </w:r>
          <w:r>
            <w:rPr>
              <w:rStyle w:val="11"/>
              <w:rFonts w:hint="eastAsia" w:ascii="Times New Roman"/>
            </w:rPr>
            <w:t>第六条</w:t>
          </w:r>
          <w:r>
            <w:rPr>
              <w:rStyle w:val="11"/>
              <w:rFonts w:ascii="Times New Roman"/>
            </w:rPr>
            <w:t xml:space="preserve">  </w:t>
          </w:r>
          <w:r>
            <w:rPr>
              <w:rStyle w:val="11"/>
              <w:rFonts w:hint="eastAsia" w:ascii="Times New Roman"/>
            </w:rPr>
            <w:t>理财产品的资产</w:t>
          </w:r>
          <w:r>
            <w:tab/>
          </w:r>
          <w:r>
            <w:fldChar w:fldCharType="begin"/>
          </w:r>
          <w:r>
            <w:instrText xml:space="preserve"> PAGEREF _Toc116649654 \h </w:instrText>
          </w:r>
          <w:r>
            <w:fldChar w:fldCharType="separate"/>
          </w:r>
          <w:r>
            <w:t>20</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"_Toc116649655" </w:instrText>
          </w:r>
          <w:r>
            <w:fldChar w:fldCharType="separate"/>
          </w:r>
          <w:r>
            <w:rPr>
              <w:rStyle w:val="11"/>
              <w:rFonts w:hint="eastAsia" w:ascii="Times New Roman"/>
            </w:rPr>
            <w:t>第七条</w:t>
          </w:r>
          <w:r>
            <w:rPr>
              <w:rStyle w:val="11"/>
              <w:rFonts w:ascii="Times New Roman"/>
            </w:rPr>
            <w:t xml:space="preserve">  </w:t>
          </w:r>
          <w:r>
            <w:rPr>
              <w:rStyle w:val="11"/>
              <w:rFonts w:hint="eastAsia" w:ascii="Times New Roman"/>
            </w:rPr>
            <w:t>理财产品项下资产的估值</w:t>
          </w:r>
          <w:r>
            <w:tab/>
          </w:r>
          <w:r>
            <w:fldChar w:fldCharType="begin"/>
          </w:r>
          <w:r>
            <w:instrText xml:space="preserve"> PAGEREF _Toc116649655 \h </w:instrText>
          </w:r>
          <w:r>
            <w:fldChar w:fldCharType="separate"/>
          </w:r>
          <w:r>
            <w:t>21</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"_Toc116649656" </w:instrText>
          </w:r>
          <w:r>
            <w:fldChar w:fldCharType="separate"/>
          </w:r>
          <w:r>
            <w:rPr>
              <w:rStyle w:val="11"/>
              <w:rFonts w:hint="eastAsia" w:ascii="Times New Roman"/>
            </w:rPr>
            <w:t>第八条</w:t>
          </w:r>
          <w:r>
            <w:rPr>
              <w:rStyle w:val="11"/>
              <w:rFonts w:ascii="Times New Roman"/>
            </w:rPr>
            <w:t xml:space="preserve">  </w:t>
          </w:r>
          <w:r>
            <w:rPr>
              <w:rStyle w:val="11"/>
              <w:rFonts w:hint="eastAsia" w:ascii="Times New Roman"/>
            </w:rPr>
            <w:t>理财产品的利益分配</w:t>
          </w:r>
          <w:r>
            <w:tab/>
          </w:r>
          <w:r>
            <w:fldChar w:fldCharType="begin"/>
          </w:r>
          <w:r>
            <w:instrText xml:space="preserve"> PAGEREF _Toc116649656 \h </w:instrText>
          </w:r>
          <w:r>
            <w:fldChar w:fldCharType="separate"/>
          </w:r>
          <w:r>
            <w:t>25</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"_Toc116649657" </w:instrText>
          </w:r>
          <w:r>
            <w:fldChar w:fldCharType="separate"/>
          </w:r>
          <w:r>
            <w:rPr>
              <w:rStyle w:val="11"/>
              <w:rFonts w:hint="eastAsia" w:ascii="Times New Roman"/>
            </w:rPr>
            <w:t>第九条</w:t>
          </w:r>
          <w:r>
            <w:rPr>
              <w:rStyle w:val="11"/>
              <w:rFonts w:ascii="Times New Roman"/>
            </w:rPr>
            <w:t xml:space="preserve">  </w:t>
          </w:r>
          <w:r>
            <w:rPr>
              <w:rStyle w:val="11"/>
              <w:rFonts w:hint="eastAsia" w:ascii="Times New Roman"/>
            </w:rPr>
            <w:t>理财产品的费用与税收</w:t>
          </w:r>
          <w:r>
            <w:tab/>
          </w:r>
          <w:r>
            <w:fldChar w:fldCharType="begin"/>
          </w:r>
          <w:r>
            <w:instrText xml:space="preserve"> PAGEREF _Toc116649657 \h </w:instrText>
          </w:r>
          <w:r>
            <w:fldChar w:fldCharType="separate"/>
          </w:r>
          <w:r>
            <w:t>26</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"_Toc116649658" </w:instrText>
          </w:r>
          <w:r>
            <w:fldChar w:fldCharType="separate"/>
          </w:r>
          <w:r>
            <w:rPr>
              <w:rStyle w:val="11"/>
              <w:rFonts w:hint="eastAsia"/>
            </w:rPr>
            <w:t>第十条</w:t>
          </w:r>
          <w:r>
            <w:rPr>
              <w:rStyle w:val="11"/>
            </w:rPr>
            <w:t xml:space="preserve">  </w:t>
          </w:r>
          <w:r>
            <w:rPr>
              <w:rStyle w:val="11"/>
              <w:rFonts w:hint="eastAsia"/>
            </w:rPr>
            <w:t>理财产品的终止与清算</w:t>
          </w:r>
          <w:r>
            <w:tab/>
          </w:r>
          <w:r>
            <w:fldChar w:fldCharType="begin"/>
          </w:r>
          <w:r>
            <w:instrText xml:space="preserve"> PAGEREF _Toc116649658 \h </w:instrText>
          </w:r>
          <w:r>
            <w:fldChar w:fldCharType="separate"/>
          </w:r>
          <w:r>
            <w:t>29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"_Toc116649659" </w:instrText>
          </w:r>
          <w:r>
            <w:fldChar w:fldCharType="separate"/>
          </w:r>
          <w:r>
            <w:rPr>
              <w:rStyle w:val="11"/>
              <w:rFonts w:hint="eastAsia" w:ascii="Times New Roman"/>
            </w:rPr>
            <w:t>第十一条</w:t>
          </w:r>
          <w:r>
            <w:rPr>
              <w:rStyle w:val="11"/>
              <w:rFonts w:ascii="Times New Roman"/>
            </w:rPr>
            <w:t xml:space="preserve">  </w:t>
          </w:r>
          <w:r>
            <w:rPr>
              <w:rStyle w:val="11"/>
              <w:rFonts w:hint="eastAsia" w:ascii="Times New Roman"/>
            </w:rPr>
            <w:t>理财产品的信息披露</w:t>
          </w:r>
          <w:r>
            <w:tab/>
          </w:r>
          <w:r>
            <w:fldChar w:fldCharType="begin"/>
          </w:r>
          <w:r>
            <w:instrText xml:space="preserve"> PAGEREF _Toc116649659 \h </w:instrText>
          </w:r>
          <w:r>
            <w:fldChar w:fldCharType="separate"/>
          </w:r>
          <w:r>
            <w:t>31</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"_Toc116649660" </w:instrText>
          </w:r>
          <w:r>
            <w:fldChar w:fldCharType="separate"/>
          </w:r>
          <w:r>
            <w:rPr>
              <w:rStyle w:val="11"/>
              <w:rFonts w:hint="eastAsia" w:ascii="Times New Roman"/>
            </w:rPr>
            <w:t>第十二条</w:t>
          </w:r>
          <w:r>
            <w:rPr>
              <w:rStyle w:val="11"/>
              <w:rFonts w:ascii="Times New Roman"/>
            </w:rPr>
            <w:t xml:space="preserve">  </w:t>
          </w:r>
          <w:r>
            <w:rPr>
              <w:rStyle w:val="11"/>
              <w:rFonts w:hint="eastAsia" w:ascii="Times New Roman"/>
            </w:rPr>
            <w:t>理财产品的风险揭示</w:t>
          </w:r>
          <w:r>
            <w:tab/>
          </w:r>
          <w:r>
            <w:fldChar w:fldCharType="begin"/>
          </w:r>
          <w:r>
            <w:instrText xml:space="preserve"> PAGEREF _Toc116649660 \h </w:instrText>
          </w:r>
          <w:r>
            <w:fldChar w:fldCharType="separate"/>
          </w:r>
          <w:r>
            <w:t>33</w:t>
          </w:r>
          <w:r>
            <w:fldChar w:fldCharType="end"/>
          </w:r>
          <w:r>
            <w:fldChar w:fldCharType="end"/>
          </w:r>
        </w:p>
        <w:p>
          <w:pPr>
            <w:spacing w:line="360" w:lineRule="auto"/>
          </w:pPr>
          <w:r>
            <w:fldChar w:fldCharType="end"/>
          </w:r>
        </w:p>
      </w:sdtContent>
    </w:sdt>
    <w:p>
      <w:pPr>
        <w:rPr>
          <w:rFonts w:ascii="Times New Roman"/>
          <w:sz w:val="30"/>
        </w:rPr>
      </w:pPr>
      <w:r>
        <w:rPr>
          <w:rFonts w:ascii="Times New Roman"/>
          <w:sz w:val="30"/>
        </w:rPr>
        <w:br w:type="page"/>
      </w:r>
    </w:p>
    <w:p>
      <w:pPr>
        <w:pStyle w:val="2"/>
        <w:spacing w:before="0" w:after="0" w:line="360" w:lineRule="auto"/>
        <w:jc w:val="center"/>
        <w:rPr>
          <w:rFonts w:ascii="Times New Roman"/>
          <w:sz w:val="30"/>
        </w:rPr>
      </w:pPr>
      <w:bookmarkStart w:id="62" w:name="_Toc116649649"/>
      <w:r>
        <w:rPr>
          <w:rFonts w:ascii="Times New Roman"/>
          <w:sz w:val="30"/>
        </w:rPr>
        <w:t>第</w:t>
      </w:r>
      <w:r>
        <w:rPr>
          <w:rFonts w:hint="eastAsia" w:ascii="Times New Roman"/>
          <w:sz w:val="30"/>
        </w:rPr>
        <w:t xml:space="preserve">一条 </w:t>
      </w:r>
      <w:r>
        <w:rPr>
          <w:rFonts w:ascii="Times New Roman"/>
          <w:sz w:val="30"/>
        </w:rPr>
        <w:t xml:space="preserve"> 释义</w:t>
      </w:r>
      <w:bookmarkEnd w:id="61"/>
      <w:bookmarkEnd w:id="62"/>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（一）在本产品说明书中，除非上下文另有明确约定，下列用词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w:t>
      </w:r>
      <w:r>
        <w:rPr>
          <w:rFonts w:hint="eastAsia" w:asciiTheme="majorEastAsia" w:hAnsiTheme="majorEastAsia" w:eastAsiaTheme="majorEastAsia"/>
          <w:bCs/>
          <w:color w:val="auto"/>
          <w:sz w:val="18"/>
          <w:szCs w:val="18"/>
        </w:rPr>
        <w:t>监管部门</w:t>
      </w:r>
      <w:r>
        <w:rPr>
          <w:rFonts w:asciiTheme="majorEastAsia" w:hAnsiTheme="majorEastAsia" w:eastAsiaTheme="majorEastAsia"/>
          <w:bCs/>
          <w:color w:val="auto"/>
          <w:sz w:val="18"/>
          <w:szCs w:val="18"/>
        </w:rPr>
        <w:t>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14"/>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：指产品管理人向投资者提供的，用于描述产品特征，约定权利义务的文件。具体指《兴银理财【稳利安盈封闭式】理财产品销售文件》，包括《投资协议书》、《产品说明书》、《（代理）销售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《投资协议书》：指管理人统一编制的《兴银理财【稳利安盈封闭式】理财产品投资协议书》，以及对该文件的有效修改或补充。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）《产品说明书》：指管理人统一编制的《兴银理财【稳利安盈封闭式】理财产品产品说明书》，以及对该文件的有效修改或补充。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（4）《（代理）销售协议书》：指管理人统一编制的《兴银理财【稳利安盈封闭式】理财产品（代理）销售协议书》或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的《兴银理财【稳利安盈封闭式】理财产品（代理）销售协议书》（文件名称以代理销售机构实际编制为准），以及对该文件的有效修改或补充。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）《风险揭示书》：指管理人统一编制的《兴银理财【稳利安盈封闭式】理财产品风险揭示书》或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的《兴银理财【稳利安盈封闭式】理财产品风险揭示书》（文件名称以代理销售机构实际编制为准），以及对该文件的有效修改或补充。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）《投资者权益须知》：指管理人统一编制的《兴银理财【稳利安盈封闭式】理财产品投资者权益须知》或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《兴银理财【稳利安盈封闭式】理财产品投资者权益须知》（文件名称以代理销售机构实际编制为准），以及对该文件的有效修改或补充。</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w:t>
      </w:r>
      <w:r>
        <w:rPr>
          <w:rFonts w:hint="eastAsia" w:asciiTheme="majorEastAsia" w:hAnsiTheme="majorEastAsia" w:eastAsiaTheme="majorEastAsia"/>
          <w:bCs/>
          <w:color w:val="auto"/>
          <w:sz w:val="18"/>
          <w:szCs w:val="18"/>
        </w:rPr>
        <w:t>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为每类份额类别设置的唯一性</w:t>
      </w:r>
      <w:r>
        <w:rPr>
          <w:rFonts w:hint="eastAsia" w:asciiTheme="majorEastAsia" w:hAnsiTheme="majorEastAsia" w:eastAsiaTheme="majorEastAsia"/>
          <w:bCs/>
          <w:color w:val="auto"/>
          <w:sz w:val="18"/>
          <w:szCs w:val="18"/>
        </w:rPr>
        <w:t>内部识别码。若本款理财产品不设置差异化产品份额类别，理财产品代码即为理财产品销售代码。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w:t>
      </w:r>
      <w:r>
        <w:rPr>
          <w:rFonts w:asciiTheme="majorEastAsia" w:hAnsiTheme="majorEastAsia" w:eastAsiaTheme="majorEastAsia"/>
          <w:bCs/>
          <w:sz w:val="18"/>
          <w:szCs w:val="18"/>
        </w:rPr>
        <w:t>理财</w:t>
      </w:r>
      <w:r>
        <w:rPr>
          <w:rFonts w:hint="eastAsia" w:asciiTheme="majorEastAsia" w:hAnsiTheme="majorEastAsia" w:eastAsiaTheme="major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产品的投资者类型。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0）理财产品估值：指计算评估理财产品资产和理财产品负债的价值，以确定理财产品份额净值的过程。</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1）</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指管理人综合考虑市场环境、产品性质、投资策略、过往表现等因素，对理财产品设置的投资目标和相关解释说明。</w:t>
      </w:r>
      <w:r>
        <w:rPr>
          <w:rFonts w:hint="eastAsia" w:ascii="黑体" w:hAnsi="黑体" w:eastAsia="黑体"/>
          <w:bCs/>
          <w:color w:val="auto"/>
          <w:sz w:val="18"/>
          <w:szCs w:val="18"/>
        </w:rPr>
        <w:t>业绩比较基准不是预期收益率，不代表产品的未来表现和实际收益，</w:t>
      </w:r>
      <w:r>
        <w:rPr>
          <w:rFonts w:hint="eastAsia" w:ascii="黑体" w:hAnsi="黑体"/>
          <w:sz w:val="18"/>
        </w:rPr>
        <w:t>不</w:t>
      </w:r>
      <w:r>
        <w:rPr>
          <w:rFonts w:hint="eastAsia" w:ascii="黑体" w:hAnsi="黑体" w:eastAsia="黑体"/>
          <w:bCs/>
          <w:sz w:val="18"/>
          <w:szCs w:val="18"/>
        </w:rPr>
        <w:t>构成对</w:t>
      </w:r>
      <w:r>
        <w:rPr>
          <w:rFonts w:hint="eastAsia" w:ascii="黑体" w:hAnsi="黑体"/>
          <w:sz w:val="18"/>
        </w:rPr>
        <w:t>产品收益的</w:t>
      </w:r>
      <w:r>
        <w:rPr>
          <w:rFonts w:hint="eastAsia" w:ascii="黑体" w:hAnsi="黑体" w:eastAsia="黑体"/>
          <w:bCs/>
          <w:sz w:val="18"/>
          <w:szCs w:val="18"/>
        </w:rPr>
        <w:t>承诺</w:t>
      </w:r>
      <w:r>
        <w:rPr>
          <w:rFonts w:hint="eastAsia" w:ascii="黑体" w:hAnsi="黑体"/>
          <w:sz w:val="18"/>
        </w:rPr>
        <w:t>，</w:t>
      </w:r>
      <w:r>
        <w:rPr>
          <w:rFonts w:hint="eastAsia" w:ascii="黑体" w:hAnsi="黑体" w:eastAsia="黑体"/>
          <w:bCs/>
          <w:color w:val="auto"/>
          <w:sz w:val="18"/>
          <w:szCs w:val="18"/>
        </w:rPr>
        <w:t>投资须谨慎。</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w:t>
      </w:r>
      <w:r>
        <w:rPr>
          <w:rFonts w:hint="eastAsia" w:ascii="黑体" w:hAnsi="黑体" w:eastAsia="黑体"/>
          <w:bCs/>
          <w:color w:val="auto"/>
          <w:sz w:val="18"/>
          <w:szCs w:val="18"/>
        </w:rPr>
        <w:t>★业绩报酬计提基准：</w:t>
      </w:r>
      <w:r>
        <w:rPr>
          <w:rFonts w:hint="eastAsia" w:asciiTheme="majorEastAsia" w:hAnsiTheme="majorEastAsia" w:eastAsiaTheme="majorEastAsia"/>
          <w:bCs/>
          <w:color w:val="auto"/>
          <w:sz w:val="18"/>
          <w:szCs w:val="18"/>
        </w:rPr>
        <w:t>指管理人计算超额业绩报酬的参照</w:t>
      </w:r>
      <w:r>
        <w:rPr>
          <w:rFonts w:asciiTheme="majorEastAsia" w:hAnsiTheme="majorEastAsia" w:eastAsiaTheme="majorEastAsia"/>
          <w:bCs/>
          <w:color w:val="auto"/>
          <w:sz w:val="18"/>
          <w:szCs w:val="18"/>
        </w:rPr>
        <w:t>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业绩报酬计提基准不是预期收益率，不代表产品的未来表现和实际收益，不构成对产品收益的承诺，投资须谨慎。</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3）理财产品利益/理财利益：指投资者因持有理财产品份额，按照销售文件约定取得或有权取得的理财产品管理人分配的理财产品资产。</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4</w:t>
      </w:r>
      <w:r>
        <w:rPr>
          <w:rFonts w:asciiTheme="majorEastAsia" w:hAnsiTheme="majorEastAsia" w:eastAsiaTheme="majorEastAsia"/>
          <w:bCs/>
          <w:color w:val="auto"/>
          <w:sz w:val="18"/>
          <w:szCs w:val="18"/>
        </w:rPr>
        <w:t xml:space="preserve">）利益分配：指产品管理人向投资者进行理财产品利益分配。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5</w:t>
      </w:r>
      <w:r>
        <w:rPr>
          <w:rFonts w:asciiTheme="majorEastAsia" w:hAnsiTheme="majorEastAsia" w:eastAsiaTheme="majorEastAsia"/>
          <w:bCs/>
          <w:color w:val="auto"/>
          <w:sz w:val="18"/>
          <w:szCs w:val="18"/>
        </w:rPr>
        <w:t xml:space="preserve">）期间分配：指在理财产品终止日（不含当日）前的理财产品利益分配。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6</w:t>
      </w:r>
      <w:r>
        <w:rPr>
          <w:rFonts w:asciiTheme="majorEastAsia" w:hAnsiTheme="majorEastAsia" w:eastAsiaTheme="majorEastAsia"/>
          <w:bCs/>
          <w:color w:val="auto"/>
          <w:sz w:val="18"/>
          <w:szCs w:val="18"/>
        </w:rPr>
        <w:t>）终止分配：指在理财产品终止日当日及之后的理财产品利益分配。</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7）认购：指投资者根据本销售文件约定在认购期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募集期内申请购买理财产品份额的行为。</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18</w:t>
      </w:r>
      <w:r>
        <w:rPr>
          <w:rFonts w:hint="eastAsia" w:asciiTheme="majorEastAsia" w:hAnsiTheme="majorEastAsia" w:eastAsiaTheme="majorEastAsia"/>
          <w:bCs/>
          <w:color w:val="auto"/>
          <w:sz w:val="18"/>
          <w:szCs w:val="18"/>
        </w:rPr>
        <w:t>）申购：</w:t>
      </w:r>
      <w:r>
        <w:rPr>
          <w:rFonts w:hint="eastAsia" w:asciiTheme="minorEastAsia" w:hAnsiTheme="minorEastAsia" w:eastAsiaTheme="minorEastAsia"/>
          <w:color w:val="auto"/>
          <w:sz w:val="18"/>
          <w:szCs w:val="18"/>
        </w:rPr>
        <w:t>指开放式理财产品成立后，投资者申请购买理财产品份额的行为。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首次申购，指未进行认购的投资者，在理财产品成立后申请购买理财产品份额的行为。</w:t>
      </w:r>
      <w:r>
        <w:rPr>
          <w:rFonts w:asciiTheme="minorEastAsia" w:hAnsiTheme="minorEastAsia" w:eastAsiaTheme="minorEastAsia"/>
          <w:color w:val="auto"/>
          <w:sz w:val="18"/>
          <w:szCs w:val="18"/>
        </w:rPr>
        <w:t>投资者全额赎回不再持有理财产品份额后再次申购</w:t>
      </w:r>
      <w:r>
        <w:rPr>
          <w:rFonts w:hint="eastAsia" w:asciiTheme="minorEastAsia" w:hAnsiTheme="minorEastAsia" w:eastAsiaTheme="minorEastAsia"/>
          <w:color w:val="auto"/>
          <w:sz w:val="18"/>
          <w:szCs w:val="18"/>
        </w:rPr>
        <w:t>的</w:t>
      </w:r>
      <w:r>
        <w:rPr>
          <w:rFonts w:asciiTheme="minorEastAsia" w:hAnsiTheme="minorEastAsia" w:eastAsiaTheme="minorEastAsia"/>
          <w:color w:val="auto"/>
          <w:sz w:val="18"/>
          <w:szCs w:val="18"/>
        </w:rPr>
        <w:t>，视同首次申购处理。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追加申购，指已经完成认购或首次申购的投资者，在理财产品成立后申请购买理财产品份额的行为。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19</w:t>
      </w:r>
      <w:r>
        <w:rPr>
          <w:rFonts w:hint="eastAsia" w:asciiTheme="majorEastAsia" w:hAnsiTheme="majorEastAsia" w:eastAsiaTheme="majorEastAsia"/>
          <w:bCs/>
          <w:color w:val="auto"/>
          <w:sz w:val="18"/>
          <w:szCs w:val="18"/>
        </w:rPr>
        <w:t>）赎回：</w:t>
      </w:r>
      <w:r>
        <w:rPr>
          <w:rFonts w:hint="eastAsia" w:asciiTheme="minorEastAsia" w:hAnsiTheme="minorEastAsia" w:eastAsiaTheme="minorEastAsia"/>
          <w:color w:val="auto"/>
          <w:sz w:val="18"/>
          <w:szCs w:val="18"/>
        </w:rPr>
        <w:t>指开放式理财产品成立后，投资者申请赎回理财产品份额的行为，即投资者申请将理财产品份额兑换为现金。</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14"/>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（11）产品存续期：指自理财产品成立日起，至理财产品终止日的期间。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2）清算期：指自本理财产品终止日至投资者理财利益到账日之间的期间。</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14"/>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14"/>
        <w:spacing w:line="360" w:lineRule="auto"/>
        <w:ind w:firstLine="360" w:firstLineChars="200"/>
        <w:rPr>
          <w:rFonts w:hAnsi="宋体"/>
          <w:sz w:val="18"/>
          <w:szCs w:val="18"/>
        </w:rPr>
      </w:pPr>
      <w:r>
        <w:rPr>
          <w:rFonts w:hint="eastAsia" w:hAnsi="宋体"/>
          <w:sz w:val="18"/>
          <w:szCs w:val="18"/>
        </w:rPr>
        <w:t>（2）</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14"/>
        <w:spacing w:line="360" w:lineRule="auto"/>
        <w:ind w:firstLine="360" w:firstLineChars="200"/>
        <w:rPr>
          <w:rFonts w:hAnsi="宋体"/>
          <w:sz w:val="18"/>
          <w:szCs w:val="18"/>
        </w:rPr>
      </w:pPr>
      <w:r>
        <w:rPr>
          <w:rFonts w:hint="eastAsia" w:hAnsi="宋体"/>
          <w:sz w:val="18"/>
          <w:szCs w:val="18"/>
        </w:rPr>
        <w:t>（3）</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14"/>
        <w:spacing w:line="360" w:lineRule="auto"/>
        <w:ind w:firstLine="360" w:firstLineChars="200"/>
        <w:rPr>
          <w:rFonts w:hAnsi="宋体"/>
          <w:sz w:val="18"/>
          <w:szCs w:val="18"/>
        </w:rPr>
      </w:pPr>
      <w:r>
        <w:rPr>
          <w:rFonts w:hint="eastAsia" w:hAnsi="宋体"/>
          <w:sz w:val="18"/>
          <w:szCs w:val="18"/>
        </w:rPr>
        <w:t>（4）</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14"/>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（5）</w:t>
      </w:r>
      <w:r>
        <w:rPr>
          <w:rFonts w:hint="eastAsia" w:ascii="黑体" w:hAnsi="黑体" w:eastAsia="黑体" w:cs="仿宋_GB2312"/>
          <w:bCs/>
          <w:color w:val="auto"/>
          <w:sz w:val="18"/>
          <w:szCs w:val="18"/>
        </w:rPr>
        <w:t>★</w:t>
      </w:r>
      <w:r>
        <w:rPr>
          <w:rFonts w:hint="eastAsia" w:hAnsi="宋体"/>
          <w:sz w:val="18"/>
          <w:szCs w:val="18"/>
        </w:rPr>
        <w:t>超额业绩报酬/业绩报酬：指产品管理人依照理财产品销售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）国家金融监督管理总局：为免歧义，原中国银行业监督管理委员会、原中国银行保险监督管理委员会与国家金融监督管理总局均统称为“国家金融监督管理总局”。</w:t>
      </w:r>
    </w:p>
    <w:p>
      <w:pPr>
        <w:spacing w:line="360" w:lineRule="auto"/>
        <w:ind w:firstLine="360" w:firstLineChars="200"/>
        <w:rPr>
          <w:rFonts w:ascii="宋体" w:hAnsi="宋体"/>
          <w:color w:val="000000"/>
          <w:kern w:val="0"/>
          <w:sz w:val="28"/>
          <w:szCs w:val="2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pPr>
        <w:pStyle w:val="2"/>
        <w:spacing w:before="0" w:after="0" w:line="360" w:lineRule="auto"/>
        <w:jc w:val="center"/>
        <w:rPr>
          <w:rFonts w:hAnsi="宋体"/>
          <w:sz w:val="28"/>
          <w:szCs w:val="28"/>
        </w:rPr>
      </w:pPr>
      <w:bookmarkStart w:id="63" w:name="_Toc79154665"/>
      <w:bookmarkStart w:id="64" w:name="_Toc116649650"/>
      <w:r>
        <w:rPr>
          <w:rFonts w:hint="eastAsia" w:hAnsi="宋体"/>
          <w:sz w:val="28"/>
          <w:szCs w:val="28"/>
        </w:rPr>
        <w:t>第二条  理财产品基本情况</w:t>
      </w:r>
      <w:bookmarkEnd w:id="63"/>
      <w:r>
        <w:rPr>
          <w:rFonts w:hint="eastAsia" w:hAnsi="宋体"/>
          <w:sz w:val="28"/>
          <w:szCs w:val="28"/>
        </w:rPr>
        <w:t xml:space="preserve"> </w:t>
      </w:r>
      <w:bookmarkEnd w:id="64"/>
    </w:p>
    <w:tbl>
      <w:tblPr>
        <w:tblStyle w:val="7"/>
        <w:tblW w:w="96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70"/>
        <w:gridCol w:w="7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【兴银理财稳利安盈封闭式2024年13期固收类理财产品】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83"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【稳利安盈2024年13期A】（适用【A】类份额）</w:t>
            </w:r>
          </w:p>
          <w:p>
            <w:pPr>
              <w:spacing w:line="360" w:lineRule="auto"/>
              <w:rPr>
                <w:rFonts w:ascii="宋体" w:hAnsi="宋体"/>
                <w:bCs/>
                <w:sz w:val="18"/>
                <w:szCs w:val="18"/>
              </w:rPr>
            </w:pPr>
            <w:r>
              <w:rPr>
                <w:rFonts w:hint="eastAsia" w:ascii="宋体" w:hAnsi="宋体"/>
                <w:bCs/>
                <w:sz w:val="18"/>
                <w:szCs w:val="18"/>
              </w:rPr>
              <w:t>【稳利安盈2024年13期B】（适用【B】类份额）</w:t>
            </w:r>
          </w:p>
          <w:p>
            <w:pPr>
              <w:spacing w:line="360" w:lineRule="auto"/>
              <w:rPr>
                <w:rFonts w:ascii="宋体" w:hAnsi="宋体"/>
                <w:bCs/>
                <w:sz w:val="18"/>
                <w:szCs w:val="18"/>
              </w:rPr>
            </w:pPr>
            <w:r>
              <w:rPr>
                <w:rFonts w:hint="eastAsia" w:ascii="宋体" w:hAnsi="宋体"/>
                <w:bCs/>
                <w:sz w:val="18"/>
                <w:szCs w:val="18"/>
              </w:rPr>
              <w:t>【稳利安盈2024年13期C】（适用【C】类份额）</w:t>
            </w:r>
          </w:p>
          <w:p>
            <w:pPr>
              <w:spacing w:line="360" w:lineRule="auto"/>
              <w:rPr>
                <w:rFonts w:ascii="宋体" w:hAnsi="宋体"/>
                <w:bCs/>
                <w:sz w:val="18"/>
                <w:szCs w:val="18"/>
              </w:rPr>
            </w:pPr>
            <w:r>
              <w:rPr>
                <w:rFonts w:hint="eastAsia" w:ascii="宋体" w:hAnsi="宋体"/>
                <w:bCs/>
                <w:sz w:val="18"/>
                <w:szCs w:val="18"/>
              </w:rPr>
              <w:t>【稳利安盈2024年13期D】（适用【D】类份额）</w:t>
            </w:r>
          </w:p>
          <w:p>
            <w:pPr>
              <w:spacing w:line="360" w:lineRule="auto"/>
              <w:rPr>
                <w:rFonts w:ascii="宋体" w:hAnsi="宋体"/>
                <w:bCs/>
                <w:sz w:val="18"/>
                <w:szCs w:val="18"/>
              </w:rPr>
            </w:pPr>
            <w:r>
              <w:rPr>
                <w:rFonts w:hint="eastAsia" w:ascii="宋体" w:hAnsi="宋体"/>
                <w:bCs/>
                <w:sz w:val="18"/>
                <w:szCs w:val="18"/>
              </w:rPr>
              <w:t>【稳利安盈2024年13期E】（适用【E】类份额）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674" w:type="dxa"/>
            <w:shd w:val="solid" w:color="FFFFFF" w:fill="FFFFFF"/>
          </w:tcPr>
          <w:p>
            <w:pPr>
              <w:spacing w:line="360" w:lineRule="auto"/>
              <w:rPr>
                <w:rFonts w:ascii="宋体" w:hAnsi="宋体"/>
                <w:b/>
                <w:sz w:val="18"/>
                <w:szCs w:val="18"/>
              </w:rPr>
            </w:pPr>
            <w:r>
              <w:rPr>
                <w:rFonts w:hint="eastAsia" w:asciiTheme="minorEastAsia" w:hAnsiTheme="minorEastAsia"/>
                <w:sz w:val="18"/>
                <w:szCs w:val="18"/>
              </w:rPr>
              <w:t>【</w:t>
            </w:r>
            <w:r>
              <w:rPr>
                <w:rFonts w:asciiTheme="minorEastAsia" w:hAnsiTheme="minorEastAsia"/>
                <w:sz w:val="18"/>
                <w:szCs w:val="18"/>
              </w:rPr>
              <w:t>Z7002024000264</w:t>
            </w:r>
            <w:r>
              <w:rPr>
                <w:rFonts w:hint="eastAsia" w:asciiTheme="minorEastAsia" w:hAnsiTheme="minorEastAsia"/>
                <w:sz w:val="18"/>
                <w:szCs w:val="18"/>
              </w:rPr>
              <w:t>】</w:t>
            </w:r>
            <w:r>
              <w:rPr>
                <w:rFonts w:hint="eastAsia" w:asciiTheme="majorEastAsia" w:hAnsiTheme="majorEastAsia" w:eastAsiaTheme="majorEastAsia"/>
                <w:sz w:val="18"/>
                <w:szCs w:val="18"/>
              </w:rPr>
              <w:t>投资者可依据理财产品登记编码在中国理财网</w:t>
            </w:r>
            <w:r>
              <w:rPr>
                <w:rFonts w:asciiTheme="majorEastAsia" w:hAnsiTheme="majorEastAsia" w:eastAsiaTheme="majorEastAsia"/>
                <w:sz w:val="18"/>
                <w:szCs w:val="18"/>
              </w:rPr>
              <w:t>(</w:t>
            </w:r>
            <w:r>
              <w:fldChar w:fldCharType="begin"/>
            </w:r>
            <w:r>
              <w:instrText xml:space="preserve"> HYPERLINK "http://www.chinawealth.com.cn" </w:instrText>
            </w:r>
            <w:r>
              <w:fldChar w:fldCharType="separate"/>
            </w:r>
            <w:r>
              <w:rPr>
                <w:rFonts w:asciiTheme="majorEastAsia" w:hAnsiTheme="majorEastAsia" w:eastAsiaTheme="majorEastAsia"/>
                <w:sz w:val="18"/>
                <w:szCs w:val="18"/>
              </w:rPr>
              <w:t>www.chinawealth.com.cn</w:t>
            </w:r>
            <w:r>
              <w:rPr>
                <w:rFonts w:asciiTheme="majorEastAsia" w:hAnsiTheme="majorEastAsia" w:eastAsiaTheme="majorEastAsia"/>
                <w:sz w:val="18"/>
                <w:szCs w:val="18"/>
              </w:rPr>
              <w:fldChar w:fldCharType="end"/>
            </w:r>
            <w:r>
              <w:rPr>
                <w:rFonts w:asciiTheme="majorEastAsia" w:hAnsiTheme="majorEastAsia" w:eastAsiaTheme="majorEastAsia"/>
                <w:sz w:val="18"/>
                <w:szCs w:val="18"/>
              </w:rPr>
              <w:t>）</w:t>
            </w:r>
            <w:r>
              <w:rPr>
                <w:rFonts w:hint="eastAsia" w:asciiTheme="majorEastAsia" w:hAnsiTheme="majorEastAsia" w:eastAsiaTheme="majorEastAsia"/>
                <w:sz w:val="18"/>
                <w:szCs w:val="18"/>
              </w:rPr>
              <w:t>查询产品信息。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w:t>
            </w:r>
            <w:r>
              <w:rPr>
                <w:rFonts w:ascii="宋体" w:hAnsi="宋体"/>
                <w:bCs/>
                <w:color w:val="000000" w:themeColor="text1"/>
                <w:sz w:val="18"/>
                <w:szCs w:val="18"/>
                <w14:textFill>
                  <w14:solidFill>
                    <w14:schemeClr w14:val="tx1"/>
                  </w14:solidFill>
                </w14:textFill>
              </w:rPr>
              <w:t>9A240130</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674" w:type="dxa"/>
            <w:shd w:val="solid" w:color="FFFFFF" w:fill="FFFFFF"/>
          </w:tcPr>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9A24013A</w:t>
            </w:r>
            <w:r>
              <w:rPr>
                <w:rFonts w:hint="eastAsia" w:ascii="宋体" w:hAnsi="宋体"/>
                <w:sz w:val="18"/>
                <w:szCs w:val="18"/>
              </w:rPr>
              <w:t>】（适用【</w:t>
            </w:r>
            <w:r>
              <w:rPr>
                <w:rFonts w:ascii="宋体" w:hAnsi="宋体"/>
                <w:sz w:val="18"/>
                <w:szCs w:val="18"/>
              </w:rPr>
              <w:t>A</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9A24013B</w:t>
            </w:r>
            <w:r>
              <w:rPr>
                <w:rFonts w:hint="eastAsia" w:ascii="宋体" w:hAnsi="宋体"/>
                <w:sz w:val="18"/>
                <w:szCs w:val="18"/>
              </w:rPr>
              <w:t>】（适用【</w:t>
            </w:r>
            <w:r>
              <w:rPr>
                <w:rFonts w:ascii="宋体" w:hAnsi="宋体"/>
                <w:sz w:val="18"/>
                <w:szCs w:val="18"/>
              </w:rPr>
              <w:t>B</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9A24013C</w:t>
            </w:r>
            <w:r>
              <w:rPr>
                <w:rFonts w:hint="eastAsia" w:ascii="宋体" w:hAnsi="宋体"/>
                <w:sz w:val="18"/>
                <w:szCs w:val="18"/>
              </w:rPr>
              <w:t>】（适用【</w:t>
            </w:r>
            <w:r>
              <w:rPr>
                <w:rFonts w:ascii="宋体" w:hAnsi="宋体"/>
                <w:sz w:val="18"/>
                <w:szCs w:val="18"/>
              </w:rPr>
              <w:t>C</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9A24013D</w:t>
            </w:r>
            <w:r>
              <w:rPr>
                <w:rFonts w:hint="eastAsia" w:ascii="宋体" w:hAnsi="宋体"/>
                <w:sz w:val="18"/>
                <w:szCs w:val="18"/>
              </w:rPr>
              <w:t>】（适用【</w:t>
            </w:r>
            <w:r>
              <w:rPr>
                <w:rFonts w:ascii="宋体" w:hAnsi="宋体"/>
                <w:sz w:val="18"/>
                <w:szCs w:val="18"/>
              </w:rPr>
              <w:t>D</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9A24013E</w:t>
            </w:r>
            <w:r>
              <w:rPr>
                <w:rFonts w:hint="eastAsia" w:ascii="宋体" w:hAnsi="宋体"/>
                <w:sz w:val="18"/>
                <w:szCs w:val="18"/>
              </w:rPr>
              <w:t>】（适用【E】类份额）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w:t>
            </w:r>
            <w:r>
              <w:rPr>
                <w:rFonts w:ascii="宋体" w:hAnsi="宋体"/>
                <w:bCs/>
                <w:sz w:val="18"/>
                <w:szCs w:val="18"/>
              </w:rPr>
              <w:t>可能</w:t>
            </w:r>
            <w:r>
              <w:rPr>
                <w:rFonts w:hint="eastAsia" w:ascii="宋体" w:hAnsi="宋体"/>
                <w:bCs/>
                <w:sz w:val="18"/>
                <w:szCs w:val="18"/>
              </w:rPr>
              <w:t>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
                <w:bCs/>
                <w:sz w:val="18"/>
                <w:szCs w:val="18"/>
              </w:rPr>
            </w:pPr>
            <w:r>
              <w:rPr>
                <w:rFonts w:hint="eastAsia" w:ascii="黑体" w:hAnsi="黑体" w:eastAsia="黑体"/>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w:t>
            </w:r>
            <w:r>
              <w:rPr>
                <w:rFonts w:ascii="宋体" w:hAnsi="宋体"/>
                <w:bCs/>
                <w:sz w:val="18"/>
                <w:szCs w:val="18"/>
              </w:rPr>
              <w:t>收益</w:t>
            </w:r>
            <w:r>
              <w:rPr>
                <w:rFonts w:hint="eastAsia" w:ascii="宋体" w:hAnsi="宋体"/>
                <w:bCs/>
                <w:sz w:val="18"/>
                <w:szCs w:val="18"/>
              </w:rPr>
              <w:t>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67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67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本产品属于【■ </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
                <w:bCs/>
                <w:sz w:val="18"/>
                <w:szCs w:val="18"/>
              </w:rPr>
            </w:pPr>
            <w:r>
              <w:rPr>
                <w:rFonts w:hint="eastAsia" w:ascii="黑体" w:hAnsi="黑体" w:eastAsia="黑体"/>
                <w:bCs/>
                <w:sz w:val="18"/>
                <w:szCs w:val="18"/>
              </w:rPr>
              <w:t>注</w:t>
            </w:r>
            <w:r>
              <w:rPr>
                <w:rFonts w:ascii="黑体" w:hAnsi="黑体" w:eastAsia="黑体"/>
                <w:bCs/>
                <w:sz w:val="18"/>
                <w:szCs w:val="18"/>
              </w:rPr>
              <w:t>：</w:t>
            </w:r>
            <w:r>
              <w:rPr>
                <w:rFonts w:hint="eastAsia" w:ascii="黑体" w:hAnsi="黑体" w:eastAsia="黑体"/>
                <w:bCs/>
                <w:sz w:val="18"/>
                <w:szCs w:val="18"/>
              </w:rPr>
              <w:t>若本</w:t>
            </w:r>
            <w:r>
              <w:rPr>
                <w:rFonts w:ascii="黑体" w:hAnsi="黑体" w:eastAsia="黑体"/>
                <w:bCs/>
                <w:sz w:val="18"/>
                <w:szCs w:val="18"/>
              </w:rPr>
              <w:t>产品通过代理销售机构销售的，</w:t>
            </w:r>
            <w:r>
              <w:rPr>
                <w:rFonts w:hint="eastAsia" w:ascii="黑体" w:hAnsi="黑体" w:eastAsia="黑体"/>
                <w:bCs/>
                <w:sz w:val="18"/>
                <w:szCs w:val="18"/>
              </w:rPr>
              <w:t>理财产品</w:t>
            </w:r>
            <w:r>
              <w:rPr>
                <w:rFonts w:ascii="黑体" w:hAnsi="黑体" w:eastAsia="黑体"/>
                <w:bCs/>
                <w:sz w:val="18"/>
                <w:szCs w:val="18"/>
              </w:rPr>
              <w:t>评级</w:t>
            </w:r>
            <w:r>
              <w:rPr>
                <w:rFonts w:hint="eastAsia" w:ascii="黑体" w:hAnsi="黑体" w:eastAsia="黑体"/>
                <w:bCs/>
                <w:sz w:val="18"/>
                <w:szCs w:val="18"/>
              </w:rPr>
              <w:t>以</w:t>
            </w:r>
            <w:r>
              <w:rPr>
                <w:rFonts w:ascii="黑体" w:hAnsi="黑体" w:eastAsia="黑体"/>
                <w:bCs/>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67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asciiTheme="majorEastAsia" w:hAnsiTheme="majorEastAsia" w:eastAsiaTheme="majorEastAsia"/>
                <w:bCs/>
                <w:color w:val="000000" w:themeColor="text1"/>
                <w:sz w:val="18"/>
                <w:szCs w:val="18"/>
                <w14:textFill>
                  <w14:solidFill>
                    <w14:schemeClr w14:val="tx1"/>
                  </w14:solidFill>
                </w14:textFill>
              </w:rPr>
              <w:t>本产品适合以下类型投资者：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
                <w:bCs/>
                <w:color w:val="000000" w:themeColor="text1"/>
                <w:sz w:val="18"/>
                <w:szCs w:val="18"/>
                <w14:textFill>
                  <w14:solidFill>
                    <w14:schemeClr w14:val="tx1"/>
                  </w14:solidFill>
                </w14:textFill>
              </w:rPr>
            </w:pPr>
            <w:r>
              <w:rPr>
                <w:rFonts w:hint="eastAsia" w:ascii="黑体" w:hAnsi="黑体" w:eastAsia="黑体" w:cs="黑体"/>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 直销适用</w:t>
            </w:r>
          </w:p>
          <w:p>
            <w:pPr>
              <w:spacing w:line="360" w:lineRule="auto"/>
              <w:jc w:val="left"/>
              <w:rPr>
                <w:rFonts w:ascii="宋体" w:hAnsi="宋体"/>
                <w:sz w:val="18"/>
                <w:szCs w:val="18"/>
              </w:rPr>
            </w:pPr>
            <w:r>
              <w:rPr>
                <w:rFonts w:hint="eastAsia" w:ascii="宋体" w:hAnsi="宋体"/>
                <w:sz w:val="18"/>
                <w:szCs w:val="18"/>
              </w:rPr>
              <w:t>本产品由产品管理人销售。</w:t>
            </w:r>
          </w:p>
          <w:p>
            <w:pPr>
              <w:spacing w:line="360" w:lineRule="auto"/>
              <w:jc w:val="left"/>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jc w:val="left"/>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w:t>
            </w:r>
            <w:r>
              <w:rPr>
                <w:rFonts w:asciiTheme="majorEastAsia" w:hAnsiTheme="majorEastAsia" w:eastAsiaTheme="majorEastAsia"/>
                <w:bCs/>
                <w:sz w:val="18"/>
                <w:szCs w:val="18"/>
              </w:rPr>
              <w:t>15</w:t>
            </w:r>
            <w:r>
              <w:rPr>
                <w:rFonts w:hint="eastAsia" w:asciiTheme="majorEastAsia" w:hAnsiTheme="majorEastAsia" w:eastAsiaTheme="majorEastAsia"/>
                <w:bCs/>
                <w:sz w:val="18"/>
                <w:szCs w:val="18"/>
              </w:rPr>
              <w:t>】亿元，最小成立规模为【/】亿元。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40</w:t>
            </w:r>
            <w:r>
              <w:rPr>
                <w:rFonts w:asciiTheme="majorEastAsia" w:hAnsiTheme="majorEastAsia" w:eastAsiaTheme="majorEastAsia"/>
                <w:bCs/>
                <w:sz w:val="18"/>
                <w:szCs w:val="18"/>
              </w:rPr>
              <w:t>天</w:t>
            </w:r>
            <w:r>
              <w:rPr>
                <w:rFonts w:hint="eastAsia" w:asciiTheme="majorEastAsia" w:hAnsiTheme="majorEastAsia" w:eastAsiaTheme="majorEastAsia"/>
                <w:bCs/>
                <w:sz w:val="18"/>
                <w:szCs w:val="18"/>
              </w:rPr>
              <w:t>】</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□无固定期限</w:t>
            </w:r>
          </w:p>
          <w:p>
            <w:pPr>
              <w:spacing w:line="360" w:lineRule="auto"/>
              <w:rPr>
                <w:rFonts w:asciiTheme="majorEastAsia" w:hAnsiTheme="majorEastAsia" w:eastAsiaTheme="majorEastAsia"/>
                <w:bCs/>
                <w:sz w:val="18"/>
                <w:szCs w:val="18"/>
              </w:rPr>
            </w:pPr>
            <w:r>
              <w:rPr>
                <w:rFonts w:hint="eastAsia" w:ascii="黑体" w:hAnsi="黑体" w:eastAsia="黑体"/>
                <w:bCs/>
                <w:sz w:val="18"/>
                <w:szCs w:val="18"/>
              </w:rPr>
              <w:t>注：本产品的实际期限受制于本理财产品销售文件“提前终止”及“延期终止”情形。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w:t>
            </w:r>
            <w:r>
              <w:rPr>
                <w:rFonts w:hint="eastAsia" w:cs="Times New Roman" w:asciiTheme="minorEastAsia" w:hAnsiTheme="minorEastAsia"/>
                <w:sz w:val="18"/>
                <w:szCs w:val="18"/>
              </w:rPr>
              <w:t>【</w:t>
            </w:r>
            <w:r>
              <w:rPr>
                <w:rFonts w:cs="Times New Roman" w:asciiTheme="minorEastAsia" w:hAnsiTheme="minorEastAsia"/>
                <w:sz w:val="18"/>
                <w:szCs w:val="18"/>
              </w:rPr>
              <w:t>2024】年【</w:t>
            </w:r>
            <w:r>
              <w:rPr>
                <w:rFonts w:hint="eastAsia" w:cs="Times New Roman" w:asciiTheme="minorEastAsia" w:hAnsiTheme="minorEastAsia"/>
                <w:sz w:val="18"/>
                <w:szCs w:val="18"/>
              </w:rPr>
              <w:t>4】月【2】日【</w:t>
            </w:r>
            <w:r>
              <w:rPr>
                <w:rFonts w:cs="Times New Roman" w:asciiTheme="minorEastAsia" w:hAnsiTheme="minorEastAsia"/>
                <w:sz w:val="18"/>
                <w:szCs w:val="18"/>
              </w:rPr>
              <w:t>9:</w:t>
            </w:r>
            <w:r>
              <w:rPr>
                <w:rFonts w:hint="eastAsia" w:cs="Times New Roman" w:asciiTheme="minorEastAsia" w:hAnsiTheme="minorEastAsia"/>
                <w:sz w:val="18"/>
                <w:szCs w:val="18"/>
              </w:rPr>
              <w:t>0</w:t>
            </w:r>
            <w:r>
              <w:rPr>
                <w:rFonts w:cs="Times New Roman" w:asciiTheme="minorEastAsia" w:hAnsiTheme="minorEastAsia"/>
                <w:sz w:val="18"/>
                <w:szCs w:val="18"/>
              </w:rPr>
              <w:t>0</w:t>
            </w:r>
            <w:r>
              <w:rPr>
                <w:rFonts w:hint="eastAsia" w:cs="Times New Roman" w:asciiTheme="minorEastAsia" w:hAnsiTheme="minorEastAsia"/>
                <w:sz w:val="18"/>
                <w:szCs w:val="18"/>
              </w:rPr>
              <w:t>】</w:t>
            </w:r>
            <w:r>
              <w:rPr>
                <w:rFonts w:hint="eastAsia" w:cs="仿宋_GB2312" w:asciiTheme="minorEastAsia" w:hAnsiTheme="minorEastAsia"/>
                <w:sz w:val="18"/>
                <w:szCs w:val="18"/>
              </w:rPr>
              <w:t>至</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04】月【9】日</w:t>
            </w:r>
            <w:r>
              <w:rPr>
                <w:rFonts w:hint="eastAsia" w:asciiTheme="majorEastAsia" w:hAnsiTheme="majorEastAsia" w:eastAsiaTheme="majorEastAsia"/>
                <w:sz w:val="18"/>
                <w:szCs w:val="18"/>
              </w:rPr>
              <w:t>【1</w:t>
            </w:r>
            <w:r>
              <w:rPr>
                <w:rFonts w:asciiTheme="majorEastAsia" w:hAnsiTheme="majorEastAsia" w:eastAsiaTheme="majorEastAsia"/>
                <w:sz w:val="18"/>
                <w:szCs w:val="18"/>
              </w:rPr>
              <w:t>7:</w:t>
            </w:r>
            <w:r>
              <w:rPr>
                <w:rFonts w:hint="eastAsia" w:asciiTheme="majorEastAsia" w:hAnsiTheme="majorEastAsia" w:eastAsiaTheme="majorEastAsia"/>
                <w:sz w:val="18"/>
                <w:szCs w:val="18"/>
              </w:rPr>
              <w:t>0</w:t>
            </w:r>
            <w:r>
              <w:rPr>
                <w:rFonts w:asciiTheme="majorEastAsia" w:hAnsiTheme="majorEastAsia" w:eastAsiaTheme="majorEastAsia"/>
                <w:sz w:val="18"/>
                <w:szCs w:val="18"/>
              </w:rPr>
              <w:t>0</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w:t>
            </w:r>
            <w:r>
              <w:rPr>
                <w:rFonts w:hint="eastAsia" w:ascii="宋体" w:hAnsi="宋体"/>
                <w:bCs/>
                <w:sz w:val="18"/>
                <w:szCs w:val="18"/>
              </w:rPr>
              <w:t>认购期/募集期内资金产生的利息不计入认购资金</w:t>
            </w:r>
            <w:r>
              <w:rPr>
                <w:rFonts w:hint="eastAsia" w:ascii="宋体" w:hAnsi="宋体"/>
                <w:sz w:val="18"/>
              </w:rPr>
              <w:t>。</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①为本产品办理相关交易的实际工作服务时段，因代理销售机构的不同可能存在差异（可能晚于销售文件约定的起始时点开始或早于销售文件约定的终止时点结束），投资者应当以代理销售机构的展示为准。</w:t>
            </w:r>
          </w:p>
          <w:p>
            <w:pPr>
              <w:spacing w:line="360" w:lineRule="auto"/>
              <w:rPr>
                <w:rFonts w:asciiTheme="majorEastAsia" w:hAnsiTheme="majorEastAsia" w:eastAsiaTheme="majorEastAsia"/>
                <w:bCs/>
                <w:sz w:val="18"/>
                <w:szCs w:val="18"/>
              </w:rPr>
            </w:pPr>
            <w:r>
              <w:rPr>
                <w:rFonts w:hint="eastAsia" w:ascii="黑体" w:hAnsi="黑体" w:eastAsia="黑体" w:cs="黑体"/>
                <w:bCs/>
                <w:color w:val="000000" w:themeColor="text1"/>
                <w:sz w:val="18"/>
                <w:szCs w:val="18"/>
                <w14:textFill>
                  <w14:solidFill>
                    <w14:schemeClr w14:val="tx1"/>
                  </w14:solidFill>
                </w14:textFill>
              </w:rPr>
              <w:t>②代理销售机构的实际工作服务时段，最早不得早于销售文件约定的起始时点、最晚不得晚于销售文件约定的终止时点。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04】月【10】日（遇节假日顺延）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inorEastAsia" w:hAnsiTheme="minorEastAsia"/>
                <w:b/>
                <w:bCs/>
                <w:sz w:val="18"/>
                <w:szCs w:val="18"/>
              </w:rPr>
              <w:t>终止日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08】月【28】日（遇节假日顺延）</w:t>
            </w:r>
            <w:r>
              <w:rPr>
                <w:rFonts w:hint="eastAsia" w:asciiTheme="minorEastAsia" w:hAnsiTheme="minorEastAsia"/>
                <w:bCs/>
                <w:sz w:val="18"/>
                <w:szCs w:val="18"/>
              </w:rPr>
              <w:t>。</w:t>
            </w:r>
          </w:p>
          <w:p>
            <w:pPr>
              <w:spacing w:line="360" w:lineRule="auto"/>
              <w:rPr>
                <w:rFonts w:cs="Times New Roman" w:asciiTheme="minorEastAsia" w:hAnsiTheme="minorEastAsia"/>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sz w:val="18"/>
                <w:szCs w:val="18"/>
              </w:rPr>
              <w:t>每笔购买起点金额为【1】元；超出起点金额的部分以【0.01】元的整数倍递增。（适用【A/B/C/D/E】类份额）</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关于代理销售机构的实际销售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的提示</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color w:val="000000" w:themeColor="text1"/>
                <w:sz w:val="18"/>
                <w:szCs w:val="18"/>
                <w14:textFill>
                  <w14:solidFill>
                    <w14:schemeClr w14:val="tx1"/>
                  </w14:solidFill>
                </w14:textFill>
              </w:rPr>
              <w:t>以</w:t>
            </w:r>
            <w:r>
              <w:rPr>
                <w:rFonts w:hint="eastAsia" w:ascii="黑体" w:hAnsi="黑体" w:eastAsia="黑体"/>
                <w:color w:val="000000" w:themeColor="text1"/>
                <w:sz w:val="18"/>
                <w:szCs w:val="18"/>
                <w14:textFill>
                  <w14:solidFill>
                    <w14:schemeClr w14:val="tx1"/>
                  </w14:solidFill>
                </w14:textFill>
              </w:rPr>
              <w:t>代理销售机构展示</w:t>
            </w:r>
            <w:r>
              <w:rPr>
                <w:rFonts w:ascii="黑体" w:hAnsi="黑体" w:eastAsia="黑体"/>
                <w:color w:val="000000" w:themeColor="text1"/>
                <w:sz w:val="18"/>
                <w:szCs w:val="18"/>
                <w14:textFill>
                  <w14:solidFill>
                    <w14:schemeClr w14:val="tx1"/>
                  </w14:solidFill>
                </w14:textFill>
              </w:rPr>
              <w:t>为准</w:t>
            </w:r>
            <w:r>
              <w:rPr>
                <w:rFonts w:hint="eastAsia" w:ascii="黑体" w:hAnsi="黑体" w:eastAsia="黑体"/>
                <w:color w:val="000000" w:themeColor="text1"/>
                <w:sz w:val="18"/>
                <w:szCs w:val="18"/>
                <w14:textFill>
                  <w14:solidFill>
                    <w14:schemeClr w14:val="tx1"/>
                  </w14:solidFill>
                </w14:textFill>
              </w:rPr>
              <w:t>。</w:t>
            </w:r>
          </w:p>
          <w:p>
            <w:pPr>
              <w:spacing w:line="360" w:lineRule="auto"/>
              <w:jc w:val="left"/>
              <w:rPr>
                <w:rFonts w:cs="Times New Roman" w:asciiTheme="minorEastAsia" w:hAnsiTheme="minorEastAsia"/>
                <w:sz w:val="18"/>
                <w:szCs w:val="18"/>
              </w:rPr>
            </w:pPr>
            <w:r>
              <w:rPr>
                <w:rFonts w:hint="eastAsia" w:ascii="黑体" w:hAnsi="黑体" w:eastAsia="黑体"/>
                <w:color w:val="000000" w:themeColor="text1"/>
                <w:sz w:val="18"/>
                <w:szCs w:val="18"/>
                <w14:textFill>
                  <w14:solidFill>
                    <w14:schemeClr w14:val="tx1"/>
                  </w14:solidFill>
                </w14:textFill>
              </w:rPr>
              <w:t>②代理销售机构的实际销售起点金额，</w:t>
            </w:r>
            <w:r>
              <w:rPr>
                <w:rFonts w:ascii="黑体" w:hAnsi="黑体" w:eastAsia="黑体"/>
                <w:color w:val="000000" w:themeColor="text1"/>
                <w:sz w:val="18"/>
                <w:szCs w:val="18"/>
                <w14:textFill>
                  <w14:solidFill>
                    <w14:schemeClr w14:val="tx1"/>
                  </w14:solidFill>
                </w14:textFill>
              </w:rPr>
              <w:t>不得低于</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文件约定的</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b/>
                <w:sz w:val="18"/>
                <w:szCs w:val="18"/>
              </w:rPr>
              <w:t>★认购的数量限制</w:t>
            </w:r>
          </w:p>
        </w:tc>
        <w:tc>
          <w:tcPr>
            <w:tcW w:w="7674" w:type="dxa"/>
            <w:shd w:val="solid" w:color="FFFFFF" w:fill="FFFFFF"/>
            <w:vAlign w:val="center"/>
          </w:tcPr>
          <w:p>
            <w:pPr>
              <w:pStyle w:val="14"/>
              <w:spacing w:line="360" w:lineRule="auto"/>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A/B/C/D/E</w:t>
            </w:r>
            <w:r>
              <w:rPr>
                <w:rFonts w:hint="eastAsia" w:hAnsi="宋体"/>
                <w:bCs/>
                <w:sz w:val="18"/>
                <w:szCs w:val="18"/>
              </w:rPr>
              <w:t>】类</w:t>
            </w:r>
            <w:r>
              <w:rPr>
                <w:rFonts w:hAnsi="宋体"/>
                <w:bCs/>
                <w:sz w:val="18"/>
                <w:szCs w:val="18"/>
              </w:rPr>
              <w:t>份额</w:t>
            </w:r>
            <w:r>
              <w:rPr>
                <w:rFonts w:hint="eastAsia" w:hAnsi="宋体"/>
                <w:bCs/>
                <w:sz w:val="18"/>
                <w:szCs w:val="18"/>
              </w:rPr>
              <w:t>）</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1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本产品单一投资者持有份额不得超过产品总份额</w:t>
            </w:r>
            <w:r>
              <w:rPr>
                <w:rFonts w:ascii="黑体" w:hAnsi="黑体" w:eastAsia="黑体"/>
                <w:color w:val="000000" w:themeColor="text1"/>
                <w:sz w:val="18"/>
                <w:szCs w:val="18"/>
                <w14:textFill>
                  <w14:solidFill>
                    <w14:schemeClr w14:val="tx1"/>
                  </w14:solidFill>
                </w14:textFill>
              </w:rPr>
              <w:t>50%。</w:t>
            </w:r>
          </w:p>
          <w:p>
            <w:pPr>
              <w:pStyle w:val="1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1）投资者认购或申购确认后可能导致其持有份额超过产品总份额50%的，管理人有权拒绝或暂停认购、申购。</w:t>
            </w:r>
          </w:p>
          <w:p>
            <w:pPr>
              <w:spacing w:line="360" w:lineRule="auto"/>
              <w:rPr>
                <w:rFonts w:asciiTheme="majorEastAsia" w:hAnsiTheme="majorEastAsia" w:eastAsiaTheme="majorEastAsia"/>
                <w:sz w:val="18"/>
                <w:szCs w:val="18"/>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674" w:type="dxa"/>
            <w:shd w:val="solid" w:color="FFFFFF" w:fill="FFFFFF"/>
            <w:vAlign w:val="center"/>
          </w:tcPr>
          <w:p>
            <w:pPr>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w:t>
            </w:r>
            <w:r>
              <w:rPr>
                <w:rFonts w:hint="eastAsia" w:asciiTheme="majorEastAsia" w:hAnsiTheme="majorEastAsia" w:eastAsiaTheme="majorEastAsia"/>
                <w:bCs/>
                <w:sz w:val="18"/>
                <w:szCs w:val="18"/>
              </w:rPr>
              <w:t>理财产品</w:t>
            </w:r>
            <w:r>
              <w:rPr>
                <w:rFonts w:asciiTheme="majorEastAsia" w:hAnsiTheme="majorEastAsia" w:eastAsiaTheme="majorEastAsia"/>
                <w:bCs/>
                <w:sz w:val="18"/>
                <w:szCs w:val="18"/>
              </w:rPr>
              <w:t>的费用和税收。</w:t>
            </w:r>
          </w:p>
          <w:p>
            <w:pPr>
              <w:spacing w:line="360" w:lineRule="auto"/>
              <w:jc w:val="left"/>
              <w:rPr>
                <w:rFonts w:cs="Times New Roman"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w:t>
            </w:r>
            <w:r>
              <w:rPr>
                <w:rFonts w:hint="eastAsia" w:asciiTheme="majorEastAsia" w:hAnsiTheme="majorEastAsia" w:eastAsiaTheme="majorEastAsia"/>
                <w:bCs/>
                <w:sz w:val="18"/>
                <w:szCs w:val="18"/>
              </w:rPr>
              <w:t>产品终止日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674" w:type="dxa"/>
            <w:shd w:val="solid" w:color="FFFFFF" w:fill="FFFFFF"/>
            <w:vAlign w:val="center"/>
          </w:tcPr>
          <w:p>
            <w:pPr>
              <w:autoSpaceDE w:val="0"/>
              <w:autoSpaceDN w:val="0"/>
              <w:adjustRightInd w:val="0"/>
              <w:spacing w:line="360" w:lineRule="auto"/>
              <w:jc w:val="left"/>
              <w:rPr>
                <w:rFonts w:hAnsi="宋体"/>
                <w:b/>
                <w:sz w:val="18"/>
                <w:szCs w:val="18"/>
              </w:rPr>
            </w:pPr>
            <w:r>
              <w:rPr>
                <w:rFonts w:hAnsi="宋体"/>
                <w:b/>
                <w:sz w:val="18"/>
                <w:szCs w:val="18"/>
              </w:rPr>
              <w:t>1.业绩比较基准的设置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产品管理人设置业绩比较基准。</w:t>
            </w:r>
          </w:p>
          <w:p>
            <w:pPr>
              <w:spacing w:line="360" w:lineRule="auto"/>
              <w:jc w:val="left"/>
              <w:rPr>
                <w:rFonts w:ascii="宋体" w:hAnsi="宋体"/>
                <w:bCs/>
                <w:sz w:val="18"/>
                <w:szCs w:val="18"/>
              </w:rPr>
            </w:pPr>
            <w:r>
              <w:rPr>
                <w:rFonts w:hint="eastAsia" w:ascii="宋体" w:hAnsi="宋体"/>
                <w:bCs/>
                <w:sz w:val="18"/>
                <w:szCs w:val="18"/>
              </w:rPr>
              <w:t>（1）业绩比较基准的说明：【产品投资债权类资产不低于80%，根据当前市场环境下大类资产合理配置比例及大类资产收益情况，考虑杠杆和费率等因素，并结合产品投资策略，设定业绩比较基准】。</w:t>
            </w:r>
          </w:p>
          <w:p>
            <w:pPr>
              <w:spacing w:line="360" w:lineRule="auto"/>
              <w:jc w:val="left"/>
              <w:rPr>
                <w:rFonts w:ascii="宋体" w:hAnsi="宋体"/>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2）业绩比较基准的设定：</w:t>
            </w:r>
            <w:r>
              <w:rPr>
                <w:rFonts w:hint="eastAsia" w:asciiTheme="majorEastAsia" w:hAnsiTheme="majorEastAsia"/>
                <w:sz w:val="18"/>
              </w:rPr>
              <w:t>管理人对</w:t>
            </w:r>
            <w:r>
              <w:rPr>
                <w:rFonts w:asciiTheme="majorEastAsia" w:hAnsiTheme="majorEastAsia"/>
                <w:sz w:val="18"/>
              </w:rPr>
              <w:t>本产品设定</w:t>
            </w:r>
            <w:r>
              <w:rPr>
                <w:rFonts w:hint="eastAsia" w:asciiTheme="majorEastAsia" w:hAnsiTheme="majorEastAsia"/>
                <w:sz w:val="18"/>
              </w:rPr>
              <w:t>业绩比较基准：</w:t>
            </w:r>
          </w:p>
          <w:p>
            <w:pPr>
              <w:spacing w:line="360" w:lineRule="auto"/>
              <w:rPr>
                <w:rFonts w:ascii="宋体" w:hAnsi="宋体"/>
                <w:bCs/>
                <w:sz w:val="18"/>
                <w:szCs w:val="18"/>
              </w:rPr>
            </w:pPr>
            <w:r>
              <w:rPr>
                <w:rFonts w:hint="eastAsia" w:asciiTheme="majorEastAsia" w:hAnsiTheme="majorEastAsia"/>
                <w:sz w:val="18"/>
              </w:rPr>
              <w:t>A类份额：年化</w:t>
            </w:r>
            <w:r>
              <w:rPr>
                <w:rFonts w:hint="eastAsia" w:ascii="宋体" w:hAnsi="宋体"/>
                <w:bCs/>
                <w:sz w:val="18"/>
                <w:szCs w:val="18"/>
              </w:rPr>
              <w:t>【2.8%</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B</w:t>
            </w:r>
            <w:r>
              <w:rPr>
                <w:rFonts w:hint="eastAsia" w:asciiTheme="majorEastAsia" w:hAnsiTheme="majorEastAsia"/>
                <w:sz w:val="18"/>
              </w:rPr>
              <w:t>类份额：年化</w:t>
            </w:r>
            <w:r>
              <w:rPr>
                <w:rFonts w:hint="eastAsia" w:ascii="宋体" w:hAnsi="宋体"/>
                <w:bCs/>
                <w:sz w:val="18"/>
                <w:szCs w:val="18"/>
              </w:rPr>
              <w:t>【2.76%</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C</w:t>
            </w:r>
            <w:r>
              <w:rPr>
                <w:rFonts w:hint="eastAsia" w:asciiTheme="majorEastAsia" w:hAnsiTheme="majorEastAsia"/>
                <w:sz w:val="18"/>
              </w:rPr>
              <w:t>类份额：年化</w:t>
            </w:r>
            <w:r>
              <w:rPr>
                <w:rFonts w:hint="eastAsia" w:ascii="宋体" w:hAnsi="宋体"/>
                <w:bCs/>
                <w:sz w:val="18"/>
                <w:szCs w:val="18"/>
              </w:rPr>
              <w:t>【2.7</w:t>
            </w:r>
            <w:r>
              <w:rPr>
                <w:rFonts w:ascii="宋体" w:hAnsi="宋体"/>
                <w:bCs/>
                <w:sz w:val="18"/>
                <w:szCs w:val="18"/>
              </w:rPr>
              <w:t>1</w:t>
            </w:r>
            <w:r>
              <w:rPr>
                <w:rFonts w:hint="eastAsia" w:ascii="宋体" w:hAnsi="宋体"/>
                <w:bCs/>
                <w:sz w:val="18"/>
                <w:szCs w:val="18"/>
              </w:rPr>
              <w:t>%</w:t>
            </w:r>
            <w:r>
              <w:rPr>
                <w:rFonts w:ascii="宋体" w:hAnsi="宋体"/>
                <w:bCs/>
                <w:sz w:val="18"/>
                <w:szCs w:val="18"/>
              </w:rPr>
              <w:t>】</w:t>
            </w:r>
            <w:r>
              <w:rPr>
                <w:rFonts w:hint="eastAsia" w:ascii="宋体" w:hAnsi="宋体"/>
                <w:bCs/>
                <w:sz w:val="18"/>
                <w:szCs w:val="18"/>
              </w:rPr>
              <w:t>；</w:t>
            </w:r>
          </w:p>
          <w:p>
            <w:pPr>
              <w:spacing w:line="360" w:lineRule="auto"/>
              <w:rPr>
                <w:rFonts w:ascii="宋体" w:hAnsi="宋体"/>
                <w:bCs/>
                <w:sz w:val="18"/>
                <w:szCs w:val="18"/>
              </w:rPr>
            </w:pPr>
            <w:r>
              <w:rPr>
                <w:rFonts w:asciiTheme="majorEastAsia" w:hAnsiTheme="majorEastAsia"/>
                <w:sz w:val="18"/>
              </w:rPr>
              <w:t>D</w:t>
            </w:r>
            <w:r>
              <w:rPr>
                <w:rFonts w:hint="eastAsia" w:asciiTheme="majorEastAsia" w:hAnsiTheme="majorEastAsia"/>
                <w:sz w:val="18"/>
              </w:rPr>
              <w:t>类份额：年化</w:t>
            </w:r>
            <w:r>
              <w:rPr>
                <w:rFonts w:hint="eastAsia" w:ascii="宋体" w:hAnsi="宋体"/>
                <w:bCs/>
                <w:sz w:val="18"/>
                <w:szCs w:val="18"/>
              </w:rPr>
              <w:t>【2.66%</w:t>
            </w:r>
            <w:r>
              <w:rPr>
                <w:rFonts w:ascii="宋体" w:hAnsi="宋体"/>
                <w:bCs/>
                <w:sz w:val="18"/>
                <w:szCs w:val="18"/>
              </w:rPr>
              <w:t>】</w:t>
            </w:r>
            <w:r>
              <w:rPr>
                <w:rFonts w:hint="eastAsia" w:ascii="宋体" w:hAnsi="宋体"/>
                <w:bCs/>
                <w:sz w:val="18"/>
                <w:szCs w:val="18"/>
              </w:rPr>
              <w:t>；</w:t>
            </w:r>
          </w:p>
          <w:p>
            <w:pPr>
              <w:spacing w:line="360" w:lineRule="auto"/>
              <w:rPr>
                <w:rFonts w:ascii="宋体" w:hAnsi="宋体"/>
                <w:bCs/>
                <w:sz w:val="18"/>
                <w:szCs w:val="18"/>
              </w:rPr>
            </w:pPr>
            <w:r>
              <w:rPr>
                <w:rFonts w:hint="eastAsia" w:asciiTheme="majorEastAsia" w:hAnsiTheme="majorEastAsia"/>
                <w:sz w:val="18"/>
              </w:rPr>
              <w:t>E类份额：年化</w:t>
            </w:r>
            <w:r>
              <w:rPr>
                <w:rFonts w:hint="eastAsia" w:ascii="宋体" w:hAnsi="宋体"/>
                <w:bCs/>
                <w:sz w:val="18"/>
                <w:szCs w:val="18"/>
              </w:rPr>
              <w:t>【2.51%</w:t>
            </w:r>
            <w:r>
              <w:rPr>
                <w:rFonts w:ascii="宋体" w:hAnsi="宋体"/>
                <w:bCs/>
                <w:sz w:val="18"/>
                <w:szCs w:val="18"/>
              </w:rPr>
              <w:t>】</w:t>
            </w:r>
            <w:r>
              <w:rPr>
                <w:rFonts w:hint="eastAsia" w:ascii="宋体" w:hAnsi="宋体"/>
                <w:bCs/>
                <w:sz w:val="18"/>
                <w:szCs w:val="18"/>
              </w:rPr>
              <w:t>。</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产品管理人不设置业绩比较基准。</w:t>
            </w:r>
          </w:p>
          <w:p>
            <w:pPr>
              <w:spacing w:line="360" w:lineRule="auto"/>
              <w:jc w:val="left"/>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2.业绩比较基准的提示：</w:t>
            </w:r>
          </w:p>
          <w:p>
            <w:pPr>
              <w:spacing w:line="360" w:lineRule="auto"/>
              <w:jc w:val="left"/>
              <w:rPr>
                <w:rFonts w:asciiTheme="majorEastAsia" w:hAnsiTheme="majorEastAsia"/>
                <w:b/>
                <w:sz w:val="18"/>
              </w:rPr>
            </w:pPr>
            <w:r>
              <w:rPr>
                <w:rFonts w:hint="eastAsia" w:asciiTheme="majorEastAsia" w:hAnsiTheme="majorEastAsia"/>
                <w:b/>
                <w:sz w:val="18"/>
              </w:rPr>
              <w:t>（1）</w:t>
            </w:r>
            <w:r>
              <w:rPr>
                <w:rFonts w:hint="eastAsia"/>
                <w:sz w:val="18"/>
                <w:szCs w:val="18"/>
              </w:rPr>
              <w:t>★</w:t>
            </w:r>
            <w:r>
              <w:rPr>
                <w:rFonts w:hint="eastAsia"/>
                <w:b/>
                <w:sz w:val="18"/>
              </w:rPr>
              <w:t>业绩比较基准</w:t>
            </w:r>
            <w:r>
              <w:rPr>
                <w:rFonts w:hint="eastAsia"/>
                <w:b/>
                <w:bCs/>
                <w:sz w:val="18"/>
                <w:szCs w:val="18"/>
              </w:rPr>
              <w:t>不是预期收益率，</w:t>
            </w:r>
            <w:r>
              <w:rPr>
                <w:rFonts w:hint="eastAsia"/>
                <w:b/>
                <w:sz w:val="18"/>
              </w:rPr>
              <w:t>不代表产品</w:t>
            </w:r>
            <w:r>
              <w:rPr>
                <w:rFonts w:hint="eastAsia"/>
                <w:b/>
                <w:bCs/>
                <w:sz w:val="18"/>
                <w:szCs w:val="18"/>
              </w:rPr>
              <w:t>的</w:t>
            </w:r>
            <w:r>
              <w:rPr>
                <w:rFonts w:hint="eastAsia"/>
                <w:b/>
                <w:sz w:val="18"/>
              </w:rPr>
              <w:t>未来表现</w:t>
            </w:r>
            <w:r>
              <w:rPr>
                <w:rFonts w:hint="eastAsia"/>
                <w:b/>
                <w:bCs/>
                <w:sz w:val="18"/>
                <w:szCs w:val="18"/>
              </w:rPr>
              <w:t>和</w:t>
            </w:r>
            <w:r>
              <w:rPr>
                <w:rFonts w:hint="eastAsia"/>
                <w:b/>
                <w:sz w:val="18"/>
              </w:rPr>
              <w:t>实际收益，不</w:t>
            </w:r>
            <w:r>
              <w:rPr>
                <w:rFonts w:hint="eastAsia"/>
                <w:b/>
                <w:bCs/>
                <w:sz w:val="18"/>
                <w:szCs w:val="18"/>
              </w:rPr>
              <w:t>构成对</w:t>
            </w:r>
            <w:r>
              <w:rPr>
                <w:rFonts w:hint="eastAsia"/>
                <w:b/>
                <w:sz w:val="18"/>
              </w:rPr>
              <w:t>产品收益的</w:t>
            </w:r>
            <w:r>
              <w:rPr>
                <w:rFonts w:hint="eastAsia"/>
                <w:b/>
                <w:bCs/>
                <w:sz w:val="18"/>
                <w:szCs w:val="18"/>
              </w:rPr>
              <w:t>承诺</w:t>
            </w:r>
            <w:r>
              <w:rPr>
                <w:rFonts w:hint="eastAsia"/>
                <w:b/>
                <w:sz w:val="18"/>
              </w:rPr>
              <w:t>，投资须谨慎。</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A/B/C/D/E</w:t>
            </w:r>
            <w:r>
              <w:rPr>
                <w:rFonts w:hint="eastAsia" w:hAnsi="宋体"/>
                <w:bCs/>
                <w:sz w:val="18"/>
                <w:szCs w:val="18"/>
              </w:rPr>
              <w:t>】类</w:t>
            </w:r>
            <w:r>
              <w:rPr>
                <w:rFonts w:hAnsi="宋体"/>
                <w:bCs/>
                <w:sz w:val="18"/>
                <w:szCs w:val="18"/>
              </w:rPr>
              <w:t>份额</w:t>
            </w:r>
            <w:r>
              <w:rPr>
                <w:rFonts w:hint="eastAsia" w:hAnsi="宋体"/>
                <w:bCs/>
                <w:sz w:val="18"/>
                <w:szCs w:val="18"/>
              </w:rPr>
              <w:t>）</w:t>
            </w:r>
          </w:p>
          <w:p>
            <w:pPr>
              <w:spacing w:line="360" w:lineRule="auto"/>
              <w:jc w:val="left"/>
              <w:rPr>
                <w:rFonts w:hAnsi="宋体"/>
                <w:b/>
                <w:bCs/>
                <w:sz w:val="18"/>
                <w:szCs w:val="18"/>
              </w:rPr>
            </w:pPr>
            <w:r>
              <w:rPr>
                <w:rFonts w:hAnsi="宋体"/>
                <w:b/>
                <w:bCs/>
                <w:sz w:val="18"/>
                <w:szCs w:val="18"/>
              </w:rPr>
              <w:t>1.业绩报酬计提基准的设置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产品管理人设置业绩报酬计提基准。</w:t>
            </w:r>
          </w:p>
          <w:p>
            <w:pPr>
              <w:spacing w:line="360" w:lineRule="auto"/>
              <w:jc w:val="left"/>
              <w:rPr>
                <w:rFonts w:ascii="宋体" w:hAnsi="宋体"/>
                <w:bCs/>
                <w:sz w:val="18"/>
                <w:szCs w:val="18"/>
              </w:rPr>
            </w:pPr>
            <w:r>
              <w:rPr>
                <w:rFonts w:ascii="宋体" w:hAnsi="宋体"/>
                <w:bCs/>
                <w:sz w:val="18"/>
                <w:szCs w:val="18"/>
              </w:rPr>
              <w:t>业绩报酬计提基准的设定</w:t>
            </w:r>
            <w:r>
              <w:rPr>
                <w:rFonts w:hint="eastAsia" w:ascii="宋体" w:hAnsi="宋体"/>
                <w:bCs/>
                <w:sz w:val="18"/>
                <w:szCs w:val="18"/>
              </w:rPr>
              <w:t>：管理人</w:t>
            </w:r>
            <w:r>
              <w:rPr>
                <w:rFonts w:ascii="宋体" w:hAnsi="宋体"/>
                <w:bCs/>
                <w:sz w:val="18"/>
                <w:szCs w:val="18"/>
              </w:rPr>
              <w:t>对本产品设定</w:t>
            </w:r>
            <w:r>
              <w:rPr>
                <w:rFonts w:hint="eastAsia" w:ascii="宋体" w:hAnsi="宋体"/>
                <w:bCs/>
                <w:sz w:val="18"/>
                <w:szCs w:val="18"/>
              </w:rPr>
              <w:t>业绩报酬计提基准：【业绩比较基准】。</w:t>
            </w:r>
          </w:p>
          <w:p>
            <w:pPr>
              <w:spacing w:line="360" w:lineRule="auto"/>
              <w:jc w:val="left"/>
              <w:rPr>
                <w:rFonts w:ascii="宋体" w:hAnsi="宋体"/>
                <w:bCs/>
                <w:sz w:val="18"/>
                <w:szCs w:val="18"/>
              </w:rPr>
            </w:pPr>
            <w:r>
              <w:rPr>
                <w:rFonts w:hint="eastAsia" w:asciiTheme="majorEastAsia" w:hAnsiTheme="majorEastAsia" w:eastAsiaTheme="majorEastAsia"/>
                <w:b/>
                <w:kern w:val="0"/>
                <w:sz w:val="18"/>
                <w:szCs w:val="18"/>
              </w:rPr>
              <w:t>□ 产品管理人不设置业绩报酬计提基准。</w:t>
            </w:r>
          </w:p>
          <w:p>
            <w:pPr>
              <w:spacing w:line="360" w:lineRule="auto"/>
              <w:jc w:val="left"/>
              <w:rPr>
                <w:rFonts w:ascii="宋体" w:hAnsi="宋体"/>
                <w:b/>
                <w:bCs/>
                <w:sz w:val="18"/>
                <w:szCs w:val="18"/>
              </w:rPr>
            </w:pPr>
            <w:r>
              <w:rPr>
                <w:rFonts w:hint="eastAsia" w:ascii="宋体" w:hAnsi="宋体"/>
                <w:b/>
                <w:bCs/>
                <w:sz w:val="18"/>
                <w:szCs w:val="18"/>
              </w:rPr>
              <w:t>2</w:t>
            </w:r>
            <w:r>
              <w:rPr>
                <w:rFonts w:ascii="宋体" w:hAnsi="宋体"/>
                <w:b/>
                <w:bCs/>
                <w:sz w:val="18"/>
                <w:szCs w:val="18"/>
              </w:rPr>
              <w:t>.业绩报酬计提基准的提示</w:t>
            </w:r>
            <w:r>
              <w:rPr>
                <w:rFonts w:hint="eastAsia" w:ascii="宋体" w:hAnsi="宋体"/>
                <w:b/>
                <w:bCs/>
                <w:sz w:val="18"/>
                <w:szCs w:val="18"/>
              </w:rPr>
              <w:t>：</w:t>
            </w:r>
          </w:p>
          <w:p>
            <w:pPr>
              <w:autoSpaceDE w:val="0"/>
              <w:autoSpaceDN w:val="0"/>
              <w:adjustRightInd w:val="0"/>
              <w:spacing w:line="360" w:lineRule="auto"/>
              <w:jc w:val="left"/>
              <w:rPr>
                <w:rFonts w:ascii="宋体" w:hAnsi="宋体"/>
                <w:b/>
                <w:sz w:val="18"/>
              </w:rPr>
            </w:pPr>
            <w:r>
              <w:rPr>
                <w:rFonts w:hint="eastAsia" w:ascii="宋体" w:hAnsi="宋体"/>
                <w:b/>
                <w:sz w:val="18"/>
              </w:rPr>
              <w:t>（1）</w:t>
            </w:r>
            <w:r>
              <w:rPr>
                <w:rFonts w:hint="eastAsia"/>
                <w:sz w:val="18"/>
                <w:szCs w:val="18"/>
              </w:rPr>
              <w:t>★</w:t>
            </w:r>
            <w:r>
              <w:rPr>
                <w:rFonts w:hint="eastAsia" w:ascii="宋体" w:hAnsi="宋体"/>
                <w:b/>
                <w:sz w:val="18"/>
              </w:rPr>
              <w:t>业绩报酬计提基准仅作为管理人计算超额业绩报酬的参照标准</w:t>
            </w:r>
            <w:r>
              <w:rPr>
                <w:rFonts w:hint="eastAsia" w:ascii="宋体" w:hAnsi="宋体"/>
                <w:b/>
                <w:bCs/>
                <w:sz w:val="18"/>
                <w:szCs w:val="18"/>
              </w:rPr>
              <w:t>。业绩报酬计提基准不是预期收益率</w:t>
            </w:r>
            <w:r>
              <w:rPr>
                <w:rFonts w:hint="eastAsia" w:ascii="宋体" w:hAnsi="宋体"/>
                <w:b/>
                <w:sz w:val="18"/>
              </w:rPr>
              <w:t>，不代表产品</w:t>
            </w:r>
            <w:r>
              <w:rPr>
                <w:rFonts w:hint="eastAsia" w:ascii="宋体" w:hAnsi="宋体"/>
                <w:b/>
                <w:bCs/>
                <w:sz w:val="18"/>
                <w:szCs w:val="18"/>
              </w:rPr>
              <w:t>的</w:t>
            </w:r>
            <w:r>
              <w:rPr>
                <w:rFonts w:hint="eastAsia" w:ascii="宋体" w:hAnsi="宋体"/>
                <w:b/>
                <w:sz w:val="18"/>
              </w:rPr>
              <w:t>未来表现</w:t>
            </w:r>
            <w:r>
              <w:rPr>
                <w:rFonts w:hint="eastAsia" w:ascii="宋体" w:hAnsi="宋体"/>
                <w:b/>
                <w:bCs/>
                <w:sz w:val="18"/>
                <w:szCs w:val="18"/>
              </w:rPr>
              <w:t>和</w:t>
            </w:r>
            <w:r>
              <w:rPr>
                <w:rFonts w:hint="eastAsia" w:ascii="宋体" w:hAnsi="宋体"/>
                <w:b/>
                <w:sz w:val="18"/>
              </w:rPr>
              <w:t>实际收益，不</w:t>
            </w:r>
            <w:r>
              <w:rPr>
                <w:rFonts w:hint="eastAsia" w:ascii="宋体" w:hAnsi="宋体"/>
                <w:b/>
                <w:bCs/>
                <w:sz w:val="18"/>
                <w:szCs w:val="18"/>
              </w:rPr>
              <w:t>构成对</w:t>
            </w:r>
            <w:r>
              <w:rPr>
                <w:rFonts w:hint="eastAsia" w:ascii="宋体" w:hAnsi="宋体"/>
                <w:b/>
                <w:sz w:val="18"/>
              </w:rPr>
              <w:t>产品收益的</w:t>
            </w:r>
            <w:r>
              <w:rPr>
                <w:rFonts w:hint="eastAsia" w:ascii="宋体" w:hAnsi="宋体"/>
                <w:b/>
                <w:bCs/>
                <w:sz w:val="18"/>
                <w:szCs w:val="18"/>
              </w:rPr>
              <w:t>承诺</w:t>
            </w:r>
            <w:r>
              <w:rPr>
                <w:rFonts w:hint="eastAsia" w:ascii="宋体" w:hAnsi="宋体"/>
                <w:b/>
                <w:sz w:val="18"/>
              </w:rPr>
              <w:t>，投资须谨慎。</w:t>
            </w:r>
          </w:p>
          <w:p>
            <w:pPr>
              <w:spacing w:line="360" w:lineRule="auto"/>
              <w:jc w:val="left"/>
              <w:rPr>
                <w:rFonts w:ascii="宋体" w:hAnsi="宋体"/>
                <w:b/>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hAnsi="宋体"/>
                <w:b/>
                <w:sz w:val="18"/>
                <w:szCs w:val="18"/>
              </w:rPr>
              <w:t>★</w:t>
            </w:r>
            <w:r>
              <w:rPr>
                <w:rFonts w:hint="eastAsia"/>
                <w:b/>
                <w:sz w:val="18"/>
                <w:szCs w:val="18"/>
              </w:rPr>
              <w:t>理财产品利益分配</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1</w:t>
            </w:r>
            <w:r>
              <w:rPr>
                <w:rFonts w:hAnsi="宋体"/>
                <w:bCs/>
                <w:sz w:val="18"/>
                <w:szCs w:val="18"/>
              </w:rPr>
              <w:t>.</w:t>
            </w:r>
            <w:r>
              <w:rPr>
                <w:rFonts w:hint="eastAsia" w:hAnsi="宋体"/>
                <w:bCs/>
                <w:sz w:val="18"/>
                <w:szCs w:val="18"/>
              </w:rPr>
              <w:t>理财产品存续期间，产品管理人有权视理财产品收益情况进行主动分配，相应分配基准日、分配方案由管理人及时披露。</w:t>
            </w:r>
          </w:p>
          <w:p>
            <w:pPr>
              <w:spacing w:line="360" w:lineRule="auto"/>
              <w:jc w:val="left"/>
              <w:rPr>
                <w:rFonts w:hAnsi="宋体"/>
                <w:bCs/>
                <w:sz w:val="18"/>
                <w:szCs w:val="18"/>
              </w:rPr>
            </w:pPr>
            <w:r>
              <w:rPr>
                <w:rFonts w:hint="eastAsia" w:hAnsi="宋体"/>
                <w:bCs/>
                <w:sz w:val="18"/>
                <w:szCs w:val="18"/>
              </w:rPr>
              <w:t>2</w:t>
            </w:r>
            <w:r>
              <w:rPr>
                <w:rFonts w:hAnsi="宋体"/>
                <w:bCs/>
                <w:sz w:val="18"/>
                <w:szCs w:val="18"/>
              </w:rPr>
              <w:t>.具体理财产品利益分配</w:t>
            </w:r>
            <w:r>
              <w:rPr>
                <w:rFonts w:hint="eastAsia" w:hAnsi="宋体"/>
                <w:bCs/>
                <w:sz w:val="18"/>
                <w:szCs w:val="18"/>
              </w:rPr>
              <w:t>详见《产品说明书》“第八条 理财产品的利益分配”。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674" w:type="dxa"/>
            <w:shd w:val="solid" w:color="FFFFFF" w:fill="FFFFFF"/>
            <w:vAlign w:val="center"/>
          </w:tcPr>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1.理财产品的费率标准</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hint="eastAsia" w:asciiTheme="majorEastAsia" w:hAnsiTheme="majorEastAsia" w:eastAsiaTheme="majorEastAsia"/>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A类份额：年化费率【0.01%】；</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B类份额：年化费率【0.05%】；</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C类份额：年化费率【0.10%】；</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D类份额：年化费率【0.15%】；</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E类份额：年化费率【0.30%】。</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【0.04%</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w:t>
            </w:r>
            <w:r>
              <w:rPr>
                <w:rFonts w:asciiTheme="majorEastAsia" w:hAnsiTheme="majorEastAsia" w:eastAsiaTheme="majorEastAsia"/>
                <w:sz w:val="18"/>
                <w:szCs w:val="18"/>
              </w:rPr>
              <w:t>1</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jc w:val="left"/>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（5）超额业绩报酬：</w:t>
            </w:r>
          </w:p>
          <w:p>
            <w:pPr>
              <w:widowControl/>
              <w:spacing w:line="360" w:lineRule="auto"/>
              <w:jc w:val="left"/>
              <w:rPr>
                <w:rFonts w:ascii="宋体" w:hAnsi="宋体"/>
                <w:sz w:val="18"/>
                <w:szCs w:val="18"/>
              </w:rPr>
            </w:pPr>
            <w:r>
              <w:rPr>
                <w:rFonts w:hint="eastAsia" w:ascii="宋体" w:hAnsi="宋体"/>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5</w:t>
            </w:r>
            <w:r>
              <w:rPr>
                <w:rFonts w:ascii="宋体" w:hAnsi="宋体"/>
                <w:sz w:val="18"/>
                <w:szCs w:val="18"/>
              </w:rPr>
              <w:t>0</w:t>
            </w:r>
            <w:r>
              <w:rPr>
                <w:rFonts w:hint="eastAsia" w:ascii="宋体" w:hAnsi="宋体"/>
                <w:sz w:val="18"/>
                <w:szCs w:val="18"/>
              </w:rPr>
              <w:t>%】作为超额业绩报酬。</w:t>
            </w:r>
          </w:p>
          <w:p>
            <w:pPr>
              <w:spacing w:line="360" w:lineRule="auto"/>
              <w:rPr>
                <w:rFonts w:ascii="黑体" w:hAnsi="黑体" w:eastAsia="黑体"/>
                <w:bCs/>
                <w:sz w:val="18"/>
                <w:szCs w:val="18"/>
              </w:rPr>
            </w:pPr>
            <w:r>
              <w:rPr>
                <w:rFonts w:ascii="宋体" w:hAnsi="宋体"/>
                <w:bCs/>
                <w:sz w:val="18"/>
                <w:szCs w:val="18"/>
              </w:rPr>
              <w:t>2</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67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理财产品份额的质押将依照理财产品销售文件及销售机构的业务政策执行。</w:t>
            </w:r>
          </w:p>
        </w:tc>
      </w:tr>
    </w:tbl>
    <w:p>
      <w:pPr>
        <w:pStyle w:val="14"/>
        <w:spacing w:line="360" w:lineRule="auto"/>
        <w:rPr>
          <w:rFonts w:hAnsi="宋体"/>
          <w:sz w:val="18"/>
          <w:szCs w:val="18"/>
        </w:rPr>
      </w:pPr>
    </w:p>
    <w:p>
      <w:pPr>
        <w:widowControl/>
        <w:spacing w:line="360" w:lineRule="auto"/>
        <w:jc w:val="left"/>
        <w:rPr>
          <w:rFonts w:ascii="宋体" w:hAnsi="宋体"/>
          <w:color w:val="000000"/>
          <w:kern w:val="0"/>
          <w:sz w:val="18"/>
          <w:szCs w:val="18"/>
        </w:rPr>
      </w:pPr>
      <w:r>
        <w:rPr>
          <w:rFonts w:hAnsi="宋体"/>
          <w:sz w:val="18"/>
          <w:szCs w:val="18"/>
        </w:rPr>
        <w:br w:type="page"/>
      </w:r>
    </w:p>
    <w:p>
      <w:pPr>
        <w:pStyle w:val="2"/>
        <w:spacing w:before="0" w:after="0" w:line="360" w:lineRule="auto"/>
        <w:jc w:val="center"/>
        <w:rPr>
          <w:rFonts w:ascii="Times New Roman"/>
          <w:sz w:val="30"/>
        </w:rPr>
      </w:pPr>
      <w:bookmarkStart w:id="65" w:name="_Toc79154666"/>
      <w:bookmarkStart w:id="66" w:name="_Toc116649651"/>
      <w:r>
        <w:rPr>
          <w:rFonts w:ascii="Times New Roman"/>
          <w:sz w:val="30"/>
        </w:rPr>
        <w:t>第</w:t>
      </w:r>
      <w:r>
        <w:rPr>
          <w:rFonts w:hint="eastAsia" w:ascii="Times New Roman"/>
          <w:sz w:val="30"/>
        </w:rPr>
        <w:t>三条</w:t>
      </w:r>
      <w:r>
        <w:rPr>
          <w:rFonts w:ascii="Times New Roman"/>
          <w:sz w:val="30"/>
        </w:rPr>
        <w:t xml:space="preserve">  </w:t>
      </w:r>
      <w:bookmarkStart w:id="67" w:name="_Toc79392573"/>
      <w:r>
        <w:rPr>
          <w:rFonts w:hint="eastAsia" w:ascii="Times New Roman"/>
          <w:sz w:val="30"/>
        </w:rPr>
        <w:t>理财产品的认购</w:t>
      </w:r>
      <w:bookmarkEnd w:id="65"/>
      <w:bookmarkEnd w:id="66"/>
    </w:p>
    <w:p>
      <w:pPr>
        <w:spacing w:line="360" w:lineRule="auto"/>
        <w:ind w:firstLine="361" w:firstLineChars="200"/>
        <w:rPr>
          <w:rFonts w:asciiTheme="minorEastAsia" w:hAnsiTheme="minorEastAsia"/>
          <w:b/>
          <w:bCs/>
          <w:sz w:val="18"/>
          <w:szCs w:val="18"/>
        </w:rPr>
      </w:pPr>
      <w:bookmarkStart w:id="68" w:name="_Hlt88031774"/>
      <w:bookmarkEnd w:id="68"/>
      <w:bookmarkStart w:id="69"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14"/>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14"/>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8"/>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ind w:firstLine="361" w:firstLineChars="200"/>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cs="Times New Roman" w:asciiTheme="minorEastAsia" w:hAnsiTheme="minorEastAsia" w:eastAsiaTheme="minorEastAsia"/>
                <w:bCs/>
                <w:kern w:val="0"/>
                <w:sz w:val="18"/>
                <w:szCs w:val="18"/>
              </w:rPr>
              <w:t>募集期开始日</w:t>
            </w:r>
            <w:r>
              <w:rPr>
                <w:rFonts w:cs="Times New Roman"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产品管理人在产品成立日对投资者的认购申请的有效性进行确认，并登记理财份额。</w:t>
            </w:r>
          </w:p>
        </w:tc>
        <w:tc>
          <w:tcPr>
            <w:tcW w:w="1610"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产品成立日</w:t>
            </w:r>
          </w:p>
        </w:tc>
      </w:tr>
    </w:tbl>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认购期/募集期内投资者可提交认购申请。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r>
        <w:rPr>
          <w:rFonts w:hint="eastAsia" w:asciiTheme="minorEastAsia" w:hAnsiTheme="minorEastAsia"/>
          <w:b/>
          <w:bCs/>
          <w:sz w:val="18"/>
          <w:szCs w:val="18"/>
        </w:rPr>
        <w:t xml:space="preserve"> </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14"/>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.认购的起点和递增金额</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投资者认购资金在产品认购期内产生的利息不作为理财资金进入运作，不计算理财利益。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14"/>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14"/>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bookmarkEnd w:id="67"/>
    <w:bookmarkEnd w:id="69"/>
    <w:p>
      <w:pPr>
        <w:pStyle w:val="2"/>
        <w:spacing w:before="0" w:after="0" w:line="360" w:lineRule="auto"/>
        <w:jc w:val="center"/>
        <w:rPr>
          <w:rFonts w:ascii="Times New Roman"/>
          <w:sz w:val="30"/>
        </w:rPr>
      </w:pPr>
      <w:bookmarkStart w:id="70" w:name="_Toc4771"/>
      <w:bookmarkStart w:id="71" w:name="_Toc116649652"/>
      <w:bookmarkStart w:id="72" w:name="_Toc27226"/>
      <w:bookmarkStart w:id="73" w:name="_Toc90742321"/>
      <w:bookmarkStart w:id="74" w:name="_Toc90742688"/>
      <w:bookmarkStart w:id="75" w:name="_Toc16265"/>
      <w:bookmarkStart w:id="76" w:name="_Toc6714"/>
      <w:bookmarkStart w:id="77" w:name="_Toc29784"/>
      <w:bookmarkStart w:id="78" w:name="_Toc7151"/>
      <w:bookmarkStart w:id="79" w:name="_Toc22074"/>
      <w:bookmarkStart w:id="80" w:name="_Toc74065741"/>
      <w:bookmarkStart w:id="81" w:name="_Toc27189"/>
      <w:bookmarkStart w:id="82" w:name="_Toc15203"/>
      <w:bookmarkStart w:id="83" w:name="_Toc29948"/>
      <w:bookmarkStart w:id="84" w:name="_Toc79154668"/>
      <w:bookmarkStart w:id="85" w:name="_Toc3266"/>
      <w:bookmarkStart w:id="86" w:name="_Toc90742390"/>
      <w:r>
        <w:rPr>
          <w:rFonts w:ascii="Times New Roman"/>
          <w:sz w:val="30"/>
        </w:rPr>
        <w:t>第</w:t>
      </w:r>
      <w:r>
        <w:rPr>
          <w:rFonts w:hint="eastAsia" w:ascii="Times New Roman"/>
          <w:sz w:val="30"/>
        </w:rPr>
        <w:t>四条</w:t>
      </w:r>
      <w:r>
        <w:rPr>
          <w:rFonts w:ascii="Times New Roman"/>
          <w:sz w:val="30"/>
        </w:rPr>
        <w:t xml:space="preserve">  </w:t>
      </w:r>
      <w:r>
        <w:rPr>
          <w:rFonts w:hint="eastAsia" w:ascii="Times New Roman"/>
          <w:sz w:val="30"/>
        </w:rPr>
        <w:t>理财产品的申购与赎回</w:t>
      </w:r>
      <w:bookmarkEnd w:id="70"/>
      <w:bookmarkEnd w:id="71"/>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本产品为封闭式产品，不设置申购与赎回。</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87" w:name="_Toc116649653"/>
      <w:r>
        <w:rPr>
          <w:rFonts w:ascii="Times New Roman"/>
          <w:sz w:val="30"/>
        </w:rPr>
        <w:t>第五</w:t>
      </w:r>
      <w:r>
        <w:rPr>
          <w:rFonts w:hint="eastAsia" w:ascii="Times New Roman"/>
          <w:sz w:val="30"/>
        </w:rPr>
        <w:t>条</w:t>
      </w:r>
      <w:r>
        <w:rPr>
          <w:rFonts w:ascii="Times New Roman"/>
          <w:sz w:val="30"/>
        </w:rPr>
        <w:t xml:space="preserve">  </w:t>
      </w:r>
      <w:r>
        <w:rPr>
          <w:rFonts w:hint="eastAsia" w:ascii="Times New Roman"/>
          <w:sz w:val="30"/>
        </w:rPr>
        <w:t>理财产品的投资</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在严格控制组合风险的前提下，通过不断优化组合，力争实现超越业绩比较基准的收益。</w:t>
      </w:r>
    </w:p>
    <w:p>
      <w:pPr>
        <w:pStyle w:val="14"/>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本产品主要投资范围包括但不限于（实际投资范围可根据法律法规及监管规定进行调整）：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（2）剩余期限在397天以内（含397天）的债券、在银行间市场和证券交易所市场发行的资产支持证券；</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（3）符合监管要求的债权类资产；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（4）国债期货、利率互换、债券借贷、信用风险缓释工具等；</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kern w:val="0"/>
          <w:sz w:val="18"/>
          <w:szCs w:val="18"/>
        </w:rPr>
        <w:t>（6）其他风险不高于前述资产的资产。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2.投资组合比例</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（1）本产品投资于债权类资产的比例不低于产品总资产的80%。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（2）以套期保值、风险对冲为目的的国债期货、利率互换、信用风险缓释工具等衍生品占产品净资产比例低于10%。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（3）符合监管要求的非标准化债权类资产低于产品净资产的50%。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（4）投资于同业存单及存款类资产的比例不低于产品净资产的50%。</w:t>
      </w:r>
    </w:p>
    <w:p>
      <w:pPr>
        <w:autoSpaceDE w:val="0"/>
        <w:autoSpaceDN w:val="0"/>
        <w:adjustRightInd w:val="0"/>
        <w:spacing w:line="360" w:lineRule="auto"/>
        <w:ind w:firstLine="361"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
          <w:bCs/>
          <w:kern w:val="0"/>
          <w:sz w:val="18"/>
          <w:szCs w:val="18"/>
        </w:rPr>
        <w:t>注：本产品可能投资不存在活跃交易市场，并且需要采用估值技术确定公允价值的资产，且投资上述资产的比例达到理财产品净资产50%以上。</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w:t>
      </w:r>
      <w:r>
        <w:rPr>
          <w:rFonts w:asciiTheme="majorEastAsia" w:hAnsiTheme="majorEastAsia" w:eastAsiaTheme="majorEastAsia"/>
          <w:bCs/>
          <w:sz w:val="18"/>
          <w:szCs w:val="18"/>
        </w:rPr>
        <w:t>销售文件</w:t>
      </w:r>
      <w:r>
        <w:rPr>
          <w:rFonts w:hint="eastAsia" w:asciiTheme="majorEastAsia" w:hAnsiTheme="majorEastAsia" w:eastAsiaTheme="majorEastAsia"/>
          <w:bCs/>
          <w:sz w:val="18"/>
          <w:szCs w:val="18"/>
        </w:rPr>
        <w:t>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r>
        <w:rPr>
          <w:rFonts w:ascii="黑体" w:hAnsi="黑体" w:eastAsia="黑体"/>
          <w:bCs/>
          <w:sz w:val="18"/>
          <w:szCs w:val="18"/>
        </w:rPr>
        <w:t>3】</w:t>
      </w:r>
      <w:r>
        <w:rPr>
          <w:rFonts w:hint="eastAsia" w:ascii="黑体" w:hAnsi="黑体" w:eastAsia="黑体"/>
          <w:bCs/>
          <w:sz w:val="18"/>
          <w:szCs w:val="18"/>
        </w:rPr>
        <w:t>个月内</w:t>
      </w:r>
      <w:r>
        <w:rPr>
          <w:rFonts w:hint="eastAsia" w:asciiTheme="majorEastAsia" w:hAnsiTheme="majorEastAsia" w:eastAsiaTheme="majorEastAsia"/>
          <w:bCs/>
          <w:sz w:val="18"/>
          <w:szCs w:val="18"/>
        </w:rPr>
        <w:t>使产品的投资组合比例符合本销售文件的有关约定，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w:t>
      </w:r>
      <w:r>
        <w:rPr>
          <w:rFonts w:asciiTheme="majorEastAsia" w:hAnsiTheme="majorEastAsia" w:eastAsiaTheme="majorEastAsia"/>
          <w:bCs/>
          <w:sz w:val="18"/>
          <w:szCs w:val="18"/>
        </w:rPr>
        <w:t>销售文件的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产品管理人应当根据市场情况调整投资范围、投资资产种类或投资比例，并进行相应公告。高风险类型的理财产品超出比例范围投资较低风险资产的，</w:t>
      </w:r>
      <w:r>
        <w:rPr>
          <w:rFonts w:ascii="黑体" w:hAnsi="黑体" w:eastAsia="黑体"/>
          <w:bCs/>
          <w:sz w:val="18"/>
          <w:szCs w:val="18"/>
        </w:rPr>
        <w:t>无需投资者</w:t>
      </w:r>
      <w:r>
        <w:rPr>
          <w:rFonts w:hint="eastAsia" w:ascii="黑体" w:hAnsi="黑体" w:eastAsia="黑体"/>
          <w:bCs/>
          <w:sz w:val="18"/>
          <w:szCs w:val="18"/>
        </w:rPr>
        <w:t>书面</w:t>
      </w:r>
      <w:r>
        <w:rPr>
          <w:rFonts w:ascii="黑体" w:hAnsi="黑体" w:eastAsia="黑体"/>
          <w:bCs/>
          <w:sz w:val="18"/>
          <w:szCs w:val="18"/>
        </w:rPr>
        <w:t>同意</w:t>
      </w:r>
      <w:r>
        <w:rPr>
          <w:rFonts w:hint="eastAsia" w:ascii="黑体" w:hAnsi="黑体" w:eastAsia="黑体"/>
          <w:bCs/>
          <w:sz w:val="18"/>
          <w:szCs w:val="18"/>
        </w:rPr>
        <w:t>。</w:t>
      </w:r>
    </w:p>
    <w:p>
      <w:pPr>
        <w:pStyle w:val="14"/>
        <w:spacing w:line="360" w:lineRule="auto"/>
        <w:ind w:firstLine="360" w:firstLineChars="200"/>
        <w:jc w:val="both"/>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按照本销售文件及其他相关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14"/>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（1）每只公募理财产品投资单只证券或者单只公募证券投资基金的市值不得超过该理财产品净资产的10%。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（3）全部理财产品持有单一上市公司发行的股票，不得超过该上市公司可流通股票的30%。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（4）全部开放式公募理财产品投资单一上市公司发行的股票不得超过该上市公司可流通股票的15%。</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（6）本产品投资于信用债券、银行存款、非标准化债权类资产融资人的信用评级均不得低于AA+。</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如果法律法规对本销售文件约定的投资限制进行变更的，以变更后的规定为准。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14"/>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【产品采取绝对收益策略，追求资产长期稳定增值。】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88" w:name="_Toc74065742"/>
      <w:bookmarkStart w:id="89" w:name="_Toc4741"/>
      <w:bookmarkStart w:id="90" w:name="_Toc18329"/>
      <w:bookmarkStart w:id="91" w:name="_Toc116649654"/>
      <w:bookmarkStart w:id="92" w:name="_Toc1823"/>
      <w:bookmarkStart w:id="93" w:name="_Toc139991735"/>
      <w:bookmarkStart w:id="94" w:name="_Toc7848"/>
      <w:bookmarkStart w:id="95" w:name="_Toc17912"/>
      <w:bookmarkStart w:id="96" w:name="_Toc18526"/>
      <w:bookmarkStart w:id="97" w:name="_Toc18797"/>
      <w:bookmarkStart w:id="98" w:name="_Toc14893"/>
      <w:bookmarkStart w:id="99" w:name="_Toc21988"/>
      <w:bookmarkStart w:id="100" w:name="_Toc141703885"/>
      <w:bookmarkStart w:id="101" w:name="_Toc26986"/>
      <w:bookmarkStart w:id="102" w:name="_Toc79154669"/>
      <w:r>
        <w:rPr>
          <w:rFonts w:ascii="Times New Roman"/>
          <w:sz w:val="30"/>
        </w:rPr>
        <w:t>第六</w:t>
      </w:r>
      <w:r>
        <w:rPr>
          <w:rFonts w:hint="eastAsia" w:ascii="Times New Roman"/>
          <w:sz w:val="30"/>
        </w:rPr>
        <w:t>条</w:t>
      </w:r>
      <w:r>
        <w:rPr>
          <w:rFonts w:ascii="Times New Roman"/>
          <w:sz w:val="30"/>
        </w:rPr>
        <w:t xml:space="preserve">  </w:t>
      </w:r>
      <w:r>
        <w:rPr>
          <w:rFonts w:hint="eastAsia" w:ascii="Times New Roman"/>
          <w:sz w:val="30"/>
        </w:rPr>
        <w:t>理财产品的资产</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14"/>
        <w:spacing w:line="360" w:lineRule="auto"/>
        <w:ind w:firstLine="361" w:firstLineChars="200"/>
        <w:rPr>
          <w:rFonts w:asciiTheme="majorEastAsia" w:hAnsiTheme="majorEastAsia" w:eastAsiaTheme="majorEastAsia"/>
          <w:b/>
          <w:color w:val="auto"/>
          <w:sz w:val="18"/>
          <w:szCs w:val="18"/>
        </w:rPr>
      </w:pPr>
      <w:bookmarkStart w:id="103" w:name="_Hlk490214295"/>
      <w:r>
        <w:rPr>
          <w:rFonts w:hint="eastAsia" w:asciiTheme="majorEastAsia" w:hAnsiTheme="majorEastAsia" w:eastAsiaTheme="majorEastAsia"/>
          <w:b/>
          <w:color w:val="auto"/>
          <w:sz w:val="18"/>
          <w:szCs w:val="18"/>
        </w:rPr>
        <w:t>（一）理财产品的资产的保管和处分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103"/>
    <w:p>
      <w:pPr>
        <w:pStyle w:val="2"/>
        <w:spacing w:before="0" w:after="0" w:line="360" w:lineRule="auto"/>
        <w:jc w:val="center"/>
        <w:rPr>
          <w:rFonts w:ascii="Times New Roman"/>
          <w:sz w:val="30"/>
        </w:rPr>
      </w:pPr>
      <w:bookmarkStart w:id="104" w:name="_Toc123102453"/>
      <w:bookmarkStart w:id="105" w:name="_Toc20733"/>
      <w:bookmarkStart w:id="106" w:name="_Toc17244"/>
      <w:bookmarkStart w:id="107" w:name="_Toc79392606"/>
      <w:bookmarkStart w:id="108" w:name="_Toc1270"/>
      <w:bookmarkStart w:id="109" w:name="_Toc4003"/>
      <w:bookmarkStart w:id="110" w:name="_Toc23822"/>
      <w:bookmarkStart w:id="111" w:name="_Toc23261"/>
      <w:bookmarkStart w:id="112" w:name="_Toc74065743"/>
      <w:bookmarkStart w:id="113" w:name="_Toc7920"/>
      <w:bookmarkStart w:id="114" w:name="_Toc139991736"/>
      <w:bookmarkStart w:id="115" w:name="_Toc610"/>
      <w:bookmarkStart w:id="116" w:name="_Toc123051452"/>
      <w:bookmarkStart w:id="117" w:name="_Toc48649707"/>
      <w:bookmarkStart w:id="118" w:name="_Toc10463"/>
      <w:bookmarkStart w:id="119" w:name="_Toc1427"/>
      <w:bookmarkStart w:id="120" w:name="_Toc116649655"/>
      <w:bookmarkStart w:id="121" w:name="_Toc123112234"/>
      <w:bookmarkStart w:id="122" w:name="_Toc79154670"/>
      <w:bookmarkStart w:id="123" w:name="_Toc141703886"/>
      <w:bookmarkStart w:id="124" w:name="_Toc98560352"/>
      <w:r>
        <w:rPr>
          <w:rFonts w:ascii="Times New Roman"/>
          <w:sz w:val="30"/>
        </w:rPr>
        <w:t>第七</w:t>
      </w:r>
      <w:r>
        <w:rPr>
          <w:rFonts w:hint="eastAsia" w:ascii="Times New Roman"/>
          <w:sz w:val="30"/>
        </w:rPr>
        <w:t>条</w:t>
      </w:r>
      <w:r>
        <w:rPr>
          <w:rFonts w:ascii="Times New Roman"/>
          <w:sz w:val="30"/>
        </w:rPr>
        <w:t xml:space="preserve">  </w:t>
      </w:r>
      <w:r>
        <w:rPr>
          <w:rFonts w:hint="eastAsia" w:ascii="Times New Roman"/>
          <w:sz w:val="30"/>
        </w:rPr>
        <w:t>理财产品项下资产的估值</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14"/>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★注：本说明书估值条款所涉及的资产相关描述，仅为估值条款完备性而设计，并不代表本产品投资范围涉及该资产。本产品的投资范围仍应以“第五条 理财产品的投资”约定为准。</w:t>
      </w:r>
    </w:p>
    <w:p>
      <w:pPr>
        <w:pStyle w:val="14"/>
        <w:spacing w:line="360" w:lineRule="auto"/>
        <w:ind w:firstLine="361" w:firstLineChars="200"/>
        <w:rPr>
          <w:rFonts w:hAnsi="宋体"/>
          <w:b/>
          <w:bCs/>
          <w:sz w:val="18"/>
          <w:szCs w:val="18"/>
        </w:rPr>
      </w:pPr>
      <w:r>
        <w:rPr>
          <w:rFonts w:hint="eastAsia" w:hAnsi="宋体"/>
          <w:b/>
          <w:bCs/>
          <w:sz w:val="18"/>
          <w:szCs w:val="18"/>
        </w:rPr>
        <w:t>（一）估值目的</w:t>
      </w:r>
    </w:p>
    <w:p>
      <w:pPr>
        <w:pStyle w:val="14"/>
        <w:spacing w:line="360" w:lineRule="auto"/>
        <w:ind w:firstLine="360" w:firstLineChars="200"/>
        <w:rPr>
          <w:rFonts w:hAnsi="宋体"/>
          <w:sz w:val="18"/>
          <w:szCs w:val="18"/>
        </w:rPr>
      </w:pPr>
      <w:r>
        <w:rPr>
          <w:rFonts w:hint="eastAsia" w:hAnsi="宋体"/>
          <w:sz w:val="18"/>
          <w:szCs w:val="18"/>
        </w:rPr>
        <w:t>理财资产估值的目的是客观、准确地反映理财资产是否保值、增值。</w:t>
      </w:r>
    </w:p>
    <w:p>
      <w:pPr>
        <w:pStyle w:val="14"/>
        <w:spacing w:line="360" w:lineRule="auto"/>
        <w:ind w:firstLine="361" w:firstLineChars="200"/>
        <w:rPr>
          <w:rFonts w:hAnsi="宋体"/>
          <w:b/>
          <w:bCs/>
          <w:sz w:val="18"/>
          <w:szCs w:val="18"/>
        </w:rPr>
      </w:pPr>
      <w:r>
        <w:rPr>
          <w:rFonts w:hint="eastAsia" w:hAnsi="宋体"/>
          <w:b/>
          <w:bCs/>
          <w:sz w:val="18"/>
          <w:szCs w:val="18"/>
        </w:rPr>
        <w:t>（二）估值频率</w:t>
      </w:r>
    </w:p>
    <w:p>
      <w:pPr>
        <w:pStyle w:val="14"/>
        <w:spacing w:line="360" w:lineRule="auto"/>
        <w:ind w:firstLine="450" w:firstLineChars="250"/>
        <w:rPr>
          <w:sz w:val="18"/>
          <w:szCs w:val="18"/>
        </w:rPr>
      </w:pPr>
      <w:r>
        <w:rPr>
          <w:rFonts w:hint="eastAsia" w:hAnsi="宋体"/>
          <w:sz w:val="18"/>
          <w:szCs w:val="18"/>
        </w:rPr>
        <w:t>本产品存续期间，每【周】进行一次估值。如遇产品到期日、季度末、半年度末、年度末等时间节点管理人将增加估值日。</w:t>
      </w:r>
    </w:p>
    <w:p>
      <w:pPr>
        <w:pStyle w:val="14"/>
        <w:spacing w:line="360" w:lineRule="auto"/>
        <w:ind w:firstLine="452" w:firstLineChars="250"/>
        <w:rPr>
          <w:rFonts w:hAnsi="宋体"/>
          <w:b/>
          <w:bCs/>
          <w:sz w:val="18"/>
          <w:szCs w:val="18"/>
        </w:rPr>
      </w:pPr>
      <w:r>
        <w:rPr>
          <w:rFonts w:hint="eastAsia" w:hAnsi="宋体"/>
          <w:b/>
          <w:bCs/>
          <w:sz w:val="18"/>
          <w:szCs w:val="18"/>
        </w:rPr>
        <w:t>（三）估值对象</w:t>
      </w:r>
    </w:p>
    <w:p>
      <w:pPr>
        <w:pStyle w:val="14"/>
        <w:spacing w:line="360" w:lineRule="auto"/>
        <w:ind w:firstLine="360" w:firstLineChars="200"/>
        <w:rPr>
          <w:rFonts w:hAnsi="宋体"/>
          <w:sz w:val="18"/>
          <w:szCs w:val="18"/>
        </w:rPr>
      </w:pPr>
      <w:r>
        <w:rPr>
          <w:rFonts w:hint="eastAsia" w:hAnsi="宋体"/>
          <w:sz w:val="18"/>
          <w:szCs w:val="18"/>
        </w:rPr>
        <w:t>本产品所拥有的各类证券、资产管理产品、银行存款、应收款项、其它投资等资产及负债。</w:t>
      </w:r>
    </w:p>
    <w:p>
      <w:pPr>
        <w:pStyle w:val="14"/>
        <w:spacing w:line="360" w:lineRule="auto"/>
        <w:ind w:firstLine="452" w:firstLineChars="250"/>
        <w:rPr>
          <w:rFonts w:hAnsi="宋体"/>
          <w:b/>
          <w:bCs/>
          <w:sz w:val="18"/>
          <w:szCs w:val="18"/>
        </w:rPr>
      </w:pPr>
      <w:r>
        <w:rPr>
          <w:rFonts w:hint="eastAsia" w:hAnsi="宋体"/>
          <w:b/>
          <w:bCs/>
          <w:sz w:val="18"/>
          <w:szCs w:val="18"/>
        </w:rPr>
        <w:t>（四）估值方法</w:t>
      </w:r>
    </w:p>
    <w:p>
      <w:pPr>
        <w:pStyle w:val="14"/>
        <w:spacing w:line="360" w:lineRule="auto"/>
        <w:ind w:firstLine="361" w:firstLineChars="200"/>
        <w:rPr>
          <w:rFonts w:hAnsi="宋体"/>
          <w:b/>
          <w:bCs/>
          <w:sz w:val="18"/>
          <w:szCs w:val="18"/>
        </w:rPr>
      </w:pPr>
      <w:r>
        <w:rPr>
          <w:rFonts w:hint="eastAsia" w:hAnsi="宋体"/>
          <w:b/>
          <w:bCs/>
          <w:sz w:val="18"/>
          <w:szCs w:val="18"/>
        </w:rPr>
        <w:t>1.标准化债权类资产估值</w:t>
      </w:r>
    </w:p>
    <w:p>
      <w:pPr>
        <w:pStyle w:val="14"/>
        <w:spacing w:line="360" w:lineRule="auto"/>
        <w:ind w:firstLine="360" w:firstLineChars="200"/>
        <w:rPr>
          <w:rFonts w:hAnsi="宋体"/>
          <w:sz w:val="18"/>
          <w:szCs w:val="18"/>
        </w:rPr>
      </w:pPr>
      <w:r>
        <w:rPr>
          <w:rFonts w:hint="eastAsia" w:hAnsi="宋体"/>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14"/>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14"/>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14"/>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14"/>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14"/>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14"/>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14"/>
        <w:spacing w:line="360" w:lineRule="auto"/>
        <w:ind w:firstLine="361" w:firstLineChars="200"/>
        <w:rPr>
          <w:rFonts w:hAnsi="宋体"/>
          <w:sz w:val="18"/>
          <w:szCs w:val="18"/>
        </w:rPr>
      </w:pPr>
      <w:r>
        <w:rPr>
          <w:rFonts w:hAnsi="宋体"/>
          <w:b/>
          <w:bCs/>
          <w:sz w:val="18"/>
          <w:szCs w:val="18"/>
        </w:rPr>
        <w:t>3</w:t>
      </w:r>
      <w:r>
        <w:rPr>
          <w:rFonts w:hint="eastAsia" w:hAnsi="宋体"/>
          <w:b/>
          <w:bCs/>
          <w:sz w:val="18"/>
          <w:szCs w:val="18"/>
        </w:rPr>
        <w:t>.非标准化债权类资产</w:t>
      </w:r>
    </w:p>
    <w:p>
      <w:pPr>
        <w:pStyle w:val="14"/>
        <w:spacing w:line="360" w:lineRule="auto"/>
        <w:ind w:firstLine="360" w:firstLineChars="200"/>
        <w:rPr>
          <w:rFonts w:hAnsi="宋体"/>
          <w:sz w:val="18"/>
          <w:szCs w:val="18"/>
        </w:rPr>
      </w:pPr>
      <w:r>
        <w:rPr>
          <w:rFonts w:hint="eastAsia" w:hAnsi="宋体"/>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14"/>
        <w:spacing w:line="360" w:lineRule="auto"/>
        <w:ind w:firstLine="361" w:firstLineChars="200"/>
        <w:rPr>
          <w:rFonts w:hAnsi="宋体"/>
          <w:b/>
          <w:bCs/>
          <w:sz w:val="18"/>
          <w:szCs w:val="18"/>
        </w:rPr>
      </w:pPr>
      <w:r>
        <w:rPr>
          <w:rFonts w:hAnsi="宋体"/>
          <w:b/>
          <w:bCs/>
          <w:sz w:val="18"/>
          <w:szCs w:val="18"/>
        </w:rPr>
        <w:t>4</w:t>
      </w:r>
      <w:r>
        <w:rPr>
          <w:rFonts w:hint="eastAsia" w:hAnsi="宋体"/>
          <w:b/>
          <w:bCs/>
          <w:sz w:val="18"/>
          <w:szCs w:val="18"/>
        </w:rPr>
        <w:t>.上市公司股票估值</w:t>
      </w:r>
    </w:p>
    <w:p>
      <w:pPr>
        <w:pStyle w:val="14"/>
        <w:spacing w:line="360" w:lineRule="auto"/>
        <w:ind w:firstLine="360" w:firstLineChars="200"/>
        <w:rPr>
          <w:rFonts w:hAnsi="宋体"/>
          <w:sz w:val="18"/>
          <w:szCs w:val="18"/>
        </w:rPr>
      </w:pPr>
      <w:r>
        <w:rPr>
          <w:rFonts w:hint="eastAsia" w:hAnsi="宋体"/>
          <w:sz w:val="18"/>
          <w:szCs w:val="18"/>
        </w:rPr>
        <w:t>上市公司股票包括正常流通普通股、流通受限股票、长期停牌股票和新发行未上市股票。具体估值方法如下：</w:t>
      </w:r>
    </w:p>
    <w:p>
      <w:pPr>
        <w:pStyle w:val="14"/>
        <w:spacing w:line="360" w:lineRule="auto"/>
        <w:ind w:firstLine="360" w:firstLineChars="200"/>
        <w:rPr>
          <w:rFonts w:hAnsi="宋体"/>
          <w:sz w:val="18"/>
          <w:szCs w:val="18"/>
        </w:rPr>
      </w:pPr>
      <w:r>
        <w:rPr>
          <w:rFonts w:hint="eastAsia" w:hAnsi="宋体"/>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（2）送股、转增股、配股和公开增发新股等发行未上市的股票，按估值日在证券交易所上市的同一股票的收盘价或最近交易日的收盘价确定公允价值。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14"/>
        <w:spacing w:line="360" w:lineRule="auto"/>
        <w:ind w:firstLine="360" w:firstLineChars="200"/>
        <w:rPr>
          <w:rFonts w:hAnsi="宋体"/>
          <w:sz w:val="18"/>
          <w:szCs w:val="18"/>
        </w:rPr>
      </w:pPr>
      <w:r>
        <w:rPr>
          <w:rFonts w:hint="eastAsia" w:hAnsi="宋体"/>
          <w:sz w:val="18"/>
          <w:szCs w:val="18"/>
        </w:rPr>
        <w:t>（4）长期停牌股票，根据停牌原因、停牌时间及停牌公司公告等信息，采用估值技术确定公允价值。</w:t>
      </w:r>
    </w:p>
    <w:p>
      <w:pPr>
        <w:pStyle w:val="14"/>
        <w:spacing w:line="360" w:lineRule="auto"/>
        <w:ind w:firstLine="360" w:firstLineChars="200"/>
        <w:rPr>
          <w:rFonts w:hAnsi="宋体"/>
          <w:sz w:val="18"/>
          <w:szCs w:val="18"/>
        </w:rPr>
      </w:pPr>
      <w:r>
        <w:rPr>
          <w:rFonts w:hint="eastAsia" w:hAnsi="宋体"/>
          <w:sz w:val="18"/>
          <w:szCs w:val="18"/>
        </w:rPr>
        <w:t>（5）新发行未上市股票，如果发行日后未发生影响公允价值计量的重大事件的，应采用发行价作为公允价值的最佳估计，已发生影响公允价值计量重大事件的应采用估值技术确定公允价值。</w:t>
      </w:r>
    </w:p>
    <w:p>
      <w:pPr>
        <w:pStyle w:val="14"/>
        <w:spacing w:line="360" w:lineRule="auto"/>
        <w:ind w:firstLine="361" w:firstLineChars="200"/>
        <w:rPr>
          <w:rFonts w:hAnsi="宋体"/>
          <w:b/>
          <w:bCs/>
          <w:sz w:val="18"/>
          <w:szCs w:val="18"/>
        </w:rPr>
      </w:pPr>
      <w:r>
        <w:rPr>
          <w:rFonts w:hAnsi="宋体"/>
          <w:b/>
          <w:bCs/>
          <w:sz w:val="18"/>
          <w:szCs w:val="18"/>
        </w:rPr>
        <w:t>5</w:t>
      </w:r>
      <w:r>
        <w:rPr>
          <w:rFonts w:hint="eastAsia" w:hAnsi="宋体"/>
          <w:b/>
          <w:bCs/>
          <w:sz w:val="18"/>
          <w:szCs w:val="18"/>
        </w:rPr>
        <w:t>.未上市公司股权</w:t>
      </w:r>
    </w:p>
    <w:p>
      <w:pPr>
        <w:pStyle w:val="14"/>
        <w:spacing w:line="360" w:lineRule="auto"/>
        <w:ind w:firstLine="360" w:firstLineChars="200"/>
        <w:rPr>
          <w:rFonts w:hAnsi="宋体"/>
          <w:sz w:val="18"/>
          <w:szCs w:val="18"/>
        </w:rPr>
      </w:pPr>
      <w:r>
        <w:rPr>
          <w:rFonts w:hint="eastAsia" w:hAnsi="宋体"/>
          <w:sz w:val="18"/>
          <w:szCs w:val="18"/>
        </w:rPr>
        <w:t>以公允价值计量，应综合考虑被评估企业实际情况、市场交易情况及其他可获得的信息，采用市场法、收益法、重置成本法等估值技术，结合流动性折扣等因素评估公允价值。</w:t>
      </w:r>
    </w:p>
    <w:p>
      <w:pPr>
        <w:pStyle w:val="14"/>
        <w:spacing w:line="360" w:lineRule="auto"/>
        <w:ind w:firstLine="361" w:firstLineChars="200"/>
        <w:rPr>
          <w:rFonts w:hAnsi="宋体"/>
          <w:b/>
          <w:bCs/>
          <w:sz w:val="18"/>
          <w:szCs w:val="18"/>
        </w:rPr>
      </w:pPr>
      <w:r>
        <w:rPr>
          <w:rFonts w:hAnsi="宋体"/>
          <w:b/>
          <w:bCs/>
          <w:sz w:val="18"/>
          <w:szCs w:val="18"/>
        </w:rPr>
        <w:t>6</w:t>
      </w:r>
      <w:r>
        <w:rPr>
          <w:rFonts w:hint="eastAsia" w:hAnsi="宋体"/>
          <w:b/>
          <w:bCs/>
          <w:sz w:val="18"/>
          <w:szCs w:val="18"/>
        </w:rPr>
        <w:t>.优先股</w:t>
      </w:r>
    </w:p>
    <w:p>
      <w:pPr>
        <w:pStyle w:val="14"/>
        <w:spacing w:line="360" w:lineRule="auto"/>
        <w:ind w:firstLine="360" w:firstLineChars="200"/>
        <w:rPr>
          <w:rFonts w:hAnsi="宋体"/>
          <w:sz w:val="18"/>
          <w:szCs w:val="18"/>
        </w:rPr>
      </w:pPr>
      <w:r>
        <w:rPr>
          <w:rFonts w:hint="eastAsia" w:hAnsi="宋体"/>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14"/>
        <w:spacing w:line="360" w:lineRule="auto"/>
        <w:ind w:firstLine="361" w:firstLineChars="200"/>
        <w:rPr>
          <w:rFonts w:hAnsi="宋体"/>
          <w:b/>
          <w:bCs/>
          <w:sz w:val="18"/>
          <w:szCs w:val="18"/>
        </w:rPr>
      </w:pPr>
      <w:r>
        <w:rPr>
          <w:rFonts w:hAnsi="宋体"/>
          <w:b/>
          <w:bCs/>
          <w:sz w:val="18"/>
          <w:szCs w:val="18"/>
        </w:rPr>
        <w:t>7</w:t>
      </w:r>
      <w:r>
        <w:rPr>
          <w:rFonts w:hint="eastAsia" w:hAnsi="宋体"/>
          <w:b/>
          <w:bCs/>
          <w:sz w:val="18"/>
          <w:szCs w:val="18"/>
        </w:rPr>
        <w:t>.证券投资基金估值</w:t>
      </w:r>
    </w:p>
    <w:p>
      <w:pPr>
        <w:pStyle w:val="14"/>
        <w:spacing w:line="360" w:lineRule="auto"/>
        <w:ind w:firstLine="360" w:firstLineChars="200"/>
        <w:rPr>
          <w:rFonts w:hAnsi="宋体"/>
          <w:sz w:val="18"/>
          <w:szCs w:val="18"/>
        </w:rPr>
      </w:pPr>
      <w:r>
        <w:rPr>
          <w:rFonts w:hint="eastAsia" w:hAnsi="宋体"/>
          <w:sz w:val="18"/>
          <w:szCs w:val="18"/>
        </w:rPr>
        <w:t>（1）非上市基金估值</w:t>
      </w:r>
    </w:p>
    <w:p>
      <w:pPr>
        <w:pStyle w:val="14"/>
        <w:spacing w:line="360" w:lineRule="auto"/>
        <w:ind w:firstLine="360" w:firstLineChars="200"/>
        <w:rPr>
          <w:rFonts w:hAnsi="宋体"/>
          <w:sz w:val="18"/>
          <w:szCs w:val="18"/>
        </w:rPr>
      </w:pPr>
      <w:r>
        <w:rPr>
          <w:rFonts w:hint="eastAsia" w:hAnsi="宋体"/>
          <w:sz w:val="18"/>
          <w:szCs w:val="18"/>
        </w:rPr>
        <w:t>1)本产品投资的境内非货币市场基金，按所投资基金估值日的基金份额净值估值；估值日基金净值未公布的，以基金管理人公布的最近一个工作日基金份额净值计算。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2)本产品投资的境内货币市场基金，按所投资基金前一估值日后至估值日期间（含节假日）的万份收益计提估值日基金收益。</w:t>
      </w:r>
    </w:p>
    <w:p>
      <w:pPr>
        <w:pStyle w:val="14"/>
        <w:spacing w:line="360" w:lineRule="auto"/>
        <w:ind w:firstLine="360" w:firstLineChars="200"/>
        <w:rPr>
          <w:rFonts w:hAnsi="宋体"/>
          <w:sz w:val="18"/>
          <w:szCs w:val="18"/>
        </w:rPr>
      </w:pPr>
      <w:r>
        <w:rPr>
          <w:rFonts w:hint="eastAsia" w:hAnsi="宋体"/>
          <w:sz w:val="18"/>
          <w:szCs w:val="18"/>
        </w:rPr>
        <w:t>（2）上市基金估值</w:t>
      </w:r>
    </w:p>
    <w:p>
      <w:pPr>
        <w:pStyle w:val="14"/>
        <w:spacing w:line="360" w:lineRule="auto"/>
        <w:ind w:firstLine="360" w:firstLineChars="200"/>
        <w:rPr>
          <w:rFonts w:hAnsi="宋体"/>
          <w:sz w:val="18"/>
          <w:szCs w:val="18"/>
        </w:rPr>
      </w:pPr>
      <w:r>
        <w:rPr>
          <w:rFonts w:hint="eastAsia" w:hAnsi="宋体"/>
          <w:sz w:val="18"/>
          <w:szCs w:val="18"/>
        </w:rPr>
        <w:t>1)本产品投资的ETF基金、境内上市定期开放式基金、封闭式基金，按照所投资基金估值日的收盘价估值；估值日无交易的，以最近交易日的收盘价估值。</w:t>
      </w:r>
    </w:p>
    <w:p>
      <w:pPr>
        <w:pStyle w:val="14"/>
        <w:spacing w:line="360" w:lineRule="auto"/>
        <w:ind w:firstLine="360" w:firstLineChars="200"/>
        <w:rPr>
          <w:rFonts w:hAnsi="宋体"/>
          <w:sz w:val="18"/>
          <w:szCs w:val="18"/>
        </w:rPr>
      </w:pPr>
      <w:r>
        <w:rPr>
          <w:rFonts w:hint="eastAsia" w:hAnsi="宋体"/>
          <w:sz w:val="18"/>
          <w:szCs w:val="18"/>
        </w:rPr>
        <w:t>2)本产品投资的境内上市开放式基金（LOF），按所投资基金估值日的基金份额净值估值；估值日基金净值未公布的，以基金管理人公布的最近一个工作日基金份额净值计算。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14"/>
        <w:spacing w:line="360" w:lineRule="auto"/>
        <w:ind w:firstLine="361" w:firstLineChars="200"/>
        <w:rPr>
          <w:rFonts w:hAnsi="宋体"/>
          <w:b/>
          <w:bCs/>
          <w:sz w:val="18"/>
          <w:szCs w:val="18"/>
        </w:rPr>
      </w:pPr>
      <w:r>
        <w:rPr>
          <w:rFonts w:hAnsi="宋体"/>
          <w:b/>
          <w:bCs/>
          <w:sz w:val="18"/>
          <w:szCs w:val="18"/>
        </w:rPr>
        <w:t>8</w:t>
      </w:r>
      <w:r>
        <w:rPr>
          <w:rFonts w:hint="eastAsia" w:hAnsi="宋体"/>
          <w:b/>
          <w:bCs/>
          <w:sz w:val="18"/>
          <w:szCs w:val="18"/>
        </w:rPr>
        <w:t>.其他资产管理产品的估值</w:t>
      </w:r>
    </w:p>
    <w:p>
      <w:pPr>
        <w:pStyle w:val="14"/>
        <w:spacing w:line="360" w:lineRule="auto"/>
        <w:ind w:firstLine="360" w:firstLineChars="200"/>
        <w:rPr>
          <w:rFonts w:hAnsi="宋体"/>
          <w:sz w:val="18"/>
          <w:szCs w:val="18"/>
        </w:rPr>
      </w:pPr>
      <w:r>
        <w:rPr>
          <w:rFonts w:hint="eastAsia" w:hAnsi="宋体"/>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hint="eastAsia" w:asciiTheme="minorEastAsia" w:hAnsiTheme="minorEastAsia" w:eastAsiaTheme="minorEastAsia"/>
          <w:bCs/>
          <w:sz w:val="18"/>
          <w:szCs w:val="18"/>
        </w:rPr>
        <w:t>若无法获取净值，产品管理人可与托管人商定后，采用在当前情况下适用的估值技术确定公允价值。</w:t>
      </w:r>
    </w:p>
    <w:p>
      <w:pPr>
        <w:pStyle w:val="14"/>
        <w:spacing w:line="360" w:lineRule="auto"/>
        <w:ind w:firstLine="361" w:firstLineChars="200"/>
        <w:rPr>
          <w:rFonts w:hAnsi="宋体"/>
          <w:b/>
          <w:bCs/>
          <w:sz w:val="18"/>
          <w:szCs w:val="18"/>
        </w:rPr>
      </w:pPr>
      <w:r>
        <w:rPr>
          <w:rFonts w:hAnsi="宋体"/>
          <w:b/>
          <w:bCs/>
          <w:sz w:val="18"/>
          <w:szCs w:val="18"/>
        </w:rPr>
        <w:t>9</w:t>
      </w:r>
      <w:r>
        <w:rPr>
          <w:rFonts w:hint="eastAsia" w:hAnsi="宋体"/>
          <w:b/>
          <w:bCs/>
          <w:sz w:val="18"/>
          <w:szCs w:val="18"/>
        </w:rPr>
        <w:t>.衍生金融工具估值</w:t>
      </w:r>
    </w:p>
    <w:p>
      <w:pPr>
        <w:pStyle w:val="14"/>
        <w:spacing w:line="360" w:lineRule="auto"/>
        <w:ind w:firstLine="360" w:firstLineChars="200"/>
        <w:rPr>
          <w:rFonts w:hAnsi="宋体"/>
          <w:sz w:val="18"/>
          <w:szCs w:val="18"/>
        </w:rPr>
      </w:pPr>
      <w:r>
        <w:rPr>
          <w:rFonts w:hint="eastAsia" w:hAnsi="宋体"/>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14"/>
        <w:spacing w:line="360" w:lineRule="auto"/>
        <w:ind w:firstLine="361" w:firstLineChars="200"/>
        <w:rPr>
          <w:rFonts w:hAnsi="宋体"/>
          <w:b/>
          <w:bCs/>
          <w:sz w:val="18"/>
          <w:szCs w:val="18"/>
        </w:rPr>
      </w:pPr>
      <w:r>
        <w:rPr>
          <w:rFonts w:hAnsi="宋体"/>
          <w:b/>
          <w:bCs/>
          <w:sz w:val="18"/>
          <w:szCs w:val="18"/>
        </w:rPr>
        <w:t>10</w:t>
      </w:r>
      <w:r>
        <w:rPr>
          <w:rFonts w:hint="eastAsia" w:hAnsi="宋体"/>
          <w:b/>
          <w:bCs/>
          <w:sz w:val="18"/>
          <w:szCs w:val="18"/>
        </w:rPr>
        <w:t>.存款、拆借、回购等货币市场工具的估值</w:t>
      </w:r>
    </w:p>
    <w:p>
      <w:pPr>
        <w:pStyle w:val="14"/>
        <w:spacing w:line="360" w:lineRule="auto"/>
        <w:ind w:firstLine="360" w:firstLineChars="200"/>
        <w:rPr>
          <w:rFonts w:hAnsi="宋体"/>
          <w:sz w:val="18"/>
          <w:szCs w:val="18"/>
        </w:rPr>
      </w:pPr>
      <w:r>
        <w:rPr>
          <w:rFonts w:hint="eastAsia" w:hAnsi="宋体"/>
          <w:sz w:val="18"/>
          <w:szCs w:val="18"/>
        </w:rPr>
        <w:t>以本金列示，按商定利率在实际持有期间内逐日计提利息。如有估值技术能更准确反映其公允价值的，采用估值技术进行估值。</w:t>
      </w:r>
    </w:p>
    <w:p>
      <w:pPr>
        <w:pStyle w:val="14"/>
        <w:spacing w:line="360" w:lineRule="auto"/>
        <w:ind w:firstLine="360" w:firstLineChars="200"/>
        <w:rPr>
          <w:rFonts w:hAnsi="宋体"/>
          <w:sz w:val="18"/>
          <w:szCs w:val="18"/>
        </w:rPr>
      </w:pPr>
      <w:r>
        <w:rPr>
          <w:rFonts w:hint="eastAsia" w:hAnsi="宋体"/>
          <w:sz w:val="18"/>
          <w:szCs w:val="18"/>
        </w:rPr>
        <w:t>1</w:t>
      </w:r>
      <w:r>
        <w:rPr>
          <w:rFonts w:hAnsi="宋体"/>
          <w:sz w:val="18"/>
          <w:szCs w:val="18"/>
        </w:rPr>
        <w:t>1</w:t>
      </w:r>
      <w:r>
        <w:rPr>
          <w:rFonts w:hint="eastAsia" w:hAnsi="宋体"/>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w:t>
      </w:r>
      <w:r>
        <w:rPr>
          <w:rFonts w:hint="eastAsia" w:ascii="黑体" w:hAnsi="黑体" w:eastAsia="黑体"/>
          <w:sz w:val="18"/>
          <w:szCs w:val="18"/>
        </w:rPr>
        <w:t>.★估值方法的调整</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若因相关法律法规以及监管部门有规定，需要调整估值方法的，管理人应按相关规定要求使用调整后的估值方法进行估值。</w:t>
      </w:r>
    </w:p>
    <w:p>
      <w:pPr>
        <w:pStyle w:val="14"/>
        <w:spacing w:line="360" w:lineRule="auto"/>
        <w:ind w:firstLine="361" w:firstLineChars="200"/>
        <w:rPr>
          <w:rFonts w:hAnsi="宋体"/>
          <w:b/>
          <w:bCs/>
          <w:sz w:val="18"/>
          <w:szCs w:val="18"/>
        </w:rPr>
      </w:pPr>
      <w:r>
        <w:rPr>
          <w:rFonts w:hint="eastAsia" w:hAnsi="宋体"/>
          <w:b/>
          <w:bCs/>
          <w:sz w:val="18"/>
          <w:szCs w:val="18"/>
        </w:rPr>
        <w:t>（五）估值程序</w:t>
      </w:r>
    </w:p>
    <w:p>
      <w:pPr>
        <w:pStyle w:val="14"/>
        <w:spacing w:line="360" w:lineRule="auto"/>
        <w:ind w:firstLine="360" w:firstLineChars="200"/>
        <w:rPr>
          <w:rFonts w:hAnsi="宋体"/>
          <w:sz w:val="18"/>
          <w:szCs w:val="18"/>
        </w:rPr>
      </w:pPr>
      <w:r>
        <w:rPr>
          <w:rFonts w:hint="eastAsia" w:hAnsi="宋体"/>
          <w:sz w:val="18"/>
          <w:szCs w:val="18"/>
        </w:rPr>
        <w:t>1.产品份额净值是按照估值日产品资产净值除以当日产品总份额计算，四舍五入保留5位小数。国家另有规定的，从其规定。</w:t>
      </w:r>
    </w:p>
    <w:p>
      <w:pPr>
        <w:pStyle w:val="14"/>
        <w:spacing w:line="360" w:lineRule="auto"/>
        <w:ind w:firstLine="360" w:firstLineChars="200"/>
        <w:rPr>
          <w:rFonts w:hAnsi="宋体"/>
          <w:sz w:val="18"/>
          <w:szCs w:val="18"/>
        </w:rPr>
      </w:pPr>
      <w:r>
        <w:rPr>
          <w:rFonts w:hint="eastAsia" w:hAnsi="宋体"/>
          <w:sz w:val="18"/>
          <w:szCs w:val="18"/>
        </w:rPr>
        <w:t xml:space="preserve">2.产品管理人对理财资产估值后，将产品份额净值发送产品托管人，经产品托管人复核无误后，由产品管理人按规定对外公布。 </w:t>
      </w:r>
    </w:p>
    <w:p>
      <w:pPr>
        <w:pStyle w:val="14"/>
        <w:spacing w:line="360" w:lineRule="auto"/>
        <w:ind w:firstLine="360" w:firstLineChars="200"/>
        <w:rPr>
          <w:rFonts w:hAnsi="宋体"/>
          <w:sz w:val="18"/>
          <w:szCs w:val="18"/>
        </w:rPr>
      </w:pPr>
      <w:r>
        <w:rPr>
          <w:rFonts w:hint="eastAsia" w:hAnsi="宋体"/>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14"/>
        <w:spacing w:line="360" w:lineRule="auto"/>
        <w:ind w:firstLine="361" w:firstLineChars="200"/>
        <w:rPr>
          <w:rFonts w:hAnsi="宋体"/>
          <w:b/>
          <w:bCs/>
          <w:sz w:val="18"/>
          <w:szCs w:val="18"/>
        </w:rPr>
      </w:pPr>
      <w:r>
        <w:rPr>
          <w:rFonts w:hint="eastAsia" w:hAnsi="宋体"/>
          <w:b/>
          <w:bCs/>
          <w:sz w:val="18"/>
          <w:szCs w:val="18"/>
        </w:rPr>
        <w:t>（六）估值主体</w:t>
      </w:r>
    </w:p>
    <w:p>
      <w:pPr>
        <w:pStyle w:val="14"/>
        <w:spacing w:line="360" w:lineRule="auto"/>
        <w:ind w:firstLine="360" w:firstLineChars="200"/>
        <w:rPr>
          <w:rFonts w:hAnsi="宋体"/>
          <w:sz w:val="18"/>
          <w:szCs w:val="18"/>
        </w:rPr>
      </w:pPr>
      <w:r>
        <w:rPr>
          <w:rFonts w:hint="eastAsia" w:hAnsi="宋体"/>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p>
      <w:pPr>
        <w:pStyle w:val="2"/>
        <w:spacing w:before="0" w:after="0" w:line="360" w:lineRule="auto"/>
        <w:ind w:left="60" w:firstLine="10"/>
        <w:jc w:val="center"/>
        <w:rPr>
          <w:rFonts w:ascii="Times New Roman"/>
          <w:sz w:val="30"/>
        </w:rPr>
      </w:pPr>
      <w:bookmarkStart w:id="125" w:name="_Hlt70481650"/>
      <w:bookmarkEnd w:id="125"/>
      <w:bookmarkStart w:id="126" w:name="_Toc14835"/>
      <w:bookmarkStart w:id="127" w:name="_Toc141703887"/>
      <w:bookmarkStart w:id="128" w:name="_Toc3601"/>
      <w:bookmarkStart w:id="129" w:name="_Toc26207"/>
      <w:bookmarkStart w:id="130" w:name="_Toc15143"/>
      <w:bookmarkStart w:id="131" w:name="_Toc123102454"/>
      <w:bookmarkStart w:id="132" w:name="_Toc74065744"/>
      <w:bookmarkStart w:id="133" w:name="_Toc139991737"/>
      <w:bookmarkStart w:id="134" w:name="_Toc29251"/>
      <w:bookmarkStart w:id="135" w:name="_Toc123051453"/>
      <w:bookmarkStart w:id="136" w:name="_Toc116649656"/>
      <w:bookmarkStart w:id="137" w:name="_Toc31235"/>
      <w:bookmarkStart w:id="138" w:name="_Toc31644"/>
      <w:bookmarkStart w:id="139" w:name="_Toc6405"/>
      <w:bookmarkStart w:id="140" w:name="_Toc98560353"/>
      <w:bookmarkStart w:id="141" w:name="_Toc79154671"/>
      <w:bookmarkStart w:id="142" w:name="_Toc12245"/>
      <w:bookmarkStart w:id="143" w:name="_Toc31653"/>
      <w:bookmarkStart w:id="144" w:name="_Toc123112235"/>
      <w:r>
        <w:rPr>
          <w:rFonts w:ascii="Times New Roman"/>
          <w:sz w:val="30"/>
        </w:rPr>
        <w:t>第八</w:t>
      </w:r>
      <w:r>
        <w:rPr>
          <w:rFonts w:hint="eastAsia" w:ascii="Times New Roman"/>
          <w:sz w:val="30"/>
        </w:rPr>
        <w:t>条</w:t>
      </w:r>
      <w:r>
        <w:rPr>
          <w:rFonts w:ascii="Times New Roman"/>
          <w:sz w:val="30"/>
        </w:rPr>
        <w:t xml:space="preserve">  </w:t>
      </w:r>
      <w:r>
        <w:rPr>
          <w:rFonts w:hint="eastAsia" w:ascii="Times New Roman"/>
          <w:sz w:val="30"/>
        </w:rPr>
        <w:t>理财产品的利益分配</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Start w:id="145" w:name="_Hlt55355235"/>
      <w:bookmarkEnd w:id="145"/>
      <w:bookmarkStart w:id="146" w:name="_Toc57530239"/>
      <w:bookmarkStart w:id="147" w:name="_Toc15118234"/>
      <w:bookmarkStart w:id="148" w:name="_Toc79392580"/>
      <w:bookmarkStart w:id="149" w:name="_Toc523711668"/>
    </w:p>
    <w:p>
      <w:pPr>
        <w:pStyle w:val="14"/>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14"/>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14"/>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14"/>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14"/>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14"/>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1.分配方案要点：</w:t>
      </w:r>
    </w:p>
    <w:p>
      <w:pPr>
        <w:pStyle w:val="14"/>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14"/>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14"/>
        <w:spacing w:line="360" w:lineRule="auto"/>
        <w:ind w:firstLine="360" w:firstLineChars="200"/>
        <w:rPr>
          <w:rFonts w:hAnsi="宋体"/>
          <w:color w:val="auto"/>
          <w:sz w:val="18"/>
          <w:szCs w:val="18"/>
        </w:rPr>
      </w:pPr>
      <w:r>
        <w:rPr>
          <w:rFonts w:hint="eastAsia" w:hAnsi="宋体"/>
          <w:color w:val="auto"/>
          <w:sz w:val="18"/>
          <w:szCs w:val="18"/>
        </w:rPr>
        <w:t>3.理财产品存续期间，产品管理人</w:t>
      </w:r>
      <w:r>
        <w:rPr>
          <w:rFonts w:hAnsi="宋体"/>
          <w:color w:val="auto"/>
          <w:sz w:val="18"/>
          <w:szCs w:val="18"/>
        </w:rPr>
        <w:t>有权视理财产品</w:t>
      </w:r>
      <w:r>
        <w:rPr>
          <w:rFonts w:hint="eastAsia" w:hAnsi="宋体"/>
          <w:color w:val="auto"/>
          <w:sz w:val="18"/>
          <w:szCs w:val="18"/>
        </w:rPr>
        <w:t>收益情况</w:t>
      </w:r>
      <w:r>
        <w:rPr>
          <w:rFonts w:hAnsi="宋体"/>
          <w:color w:val="auto"/>
          <w:sz w:val="18"/>
          <w:szCs w:val="18"/>
        </w:rPr>
        <w:t>进行主动分配，相应分配基准日、分配方案由管理人</w:t>
      </w:r>
      <w:r>
        <w:rPr>
          <w:rFonts w:hint="eastAsia" w:hAnsi="宋体"/>
          <w:color w:val="auto"/>
          <w:sz w:val="18"/>
          <w:szCs w:val="18"/>
        </w:rPr>
        <w:t>及时</w:t>
      </w:r>
      <w:r>
        <w:rPr>
          <w:rFonts w:hAnsi="宋体"/>
          <w:color w:val="auto"/>
          <w:sz w:val="18"/>
          <w:szCs w:val="18"/>
        </w:rPr>
        <w:t>披露。</w:t>
      </w:r>
    </w:p>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14"/>
        <w:spacing w:line="360" w:lineRule="auto"/>
        <w:ind w:firstLine="360" w:firstLineChars="200"/>
        <w:rPr>
          <w:rFonts w:hAnsi="宋体"/>
          <w:color w:val="auto"/>
          <w:sz w:val="18"/>
          <w:szCs w:val="18"/>
        </w:rPr>
      </w:pPr>
      <w:r>
        <w:rPr>
          <w:rFonts w:hint="eastAsia" w:hAnsi="宋体"/>
          <w:color w:val="auto"/>
          <w:sz w:val="18"/>
          <w:szCs w:val="18"/>
        </w:rPr>
        <w:t>1.理财利益的分配日</w:t>
      </w:r>
    </w:p>
    <w:p>
      <w:pPr>
        <w:pStyle w:val="14"/>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14"/>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14"/>
        <w:spacing w:line="360" w:lineRule="auto"/>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具体的理财利益分配以管理人实际分配的为准。</w:t>
      </w:r>
    </w:p>
    <w:p>
      <w:pPr>
        <w:widowControl/>
        <w:spacing w:line="360" w:lineRule="auto"/>
        <w:jc w:val="left"/>
        <w:rPr>
          <w:rFonts w:ascii="宋体" w:hAnsi="宋体"/>
          <w:kern w:val="0"/>
          <w:sz w:val="18"/>
          <w:szCs w:val="18"/>
        </w:rPr>
      </w:pPr>
      <w:r>
        <w:rPr>
          <w:rFonts w:hAnsi="宋体"/>
          <w:sz w:val="18"/>
          <w:szCs w:val="18"/>
        </w:rPr>
        <w:br w:type="page"/>
      </w:r>
    </w:p>
    <w:bookmarkEnd w:id="146"/>
    <w:bookmarkEnd w:id="147"/>
    <w:bookmarkEnd w:id="148"/>
    <w:bookmarkEnd w:id="149"/>
    <w:p>
      <w:pPr>
        <w:pStyle w:val="2"/>
        <w:spacing w:before="0" w:after="0" w:line="360" w:lineRule="auto"/>
        <w:jc w:val="center"/>
        <w:rPr>
          <w:rFonts w:ascii="Times New Roman"/>
          <w:sz w:val="30"/>
        </w:rPr>
      </w:pPr>
      <w:bookmarkStart w:id="150" w:name="_Hlt88825574"/>
      <w:bookmarkEnd w:id="150"/>
      <w:bookmarkStart w:id="151" w:name="_Hlt88897298"/>
      <w:bookmarkEnd w:id="151"/>
      <w:bookmarkStart w:id="152" w:name="_Toc7058"/>
      <w:bookmarkStart w:id="153" w:name="_Toc3771"/>
      <w:bookmarkStart w:id="154" w:name="_Toc18567"/>
      <w:bookmarkStart w:id="155" w:name="_Toc74065745"/>
      <w:bookmarkStart w:id="156" w:name="_Toc123051454"/>
      <w:bookmarkStart w:id="157" w:name="_Toc11030"/>
      <w:bookmarkStart w:id="158" w:name="_Toc98560354"/>
      <w:bookmarkStart w:id="159" w:name="_Toc116649657"/>
      <w:bookmarkStart w:id="160" w:name="_Toc123102455"/>
      <w:bookmarkStart w:id="161" w:name="_Toc141703888"/>
      <w:bookmarkStart w:id="162" w:name="_Toc6447"/>
      <w:bookmarkStart w:id="163" w:name="_Toc79154672"/>
      <w:bookmarkStart w:id="164" w:name="_Toc123112236"/>
      <w:bookmarkStart w:id="165" w:name="_Toc9706"/>
      <w:bookmarkStart w:id="166" w:name="_Toc3321"/>
      <w:bookmarkStart w:id="167" w:name="_Toc10650"/>
      <w:bookmarkStart w:id="168" w:name="_Toc79392583"/>
      <w:bookmarkStart w:id="169" w:name="_Toc139991738"/>
      <w:bookmarkStart w:id="170" w:name="_Toc4559"/>
      <w:bookmarkStart w:id="171" w:name="_Toc25783"/>
      <w:r>
        <w:rPr>
          <w:rFonts w:ascii="Times New Roman"/>
          <w:sz w:val="30"/>
        </w:rPr>
        <w:t>第九</w:t>
      </w:r>
      <w:r>
        <w:rPr>
          <w:rFonts w:hint="eastAsia" w:ascii="Times New Roman"/>
          <w:sz w:val="30"/>
        </w:rPr>
        <w:t>条</w:t>
      </w:r>
      <w:r>
        <w:rPr>
          <w:rFonts w:ascii="Times New Roman"/>
          <w:sz w:val="30"/>
        </w:rPr>
        <w:t xml:space="preserve">  </w:t>
      </w:r>
      <w:r>
        <w:rPr>
          <w:rFonts w:hint="eastAsia" w:ascii="Times New Roman"/>
          <w:sz w:val="30"/>
        </w:rPr>
        <w:t>理财产品的费用与税收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）理财产品的交易费用（包括但不限于证券交易费用、经纪费用等）；</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14"/>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hint="eastAsia" w:ascii="黑体" w:hAnsi="黑体" w:eastAsia="黑体"/>
          <w:sz w:val="18"/>
          <w:szCs w:val="18"/>
        </w:rPr>
        <w:t>★</w:t>
      </w:r>
      <w:r>
        <w:rPr>
          <w:rFonts w:hint="eastAsia" w:asciiTheme="majorEastAsia" w:hAnsiTheme="majorEastAsia" w:eastAsiaTheme="majorEastAsia"/>
          <w:sz w:val="18"/>
          <w:szCs w:val="18"/>
        </w:rPr>
        <w:t>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业绩报酬计提基准的设置、超额业绩报酬的具体比例数值以《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每份产品份额超额业绩报酬每日计提，产品终止日结算。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份额当前年化收益率（R）超过当前业绩报酬计提基准的部分，按比例（N）以及产品份额持有天数（D）提取超额业绩报酬，计算方法如下：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当R＞当前业绩报酬计提基准，超额业绩报酬=产品终止时投资者持有的产品份额×产品成立日产品份额净值×（R-当前业绩报酬计提基准）×N×D/365。</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14"/>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14"/>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spacing w:line="360" w:lineRule="auto"/>
        <w:jc w:val="center"/>
      </w:pPr>
      <w:bookmarkStart w:id="172" w:name="_Toc3963"/>
      <w:bookmarkStart w:id="173" w:name="_Toc1745"/>
      <w:r>
        <w:br w:type="page"/>
      </w:r>
      <w:bookmarkStart w:id="174" w:name="_Toc139991739"/>
      <w:bookmarkStart w:id="175" w:name="_Toc98560355"/>
      <w:bookmarkStart w:id="176" w:name="_Toc123051455"/>
      <w:bookmarkStart w:id="177" w:name="_Toc16164"/>
      <w:bookmarkStart w:id="178" w:name="_Toc116649658"/>
      <w:bookmarkStart w:id="179" w:name="_Toc725"/>
      <w:bookmarkStart w:id="180" w:name="_Toc141703889"/>
      <w:bookmarkStart w:id="181" w:name="_Toc79154673"/>
      <w:bookmarkStart w:id="182" w:name="_Toc123102456"/>
      <w:bookmarkStart w:id="183" w:name="_Toc10398"/>
      <w:bookmarkStart w:id="184" w:name="_Toc18206"/>
      <w:bookmarkStart w:id="185" w:name="_Toc74065746"/>
      <w:bookmarkStart w:id="186" w:name="_Toc3080"/>
      <w:bookmarkStart w:id="187" w:name="_Toc3572"/>
      <w:bookmarkStart w:id="188" w:name="_Toc21735"/>
      <w:bookmarkStart w:id="189" w:name="_Toc31821"/>
      <w:bookmarkStart w:id="190" w:name="_Toc123112237"/>
      <w:r>
        <w:rPr>
          <w:rFonts w:hint="eastAsia"/>
          <w:sz w:val="30"/>
        </w:rPr>
        <w:t>第</w:t>
      </w:r>
      <w:r>
        <w:rPr>
          <w:sz w:val="30"/>
        </w:rPr>
        <w:t>十</w:t>
      </w:r>
      <w:r>
        <w:rPr>
          <w:rFonts w:hint="eastAsia"/>
          <w:sz w:val="30"/>
        </w:rPr>
        <w:t>条</w:t>
      </w:r>
      <w:r>
        <w:rPr>
          <w:sz w:val="30"/>
        </w:rPr>
        <w:t xml:space="preserve">  </w:t>
      </w:r>
      <w:r>
        <w:rPr>
          <w:rFonts w:hint="eastAsia"/>
          <w:sz w:val="30"/>
        </w:rPr>
        <w:t>理财产品的终止与清算</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361" w:firstLineChars="200"/>
        <w:rPr>
          <w:rFonts w:asciiTheme="majorEastAsia" w:hAnsiTheme="majorEastAsia" w:eastAsiaTheme="majorEastAsia"/>
          <w:b/>
          <w:bCs/>
          <w:sz w:val="18"/>
          <w:szCs w:val="18"/>
        </w:rPr>
      </w:pPr>
      <w:bookmarkStart w:id="191" w:name="_Toc79392593"/>
      <w:bookmarkStart w:id="192" w:name="_Toc15118245"/>
      <w:bookmarkStart w:id="193" w:name="_Toc57530252"/>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因法律法规、国家金融政策或监管规定变化，或紧急措施出台影响产品继续正常运作。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法律法规规定、监管部门要求或本销售文件约定的其他情形。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因市场成交量不足、资产限制赎回、暂停交易、缺乏意愿交易对手、交易对手违约等原因，导致产品项下对应的投资标的无法及时变现；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部分提前终止的利益分配：产品管理人将依照销售文件公布部分提前终止日并指定利益分配日（一般为部分提前终止日之后的【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91"/>
    <w:bookmarkEnd w:id="192"/>
    <w:bookmarkEnd w:id="193"/>
    <w:p>
      <w:pPr>
        <w:pStyle w:val="2"/>
        <w:spacing w:before="0" w:after="0" w:line="360" w:lineRule="auto"/>
        <w:jc w:val="center"/>
        <w:rPr>
          <w:rFonts w:ascii="Times New Roman"/>
          <w:sz w:val="30"/>
        </w:rPr>
      </w:pPr>
      <w:r>
        <w:rPr>
          <w:rFonts w:ascii="Times New Roman"/>
          <w:b w:val="0"/>
          <w:bCs w:val="0"/>
          <w:kern w:val="2"/>
        </w:rPr>
        <w:br w:type="page"/>
      </w:r>
      <w:bookmarkStart w:id="194" w:name="_Toc5170"/>
      <w:bookmarkStart w:id="195" w:name="_Toc3329"/>
      <w:bookmarkStart w:id="196" w:name="_Toc79154674"/>
      <w:bookmarkStart w:id="197" w:name="_Toc79392622"/>
      <w:bookmarkStart w:id="198" w:name="_Toc141703890"/>
      <w:bookmarkStart w:id="199" w:name="_Toc123102457"/>
      <w:bookmarkStart w:id="200" w:name="_Toc123051456"/>
      <w:bookmarkStart w:id="201" w:name="_Toc98560356"/>
      <w:bookmarkStart w:id="202" w:name="_Toc74065747"/>
      <w:bookmarkStart w:id="203" w:name="_Toc48649708"/>
      <w:bookmarkStart w:id="204" w:name="_Toc32584"/>
      <w:bookmarkStart w:id="205" w:name="_Toc139991740"/>
      <w:bookmarkStart w:id="206" w:name="_Toc8791"/>
      <w:bookmarkStart w:id="207" w:name="_Toc21237"/>
      <w:bookmarkStart w:id="208" w:name="_Toc123112238"/>
      <w:bookmarkStart w:id="209" w:name="_Toc32092"/>
      <w:bookmarkStart w:id="210" w:name="_Toc29408"/>
      <w:bookmarkStart w:id="211" w:name="_Toc17198"/>
      <w:bookmarkStart w:id="212" w:name="_Toc739"/>
      <w:bookmarkStart w:id="213" w:name="_Toc116649659"/>
      <w:bookmarkStart w:id="214" w:name="_Toc17920"/>
      <w:r>
        <w:rPr>
          <w:rFonts w:ascii="Times New Roman"/>
          <w:sz w:val="30"/>
        </w:rPr>
        <w:t>第十一</w:t>
      </w:r>
      <w:r>
        <w:rPr>
          <w:rFonts w:hint="eastAsia" w:ascii="Times New Roman"/>
          <w:sz w:val="30"/>
        </w:rPr>
        <w:t>条</w:t>
      </w:r>
      <w:r>
        <w:rPr>
          <w:rFonts w:ascii="Times New Roman"/>
          <w:sz w:val="30"/>
        </w:rPr>
        <w:t xml:space="preserve">  </w:t>
      </w:r>
      <w:r>
        <w:rPr>
          <w:rFonts w:hint="eastAsia" w:ascii="Times New Roman"/>
          <w:sz w:val="30"/>
        </w:rPr>
        <w:t>理财产品的信息披露</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spacing w:line="360" w:lineRule="auto"/>
        <w:ind w:firstLine="361"/>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rPr>
          <w:rFonts w:ascii="宋体" w:hAnsi="宋体"/>
          <w:b/>
          <w:bCs/>
          <w:sz w:val="18"/>
          <w:szCs w:val="18"/>
        </w:rPr>
      </w:pPr>
      <w:r>
        <w:rPr>
          <w:rFonts w:hint="eastAsia" w:ascii="宋体" w:hAnsi="宋体"/>
          <w:b/>
          <w:bCs/>
          <w:sz w:val="18"/>
          <w:szCs w:val="18"/>
        </w:rPr>
        <w:t>（二）信息披露的渠道</w:t>
      </w:r>
    </w:p>
    <w:p>
      <w:pPr>
        <w:spacing w:line="360" w:lineRule="auto"/>
        <w:ind w:firstLine="360"/>
        <w:rPr>
          <w:rFonts w:ascii="宋体" w:hAnsi="宋体"/>
          <w:bCs/>
          <w:sz w:val="18"/>
          <w:szCs w:val="18"/>
        </w:rPr>
      </w:pPr>
      <w:r>
        <w:rPr>
          <w:rFonts w:ascii="宋体" w:hAnsi="宋体"/>
          <w:bCs/>
          <w:sz w:val="18"/>
          <w:szCs w:val="18"/>
        </w:rPr>
        <w:t>1.</w:t>
      </w:r>
      <w:r>
        <w:rPr>
          <w:rFonts w:hint="eastAsia" w:ascii="宋体" w:hAnsi="宋体"/>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pPr>
        <w:spacing w:line="360" w:lineRule="auto"/>
        <w:ind w:firstLine="36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通过产品管理人或销售机构的信息披露渠道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rPr>
          <w:rFonts w:ascii="宋体" w:hAnsi="宋体"/>
          <w:b/>
          <w:bCs/>
          <w:sz w:val="18"/>
          <w:szCs w:val="18"/>
        </w:rPr>
      </w:pPr>
      <w:r>
        <w:rPr>
          <w:rFonts w:hint="eastAsia" w:ascii="宋体" w:hAnsi="宋体"/>
          <w:b/>
          <w:bCs/>
          <w:sz w:val="18"/>
          <w:szCs w:val="18"/>
        </w:rPr>
        <w:t>（三）信息披露的内容</w:t>
      </w:r>
    </w:p>
    <w:p>
      <w:pPr>
        <w:spacing w:line="360" w:lineRule="auto"/>
        <w:ind w:firstLine="36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rPr>
          <w:rFonts w:ascii="宋体" w:hAnsi="宋体"/>
          <w:b/>
          <w:bCs/>
          <w:sz w:val="18"/>
          <w:szCs w:val="18"/>
        </w:rPr>
      </w:pPr>
      <w:r>
        <w:rPr>
          <w:rFonts w:hint="eastAsia" w:ascii="宋体" w:hAnsi="宋体"/>
          <w:b/>
          <w:bCs/>
          <w:sz w:val="18"/>
          <w:szCs w:val="18"/>
        </w:rPr>
        <w:t>（四）信息披露的频率和时间</w:t>
      </w:r>
    </w:p>
    <w:p>
      <w:pPr>
        <w:spacing w:line="360" w:lineRule="auto"/>
        <w:ind w:firstLine="360"/>
        <w:rPr>
          <w:rFonts w:ascii="宋体" w:hAnsi="宋体"/>
          <w:bCs/>
          <w:sz w:val="18"/>
          <w:szCs w:val="18"/>
        </w:rPr>
      </w:pPr>
      <w:r>
        <w:rPr>
          <w:rFonts w:ascii="宋体" w:hAnsi="宋体"/>
          <w:bCs/>
          <w:sz w:val="18"/>
          <w:szCs w:val="18"/>
        </w:rPr>
        <w:t>1.产品成立公告</w:t>
      </w:r>
    </w:p>
    <w:p>
      <w:pPr>
        <w:spacing w:line="360" w:lineRule="auto"/>
        <w:ind w:firstLine="36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rPr>
          <w:rFonts w:ascii="宋体" w:hAnsi="宋体"/>
          <w:bCs/>
          <w:sz w:val="18"/>
          <w:szCs w:val="18"/>
        </w:rPr>
      </w:pPr>
      <w:r>
        <w:rPr>
          <w:rFonts w:ascii="宋体" w:hAnsi="宋体"/>
          <w:bCs/>
          <w:sz w:val="18"/>
          <w:szCs w:val="18"/>
        </w:rPr>
        <w:t>3.定期报告</w:t>
      </w:r>
    </w:p>
    <w:p>
      <w:pPr>
        <w:spacing w:line="360" w:lineRule="auto"/>
        <w:ind w:firstLine="36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rPr>
          <w:rFonts w:ascii="宋体" w:hAnsi="宋体"/>
          <w:bCs/>
          <w:sz w:val="18"/>
          <w:szCs w:val="18"/>
        </w:rPr>
      </w:pPr>
      <w:r>
        <w:rPr>
          <w:rFonts w:ascii="宋体" w:hAnsi="宋体"/>
          <w:bCs/>
          <w:sz w:val="18"/>
          <w:szCs w:val="18"/>
        </w:rPr>
        <w:t>4.到期公告</w:t>
      </w:r>
    </w:p>
    <w:p>
      <w:pPr>
        <w:spacing w:line="360" w:lineRule="auto"/>
        <w:ind w:firstLine="36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rPr>
          <w:rFonts w:ascii="宋体" w:hAnsi="宋体"/>
          <w:bCs/>
          <w:sz w:val="18"/>
          <w:szCs w:val="18"/>
        </w:rPr>
      </w:pPr>
      <w:r>
        <w:rPr>
          <w:rFonts w:ascii="宋体" w:hAnsi="宋体"/>
          <w:bCs/>
          <w:sz w:val="18"/>
          <w:szCs w:val="18"/>
        </w:rPr>
        <w:t>5.估值日公告</w:t>
      </w:r>
    </w:p>
    <w:p>
      <w:pPr>
        <w:spacing w:line="360" w:lineRule="auto"/>
        <w:ind w:firstLine="360"/>
        <w:rPr>
          <w:rFonts w:ascii="宋体" w:hAnsi="宋体"/>
          <w:bCs/>
          <w:sz w:val="18"/>
          <w:szCs w:val="18"/>
        </w:rPr>
      </w:pPr>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期间，每【周】向投资者披露一次估值日公告，估值日公告披露的内容包括估值日的产品份额净值、产品份额累计净值等。如遇法定节假日顺延。此外，如遇其他特殊情况，以产品管理人信息披露为准。</w:t>
      </w:r>
    </w:p>
    <w:p>
      <w:pPr>
        <w:spacing w:line="360" w:lineRule="auto"/>
        <w:ind w:firstLine="360"/>
        <w:rPr>
          <w:rFonts w:ascii="宋体" w:hAnsi="宋体"/>
          <w:bCs/>
          <w:sz w:val="18"/>
          <w:szCs w:val="18"/>
        </w:rPr>
      </w:pPr>
      <w:r>
        <w:rPr>
          <w:rFonts w:ascii="宋体" w:hAnsi="宋体"/>
          <w:bCs/>
          <w:sz w:val="18"/>
          <w:szCs w:val="18"/>
        </w:rPr>
        <w:t>6.临时公告</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hAnsi="黑体" w:eastAsia="黑体"/>
          <w:b/>
          <w:bCs/>
          <w:sz w:val="18"/>
          <w:szCs w:val="18"/>
        </w:rPr>
        <w:t>并提前2个工作日进行</w:t>
      </w:r>
      <w:r>
        <w:rPr>
          <w:rFonts w:hint="eastAsia" w:ascii="黑体" w:hAnsi="黑体" w:eastAsia="黑体"/>
          <w:b/>
          <w:bCs/>
          <w:sz w:val="18"/>
          <w:szCs w:val="18"/>
        </w:rPr>
        <w:t>公告。若投资者未选择退出本产品的，则视为已理解并接受管理人的相应变更。</w:t>
      </w:r>
    </w:p>
    <w:p>
      <w:pPr>
        <w:widowControl/>
        <w:spacing w:line="360" w:lineRule="auto"/>
        <w:jc w:val="left"/>
        <w:rPr>
          <w:bCs/>
          <w:sz w:val="24"/>
        </w:rPr>
      </w:pPr>
      <w:r>
        <w:rPr>
          <w:bCs/>
          <w:sz w:val="24"/>
        </w:rPr>
        <w:br w:type="page"/>
      </w:r>
    </w:p>
    <w:p>
      <w:pPr>
        <w:pStyle w:val="2"/>
        <w:spacing w:before="0" w:after="0" w:line="360" w:lineRule="auto"/>
        <w:jc w:val="center"/>
        <w:rPr>
          <w:rFonts w:ascii="Times New Roman"/>
          <w:b w:val="0"/>
          <w:sz w:val="30"/>
        </w:rPr>
      </w:pPr>
      <w:bookmarkStart w:id="215" w:name="_Toc79154675"/>
      <w:bookmarkStart w:id="216" w:name="_Toc116649660"/>
      <w:r>
        <w:rPr>
          <w:rFonts w:hint="eastAsia" w:ascii="Times New Roman"/>
          <w:sz w:val="30"/>
        </w:rPr>
        <w:t>第十</w:t>
      </w:r>
      <w:r>
        <w:rPr>
          <w:rFonts w:ascii="Times New Roman"/>
          <w:sz w:val="30"/>
        </w:rPr>
        <w:t>二</w:t>
      </w:r>
      <w:r>
        <w:rPr>
          <w:rFonts w:hint="eastAsia" w:ascii="Times New Roman"/>
          <w:sz w:val="30"/>
        </w:rPr>
        <w:t>条</w:t>
      </w:r>
      <w:r>
        <w:rPr>
          <w:rFonts w:ascii="Times New Roman"/>
          <w:sz w:val="30"/>
        </w:rPr>
        <w:t xml:space="preserve">  </w:t>
      </w:r>
      <w:r>
        <w:rPr>
          <w:rFonts w:hint="eastAsia" w:ascii="Times New Roman"/>
          <w:sz w:val="30"/>
        </w:rPr>
        <w:t>理财产品</w:t>
      </w:r>
      <w:r>
        <w:rPr>
          <w:rFonts w:ascii="Times New Roman"/>
          <w:sz w:val="30"/>
        </w:rPr>
        <w:t>的风险揭示</w:t>
      </w:r>
      <w:bookmarkEnd w:id="215"/>
      <w:bookmarkEnd w:id="216"/>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spacing w:line="360" w:lineRule="auto"/>
        <w:ind w:firstLine="360" w:firstLineChars="200"/>
        <w:rPr>
          <w:rFonts w:ascii="宋体" w:hAnsi="宋体"/>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hint="eastAsia" w:ascii="宋体" w:hAnsi="宋体"/>
          <w:sz w:val="18"/>
          <w:szCs w:val="18"/>
        </w:rPr>
        <w:t>】</w:t>
      </w:r>
    </w:p>
    <w:p>
      <w:pPr>
        <w:pStyle w:val="12"/>
        <w:spacing w:line="360" w:lineRule="auto"/>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p>
    <w:p>
      <w:pPr>
        <w:spacing w:line="360" w:lineRule="auto"/>
        <w:ind w:firstLine="360" w:firstLineChars="200"/>
        <w:rPr>
          <w:rFonts w:ascii="宋体" w:hAnsi="宋体"/>
          <w:sz w:val="18"/>
          <w:szCs w:val="18"/>
        </w:rPr>
      </w:pP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p>
    <w:p>
      <w:pPr>
        <w:spacing w:line="360" w:lineRule="auto"/>
        <w:ind w:firstLine="360" w:firstLineChars="200"/>
        <w:rPr>
          <w:rFonts w:ascii="宋体" w:hAnsi="宋体"/>
          <w:sz w:val="18"/>
          <w:szCs w:val="18"/>
        </w:rPr>
      </w:pP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hint="eastAsia" w:ascii="宋体" w:hAnsi="宋体"/>
          <w:sz w:val="18"/>
          <w:szCs w:val="18"/>
        </w:rPr>
        <w:t>3.市场</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w:t>
      </w:r>
    </w:p>
    <w:p>
      <w:pPr>
        <w:spacing w:line="360" w:lineRule="auto"/>
        <w:ind w:firstLine="360" w:firstLineChars="200"/>
        <w:rPr>
          <w:rFonts w:ascii="宋体" w:hAnsi="宋体"/>
          <w:sz w:val="18"/>
          <w:szCs w:val="18"/>
        </w:rPr>
      </w:pPr>
      <w:r>
        <w:rPr>
          <w:rFonts w:hint="eastAsia" w:ascii="宋体" w:hAnsi="宋体"/>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hint="eastAsia" w:ascii="宋体" w:hAnsi="宋体"/>
          <w:sz w:val="18"/>
          <w:szCs w:val="18"/>
        </w:rPr>
        <w:t>5.</w:t>
      </w:r>
      <w:r>
        <w:rPr>
          <w:rFonts w:ascii="宋体" w:hAnsi="宋体"/>
          <w:sz w:val="18"/>
          <w:szCs w:val="18"/>
        </w:rPr>
        <w:t>法律与政策风险</w:t>
      </w:r>
    </w:p>
    <w:p>
      <w:pPr>
        <w:spacing w:line="360" w:lineRule="auto"/>
        <w:ind w:firstLine="360" w:firstLineChars="200"/>
        <w:rPr>
          <w:rFonts w:ascii="宋体" w:hAnsi="宋体"/>
          <w:sz w:val="18"/>
          <w:szCs w:val="18"/>
        </w:rPr>
      </w:pP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延期</w:t>
      </w:r>
      <w:r>
        <w:rPr>
          <w:rFonts w:hint="eastAsia" w:ascii="宋体" w:hAnsi="宋体"/>
          <w:sz w:val="18"/>
          <w:szCs w:val="18"/>
        </w:rPr>
        <w:t>终止</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hint="eastAsia" w:ascii="宋体" w:hAnsi="宋体"/>
          <w:sz w:val="18"/>
          <w:szCs w:val="18"/>
        </w:rPr>
        <w:t>7.</w:t>
      </w:r>
      <w:r>
        <w:rPr>
          <w:rFonts w:ascii="宋体" w:hAnsi="宋体"/>
          <w:sz w:val="18"/>
          <w:szCs w:val="18"/>
        </w:rPr>
        <w:t>提前终止风险</w:t>
      </w:r>
    </w:p>
    <w:p>
      <w:pPr>
        <w:spacing w:line="360" w:lineRule="auto"/>
        <w:ind w:firstLine="360" w:firstLineChars="200"/>
        <w:rPr>
          <w:rFonts w:ascii="宋体" w:hAnsi="宋体"/>
          <w:sz w:val="18"/>
          <w:szCs w:val="18"/>
        </w:rPr>
      </w:pPr>
      <w:r>
        <w:rPr>
          <w:rFonts w:hint="eastAsia" w:ascii="宋体" w:hAnsi="宋体"/>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8</w:t>
      </w:r>
      <w:r>
        <w:rPr>
          <w:rFonts w:ascii="黑体" w:hAnsi="黑体" w:eastAsia="黑体"/>
          <w:sz w:val="18"/>
          <w:szCs w:val="18"/>
        </w:rPr>
        <w:t>.★信息传递风险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投资者需要通过约定的信息披露渠道了解产品相关信息公告。具体公告方式以理财产品</w:t>
      </w:r>
      <w:r>
        <w:rPr>
          <w:rFonts w:ascii="黑体" w:hAnsi="黑体" w:eastAsia="黑体"/>
          <w:sz w:val="18"/>
          <w:szCs w:val="18"/>
        </w:rPr>
        <w:t>销售文件</w:t>
      </w:r>
      <w:r>
        <w:rPr>
          <w:rFonts w:hint="eastAsia" w:ascii="黑体" w:hAnsi="黑体" w:eastAsia="黑体"/>
          <w:sz w:val="18"/>
          <w:szCs w:val="18"/>
        </w:rPr>
        <w:t>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不可抗力及意外事件风险</w:t>
      </w:r>
    </w:p>
    <w:p>
      <w:pPr>
        <w:spacing w:line="360" w:lineRule="auto"/>
        <w:ind w:firstLine="360" w:firstLineChars="200"/>
        <w:rPr>
          <w:rFonts w:ascii="宋体" w:hAnsi="宋体"/>
          <w:sz w:val="18"/>
          <w:szCs w:val="18"/>
        </w:rPr>
      </w:pP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管理人风险</w:t>
      </w:r>
    </w:p>
    <w:p>
      <w:pPr>
        <w:spacing w:line="360" w:lineRule="auto"/>
        <w:ind w:firstLine="360" w:firstLineChars="200"/>
        <w:rPr>
          <w:rFonts w:ascii="宋体" w:hAnsi="宋体"/>
          <w:bCs/>
          <w:sz w:val="18"/>
          <w:szCs w:val="18"/>
        </w:rPr>
      </w:pPr>
      <w:r>
        <w:rPr>
          <w:rFonts w:hint="eastAsia" w:ascii="宋体" w:hAnsi="宋体"/>
          <w:sz w:val="18"/>
          <w:szCs w:val="18"/>
        </w:rPr>
        <w:t>理财产品管理人或理财投资资产相关服务机构受经验、技能等因素的限制，或者上述主体处理事务不当等，可能导致投资者遭受损失。</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1.理财产品不成立风险</w:t>
      </w:r>
    </w:p>
    <w:p>
      <w:pPr>
        <w:spacing w:line="360" w:lineRule="auto"/>
        <w:ind w:firstLine="360" w:firstLineChars="200"/>
        <w:rPr>
          <w:rFonts w:ascii="宋体" w:hAnsi="宋体"/>
          <w:sz w:val="18"/>
          <w:szCs w:val="18"/>
        </w:rPr>
      </w:pPr>
      <w:r>
        <w:rPr>
          <w:rFonts w:hint="eastAsia" w:ascii="宋体" w:hAnsi="宋体"/>
          <w:sz w:val="18"/>
          <w:szCs w:val="18"/>
        </w:rPr>
        <w:t>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操作风险</w:t>
      </w:r>
    </w:p>
    <w:p>
      <w:pPr>
        <w:spacing w:line="360" w:lineRule="auto"/>
        <w:ind w:firstLine="360" w:firstLineChars="200"/>
        <w:rPr>
          <w:rFonts w:ascii="宋体" w:hAnsi="宋体"/>
          <w:sz w:val="18"/>
          <w:szCs w:val="18"/>
        </w:rPr>
      </w:pP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.估值</w:t>
      </w:r>
      <w:r>
        <w:rPr>
          <w:rFonts w:hint="eastAsia" w:ascii="宋体" w:hAnsi="宋体"/>
          <w:sz w:val="18"/>
          <w:szCs w:val="18"/>
        </w:rPr>
        <w:t>波动</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估值差错风险</w:t>
      </w:r>
    </w:p>
    <w:p>
      <w:pPr>
        <w:spacing w:line="360" w:lineRule="auto"/>
        <w:ind w:firstLine="360" w:firstLineChars="200"/>
        <w:rPr>
          <w:rFonts w:ascii="宋体" w:hAnsi="宋体"/>
          <w:sz w:val="18"/>
          <w:szCs w:val="18"/>
        </w:rPr>
      </w:pP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15.★代销风险</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6</w:t>
      </w:r>
      <w:r>
        <w:rPr>
          <w:rFonts w:ascii="黑体" w:hAnsi="黑体" w:eastAsia="黑体"/>
          <w:sz w:val="18"/>
          <w:szCs w:val="18"/>
        </w:rPr>
        <w:t>.</w:t>
      </w:r>
      <w:r>
        <w:rPr>
          <w:rFonts w:hint="eastAsia" w:ascii="黑体" w:hAnsi="黑体" w:eastAsia="黑体"/>
          <w:sz w:val="18"/>
          <w:szCs w:val="18"/>
        </w:rPr>
        <w:t>★不同理财产品份额类别存在差异的风险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w:t>
      </w:r>
      <w:r>
        <w:rPr>
          <w:rFonts w:hint="eastAsia" w:ascii="宋体" w:hAnsi="宋体"/>
          <w:sz w:val="18"/>
          <w:szCs w:val="18"/>
        </w:rPr>
        <w:t>关联交易风险</w:t>
      </w:r>
    </w:p>
    <w:p>
      <w:pPr>
        <w:spacing w:line="360" w:lineRule="auto"/>
        <w:ind w:firstLine="360" w:firstLineChars="20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0" w:firstLineChars="200"/>
        <w:rPr>
          <w:rFonts w:hAnsi="宋体"/>
          <w:sz w:val="18"/>
          <w:szCs w:val="18"/>
        </w:rPr>
      </w:pPr>
      <w:r>
        <w:rPr>
          <w:rFonts w:hint="eastAsia" w:ascii="黑体" w:hAnsi="黑体" w:eastAsia="黑体"/>
          <w:sz w:val="18"/>
          <w:szCs w:val="18"/>
        </w:rPr>
        <w:t>（</w:t>
      </w:r>
      <w:r>
        <w:rPr>
          <w:rFonts w:ascii="黑体" w:hAnsi="黑体" w:eastAsia="黑体"/>
          <w:sz w:val="18"/>
          <w:szCs w:val="18"/>
        </w:rPr>
        <w:t>三</w:t>
      </w:r>
      <w:r>
        <w:rPr>
          <w:rFonts w:hint="eastAsia" w:ascii="黑体" w:hAnsi="黑体" w:eastAsia="黑体"/>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widowControl/>
        <w:jc w:val="left"/>
        <w:rPr>
          <w:rFonts w:ascii="宋体" w:hAnsi="宋体"/>
          <w:color w:val="000000"/>
          <w:kern w:val="0"/>
          <w:sz w:val="18"/>
          <w:szCs w:val="18"/>
        </w:rPr>
      </w:pPr>
      <w:r>
        <w:rPr>
          <w:rFonts w:hAnsi="宋体"/>
          <w:sz w:val="18"/>
          <w:szCs w:val="18"/>
        </w:rPr>
        <w:br w:type="page"/>
      </w:r>
    </w:p>
    <w:tbl>
      <w:tblPr>
        <w:tblStyle w:val="8"/>
        <w:tblW w:w="8222"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7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6" w:hRule="exact"/>
        </w:trPr>
        <w:tc>
          <w:tcPr>
            <w:tcW w:w="8222" w:type="dxa"/>
            <w:gridSpan w:val="2"/>
          </w:tcPr>
          <w:p>
            <w:pPr>
              <w:spacing w:line="280" w:lineRule="atLeast"/>
              <w:ind w:firstLine="422"/>
              <w:jc w:val="center"/>
              <w:rPr>
                <w:rFonts w:ascii="宋体" w:hAnsi="宋体" w:cs="Arial"/>
                <w:b/>
                <w:szCs w:val="21"/>
              </w:rPr>
            </w:pPr>
            <w:r>
              <w:rPr>
                <w:rFonts w:hint="eastAsia" w:ascii="宋体" w:hAnsi="宋体" w:cs="Arial"/>
                <w:b/>
                <w:szCs w:val="21"/>
              </w:rPr>
              <w:t>投资者确认栏</w:t>
            </w:r>
          </w:p>
          <w:p>
            <w:pPr>
              <w:spacing w:line="360" w:lineRule="auto"/>
              <w:ind w:firstLine="361"/>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2" w:hRule="exact"/>
        </w:trPr>
        <w:tc>
          <w:tcPr>
            <w:tcW w:w="851" w:type="dxa"/>
          </w:tcPr>
          <w:p>
            <w:pPr>
              <w:spacing w:line="360" w:lineRule="auto"/>
              <w:jc w:val="left"/>
              <w:rPr>
                <w:b/>
                <w:sz w:val="18"/>
                <w:szCs w:val="18"/>
              </w:rPr>
            </w:pPr>
            <w:r>
              <w:rPr>
                <w:rFonts w:hint="eastAsia"/>
                <w:b/>
                <w:sz w:val="18"/>
                <w:szCs w:val="18"/>
              </w:rPr>
              <w:t>个人投资者适用</w:t>
            </w:r>
          </w:p>
        </w:tc>
        <w:tc>
          <w:tcPr>
            <w:tcW w:w="7371" w:type="dxa"/>
          </w:tcPr>
          <w:p>
            <w:pPr>
              <w:spacing w:line="360" w:lineRule="auto"/>
              <w:ind w:firstLine="360"/>
              <w:jc w:val="left"/>
              <w:rPr>
                <w:sz w:val="18"/>
                <w:szCs w:val="18"/>
              </w:rPr>
            </w:pPr>
            <w:r>
              <w:rPr>
                <w:rFonts w:hint="eastAsia"/>
                <w:sz w:val="18"/>
                <w:szCs w:val="18"/>
              </w:rPr>
              <w:t>投资者（签字）：</w:t>
            </w:r>
          </w:p>
          <w:p>
            <w:pPr>
              <w:spacing w:line="360" w:lineRule="auto"/>
              <w:ind w:firstLine="361"/>
              <w:jc w:val="left"/>
              <w:rPr>
                <w:b/>
                <w:sz w:val="18"/>
                <w:szCs w:val="18"/>
              </w:rPr>
            </w:pPr>
          </w:p>
          <w:p>
            <w:pPr>
              <w:spacing w:line="360" w:lineRule="auto"/>
              <w:ind w:firstLine="360"/>
              <w:jc w:val="left"/>
              <w:rPr>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trPr>
        <w:tc>
          <w:tcPr>
            <w:tcW w:w="851" w:type="dxa"/>
          </w:tcPr>
          <w:p>
            <w:pPr>
              <w:spacing w:line="360" w:lineRule="auto"/>
              <w:jc w:val="left"/>
              <w:rPr>
                <w:b/>
                <w:sz w:val="18"/>
                <w:szCs w:val="18"/>
              </w:rPr>
            </w:pPr>
            <w:r>
              <w:rPr>
                <w:rFonts w:hint="eastAsia"/>
                <w:b/>
                <w:sz w:val="18"/>
                <w:szCs w:val="18"/>
              </w:rPr>
              <w:t>机构投资者适用</w:t>
            </w:r>
          </w:p>
        </w:tc>
        <w:tc>
          <w:tcPr>
            <w:tcW w:w="7371" w:type="dxa"/>
          </w:tcPr>
          <w:p>
            <w:pPr>
              <w:spacing w:line="360" w:lineRule="auto"/>
              <w:ind w:firstLine="360"/>
              <w:jc w:val="left"/>
              <w:rPr>
                <w:rFonts w:cs="Arial"/>
                <w:sz w:val="18"/>
                <w:szCs w:val="18"/>
              </w:rPr>
            </w:pPr>
            <w:r>
              <w:rPr>
                <w:rFonts w:hint="eastAsia"/>
                <w:sz w:val="18"/>
                <w:szCs w:val="18"/>
              </w:rPr>
              <w:t>投资者</w:t>
            </w:r>
            <w:r>
              <w:rPr>
                <w:rFonts w:hint="eastAsia" w:cs="Arial"/>
                <w:sz w:val="18"/>
                <w:szCs w:val="18"/>
              </w:rPr>
              <w:t>（盖章）：</w:t>
            </w:r>
          </w:p>
          <w:p>
            <w:pPr>
              <w:spacing w:line="360" w:lineRule="auto"/>
              <w:ind w:firstLine="360"/>
              <w:jc w:val="left"/>
              <w:rPr>
                <w:rFonts w:cs="Arial"/>
                <w:sz w:val="18"/>
                <w:szCs w:val="18"/>
              </w:rPr>
            </w:pPr>
          </w:p>
          <w:p>
            <w:pPr>
              <w:spacing w:line="360" w:lineRule="auto"/>
              <w:ind w:firstLine="360"/>
              <w:jc w:val="left"/>
              <w:rPr>
                <w:rFonts w:cs="Arial"/>
                <w:sz w:val="18"/>
                <w:szCs w:val="18"/>
              </w:rPr>
            </w:pPr>
            <w:r>
              <w:rPr>
                <w:rFonts w:hint="eastAsia" w:cs="Arial"/>
                <w:sz w:val="18"/>
                <w:szCs w:val="18"/>
              </w:rPr>
              <w:t>投资者法定代表人或授权代理人（签字或盖章）：</w:t>
            </w:r>
          </w:p>
          <w:p>
            <w:pPr>
              <w:spacing w:line="360" w:lineRule="auto"/>
              <w:ind w:firstLine="360"/>
              <w:jc w:val="left"/>
              <w:rPr>
                <w:sz w:val="18"/>
                <w:szCs w:val="18"/>
              </w:rPr>
            </w:pPr>
            <w:r>
              <w:rPr>
                <w:rFonts w:hint="eastAsia"/>
                <w:sz w:val="18"/>
                <w:szCs w:val="18"/>
              </w:rPr>
              <w:t>日期：</w:t>
            </w:r>
          </w:p>
        </w:tc>
      </w:tr>
    </w:tbl>
    <w:p>
      <w:pPr>
        <w:spacing w:line="360" w:lineRule="auto"/>
        <w:jc w:val="left"/>
        <w:rPr>
          <w:bCs/>
        </w:rPr>
      </w:pPr>
      <w:r>
        <w:rPr>
          <w:rFonts w:hint="eastAsia" w:ascii="宋体" w:hAnsi="宋体"/>
          <w:b/>
          <w:sz w:val="18"/>
          <w:szCs w:val="18"/>
        </w:rPr>
        <w:t>（本《产品说明书》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pStyle w:val="14"/>
        <w:spacing w:line="360" w:lineRule="auto"/>
        <w:rPr>
          <w:rFonts w:hAnsi="宋体"/>
          <w:sz w:val="18"/>
          <w:szCs w:val="18"/>
        </w:rPr>
      </w:pPr>
    </w:p>
    <w:p>
      <w:pPr>
        <w:spacing w:line="360" w:lineRule="auto"/>
        <w:jc w:val="left"/>
        <w:rPr>
          <w:rFonts w:hint="eastAsia" w:ascii="宋体" w:hAnsi="宋体"/>
          <w:b/>
          <w:sz w:val="18"/>
          <w:szCs w:val="18"/>
        </w:rPr>
        <w:sectPr>
          <w:headerReference r:id="rId5" w:type="default"/>
          <w:footerReference r:id="rId6" w:type="default"/>
          <w:pgSz w:w="11906" w:h="16838"/>
          <w:pgMar w:top="1276" w:right="1800" w:bottom="1418" w:left="1800" w:header="567" w:footer="964" w:gutter="0"/>
          <w:pgNumType w:start="1"/>
          <w:cols w:space="425" w:num="1"/>
          <w:docGrid w:type="lines" w:linePitch="312" w:charSpace="0"/>
        </w:sectPr>
      </w:pPr>
    </w:p>
    <w:p>
      <w:pPr>
        <w:widowControl/>
        <w:spacing w:before="156"/>
        <w:jc w:val="center"/>
        <w:rPr>
          <w:rFonts w:ascii="黑体" w:hAnsi="黑体" w:eastAsia="黑体"/>
          <w:b/>
          <w:sz w:val="28"/>
          <w:szCs w:val="28"/>
        </w:rPr>
      </w:pPr>
      <w:r>
        <w:rPr>
          <w:rFonts w:hint="eastAsia" w:ascii="黑体" w:hAnsi="黑体" w:eastAsia="黑体"/>
          <w:b/>
          <w:sz w:val="28"/>
          <w:szCs w:val="28"/>
        </w:rPr>
        <w:t>兴银理财【稳利安盈封闭式】理财产品</w:t>
      </w:r>
    </w:p>
    <w:p>
      <w:pPr>
        <w:widowControl/>
        <w:spacing w:before="156"/>
        <w:jc w:val="center"/>
        <w:rPr>
          <w:rFonts w:ascii="黑体" w:hAnsi="黑体" w:eastAsia="黑体"/>
          <w:b/>
          <w:sz w:val="28"/>
          <w:szCs w:val="28"/>
        </w:rPr>
      </w:pPr>
      <w:r>
        <w:rPr>
          <w:rFonts w:hint="eastAsia" w:ascii="黑体" w:hAnsi="黑体" w:eastAsia="黑体"/>
          <w:b/>
          <w:sz w:val="28"/>
          <w:szCs w:val="28"/>
        </w:rPr>
        <w:t>（代理）销售协议书</w:t>
      </w:r>
    </w:p>
    <w:p>
      <w:pPr>
        <w:autoSpaceDE w:val="0"/>
        <w:autoSpaceDN w:val="0"/>
        <w:adjustRightInd w:val="0"/>
        <w:snapToGrid w:val="0"/>
        <w:spacing w:before="156" w:beforeLines="50" w:line="320" w:lineRule="exact"/>
        <w:jc w:val="center"/>
        <w:rPr>
          <w:rFonts w:ascii="宋体" w:hAnsi="宋体"/>
          <w:b/>
          <w:sz w:val="32"/>
          <w:szCs w:val="32"/>
        </w:rPr>
      </w:pPr>
      <w:r>
        <w:rPr>
          <w:rFonts w:hint="eastAsia" w:ascii="宋体" w:hAnsi="宋体"/>
          <w:b/>
          <w:sz w:val="24"/>
        </w:rPr>
        <w:t>理财非存款、产品有风险、投资须谨慎</w:t>
      </w:r>
    </w:p>
    <w:p>
      <w:pPr>
        <w:tabs>
          <w:tab w:val="left" w:pos="8070"/>
          <w:tab w:val="right" w:pos="8306"/>
        </w:tabs>
        <w:autoSpaceDE w:val="0"/>
        <w:autoSpaceDN w:val="0"/>
        <w:adjustRightInd w:val="0"/>
        <w:snapToGrid w:val="0"/>
        <w:spacing w:before="156" w:beforeLines="50" w:line="320" w:lineRule="exact"/>
        <w:jc w:val="center"/>
        <w:rPr>
          <w:rFonts w:ascii="宋体" w:hAnsi="宋体"/>
          <w:b/>
          <w:szCs w:val="21"/>
          <w:u w:val="single"/>
        </w:rPr>
      </w:pPr>
      <w:r>
        <w:rPr>
          <w:rFonts w:hint="eastAsia" w:ascii="宋体" w:hAnsi="宋体"/>
          <w:b/>
          <w:szCs w:val="21"/>
        </w:rPr>
        <w:t>协议编号：</w:t>
      </w:r>
    </w:p>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Style w:val="7"/>
        <w:tblW w:w="75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817"/>
        <w:gridCol w:w="635"/>
        <w:gridCol w:w="1085"/>
        <w:gridCol w:w="1384"/>
        <w:gridCol w:w="1234"/>
        <w:gridCol w:w="2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7598"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20" w:lineRule="exact"/>
              <w:jc w:val="center"/>
              <w:rPr>
                <w:rFonts w:ascii="宋体" w:hAnsi="宋体"/>
                <w:b/>
                <w:bCs/>
                <w:sz w:val="28"/>
                <w:szCs w:val="28"/>
              </w:rPr>
            </w:pPr>
            <w:r>
              <w:rPr>
                <w:rFonts w:hint="eastAsia" w:ascii="宋体" w:hAnsi="宋体"/>
                <w:b/>
                <w:bCs/>
                <w:sz w:val="28"/>
                <w:szCs w:val="28"/>
              </w:rPr>
              <w:t>信息栏</w:t>
            </w:r>
          </w:p>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7598" w:type="dxa"/>
            <w:gridSpan w:val="6"/>
            <w:shd w:val="pct10" w:color="A5A5A5" w:themeColor="background1" w:themeShade="A6" w:fill="A5A5A5" w:themeFill="background1" w:themeFillShade="A6"/>
            <w:vAlign w:val="center"/>
          </w:tcPr>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投资者信息</w:t>
            </w:r>
          </w:p>
        </w:tc>
        <w:tc>
          <w:tcPr>
            <w:tcW w:w="635"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个人投资者适用</w:t>
            </w: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姓名</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电子邮箱</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bottom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restart"/>
            <w:tcBorders>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机构投资者适用</w:t>
            </w: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法定代表人或授权代表</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280" w:lineRule="exact"/>
              <w:jc w:val="left"/>
              <w:rPr>
                <w:rFonts w:ascii="宋体" w:hAnsi="宋体"/>
                <w:b/>
                <w:bCs/>
                <w:sz w:val="18"/>
                <w:szCs w:val="18"/>
              </w:rPr>
            </w:pPr>
            <w:r>
              <w:rPr>
                <w:rFonts w:hint="eastAsia" w:ascii="宋体" w:hAnsi="宋体"/>
                <w:b/>
                <w:bCs/>
                <w:sz w:val="18"/>
                <w:szCs w:val="18"/>
              </w:rPr>
              <w:t>电子邮箱</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635" w:type="dxa"/>
            <w:vMerge w:val="continue"/>
            <w:tcBorders>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pStyle w:val="4"/>
              <w:pBdr>
                <w:bottom w:val="none" w:color="auto" w:sz="0" w:space="0"/>
              </w:pBdr>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销售</w:t>
            </w:r>
            <w:r>
              <w:rPr>
                <w:rFonts w:ascii="宋体" w:hAnsi="宋体"/>
                <w:b/>
                <w:bCs/>
                <w:sz w:val="18"/>
                <w:szCs w:val="18"/>
              </w:rPr>
              <w:t>机构信息</w:t>
            </w: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hAnsi="宋体"/>
                <w:sz w:val="18"/>
                <w:szCs w:val="18"/>
              </w:rPr>
              <w:t>★</w:t>
            </w:r>
            <w:r>
              <w:rPr>
                <w:rFonts w:hint="eastAsia" w:ascii="宋体" w:hAnsi="宋体"/>
                <w:b/>
                <w:bCs/>
                <w:sz w:val="18"/>
                <w:szCs w:val="18"/>
              </w:rPr>
              <w:t>销售性质</w:t>
            </w:r>
          </w:p>
        </w:tc>
        <w:tc>
          <w:tcPr>
            <w:tcW w:w="5061" w:type="dxa"/>
            <w:gridSpan w:val="3"/>
            <w:shd w:val="solid" w:color="FFFFFF" w:fill="FFFFFF"/>
            <w:vAlign w:val="center"/>
          </w:tcPr>
          <w:p>
            <w:pPr>
              <w:spacing w:line="320" w:lineRule="exact"/>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直销：产品管理人销售</w:t>
            </w:r>
          </w:p>
          <w:p>
            <w:pPr>
              <w:spacing w:line="320" w:lineRule="exact"/>
              <w:jc w:val="left"/>
              <w:rPr>
                <w:rFonts w:ascii="宋体" w:hAnsi="宋体"/>
                <w:bCs/>
                <w:sz w:val="18"/>
                <w:szCs w:val="18"/>
              </w:rPr>
            </w:pPr>
            <w:r>
              <w:rPr>
                <w:rFonts w:hint="eastAsia" w:asciiTheme="majorEastAsia" w:hAnsiTheme="majorEastAsia" w:eastAsiaTheme="majorEastAsia"/>
                <w:bCs/>
                <w:sz w:val="18"/>
                <w:szCs w:val="18"/>
              </w:rPr>
              <w:t>■ 代销：代理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销售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机构名称</w:t>
            </w:r>
          </w:p>
        </w:tc>
        <w:tc>
          <w:tcPr>
            <w:tcW w:w="5061" w:type="dxa"/>
            <w:gridSpan w:val="3"/>
            <w:shd w:val="solid" w:color="FFFFFF" w:fill="FFFFFF"/>
            <w:vAlign w:val="center"/>
          </w:tcPr>
          <w:p>
            <w:pPr>
              <w:spacing w:line="320" w:lineRule="exact"/>
              <w:jc w:val="left"/>
              <w:rPr>
                <w:rFonts w:ascii="宋体" w:hAnsi="宋体"/>
                <w:bCs/>
                <w:sz w:val="18"/>
                <w:szCs w:val="18"/>
              </w:rPr>
            </w:pPr>
            <w:r>
              <w:rPr>
                <w:rFonts w:hint="eastAsia" w:ascii="宋体" w:hAnsi="宋体"/>
                <w:bCs/>
                <w:sz w:val="18"/>
                <w:szCs w:val="18"/>
              </w:rPr>
              <w:t>【</w:t>
            </w:r>
            <w:r>
              <w:rPr>
                <w:rFonts w:hint="eastAsia" w:ascii="宋体" w:hAnsi="宋体"/>
                <w:sz w:val="18"/>
                <w:szCs w:val="18"/>
              </w:rPr>
              <w:t>福建省农村信用社联合社</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 w:hRule="atLeas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1720" w:type="dxa"/>
            <w:gridSpan w:val="2"/>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机构简介</w:t>
            </w:r>
          </w:p>
        </w:tc>
        <w:tc>
          <w:tcPr>
            <w:tcW w:w="5061" w:type="dxa"/>
            <w:gridSpan w:val="3"/>
            <w:tcBorders>
              <w:bottom w:val="single" w:color="auto" w:sz="12" w:space="0"/>
            </w:tcBorders>
            <w:shd w:val="solid" w:color="FFFFFF" w:fill="FFFFFF"/>
            <w:vAlign w:val="center"/>
          </w:tcPr>
          <w:p>
            <w:pPr>
              <w:pStyle w:val="14"/>
              <w:jc w:val="both"/>
            </w:pP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spacing w:line="320" w:lineRule="exact"/>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shd w:val="solid" w:color="FFFFFF" w:fill="FFFFFF"/>
            <w:vAlign w:val="center"/>
          </w:tcPr>
          <w:p>
            <w:pPr>
              <w:pStyle w:val="4"/>
              <w:pBdr>
                <w:bottom w:val="none" w:color="auto" w:sz="0" w:space="0"/>
              </w:pBdr>
              <w:tabs>
                <w:tab w:val="clear" w:pos="4153"/>
                <w:tab w:val="clear" w:pos="8306"/>
              </w:tabs>
              <w:snapToGrid/>
              <w:spacing w:line="320" w:lineRule="exact"/>
              <w:rPr>
                <w:rFonts w:ascii="宋体" w:hAnsi="宋体"/>
                <w:b/>
              </w:rPr>
            </w:pPr>
            <w:r>
              <w:rPr>
                <w:rFonts w:hint="eastAsia" w:ascii="宋体" w:hAnsi="宋体"/>
                <w:b/>
              </w:rPr>
              <w:t>理财产品指定账户信息</w:t>
            </w:r>
          </w:p>
        </w:tc>
        <w:tc>
          <w:tcPr>
            <w:tcW w:w="6781" w:type="dxa"/>
            <w:gridSpan w:val="5"/>
            <w:shd w:val="solid" w:color="FFFFFF" w:fill="FFFFFF"/>
            <w:vAlign w:val="center"/>
          </w:tcPr>
          <w:p>
            <w:pPr>
              <w:pStyle w:val="4"/>
              <w:pBdr>
                <w:bottom w:val="none" w:color="auto" w:sz="0" w:space="0"/>
              </w:pBdr>
              <w:tabs>
                <w:tab w:val="clear" w:pos="4153"/>
                <w:tab w:val="clear" w:pos="8306"/>
              </w:tabs>
              <w:snapToGrid/>
              <w:spacing w:line="320" w:lineRule="exact"/>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甲方(即“投资者”)自愿从乙方</w:t>
      </w:r>
      <w:r>
        <w:rPr>
          <w:rFonts w:ascii="宋体" w:hAnsi="宋体" w:cs="仿宋_GB2312"/>
          <w:kern w:val="0"/>
          <w:sz w:val="18"/>
          <w:szCs w:val="18"/>
        </w:rPr>
        <w:t>（</w:t>
      </w:r>
      <w:r>
        <w:rPr>
          <w:rFonts w:hint="eastAsia" w:ascii="宋体" w:hAnsi="宋体" w:cs="仿宋_GB2312"/>
          <w:kern w:val="0"/>
          <w:sz w:val="18"/>
          <w:szCs w:val="18"/>
        </w:rPr>
        <w:t>即“</w:t>
      </w:r>
      <w:r>
        <w:rPr>
          <w:rFonts w:ascii="宋体" w:hAnsi="宋体" w:cs="仿宋_GB2312"/>
          <w:kern w:val="0"/>
          <w:sz w:val="18"/>
          <w:szCs w:val="18"/>
        </w:rPr>
        <w:t>销售机构</w:t>
      </w:r>
      <w:r>
        <w:rPr>
          <w:rFonts w:hint="eastAsia" w:ascii="宋体" w:hAnsi="宋体" w:cs="仿宋_GB2312"/>
          <w:kern w:val="0"/>
          <w:sz w:val="18"/>
          <w:szCs w:val="18"/>
        </w:rPr>
        <w:t>”</w:t>
      </w:r>
      <w:r>
        <w:rPr>
          <w:rFonts w:ascii="宋体" w:hAnsi="宋体" w:cs="仿宋_GB2312"/>
          <w:kern w:val="0"/>
          <w:sz w:val="18"/>
          <w:szCs w:val="18"/>
        </w:rPr>
        <w:t>）</w:t>
      </w:r>
      <w:r>
        <w:rPr>
          <w:rFonts w:hint="eastAsia" w:ascii="宋体" w:hAnsi="宋体" w:cs="仿宋_GB2312"/>
          <w:kern w:val="0"/>
          <w:sz w:val="18"/>
          <w:szCs w:val="18"/>
        </w:rPr>
        <w:t>购买兴银理财</w:t>
      </w:r>
      <w:r>
        <w:rPr>
          <w:rFonts w:ascii="宋体" w:hAnsi="宋体" w:cs="仿宋_GB2312"/>
          <w:kern w:val="0"/>
          <w:sz w:val="18"/>
          <w:szCs w:val="18"/>
        </w:rPr>
        <w:t>有限责任公司</w:t>
      </w:r>
      <w:r>
        <w:rPr>
          <w:rFonts w:hint="eastAsia" w:ascii="宋体" w:hAnsi="宋体" w:cs="仿宋_GB2312"/>
          <w:kern w:val="0"/>
          <w:sz w:val="18"/>
          <w:szCs w:val="18"/>
        </w:rPr>
        <w:t>（即</w:t>
      </w:r>
      <w:r>
        <w:rPr>
          <w:rFonts w:ascii="宋体" w:hAnsi="宋体" w:cs="仿宋_GB2312"/>
          <w:kern w:val="0"/>
          <w:sz w:val="18"/>
          <w:szCs w:val="18"/>
        </w:rPr>
        <w:t>“</w:t>
      </w:r>
      <w:r>
        <w:rPr>
          <w:rFonts w:hint="eastAsia" w:ascii="宋体" w:hAnsi="宋体" w:cs="仿宋_GB2312"/>
          <w:kern w:val="0"/>
          <w:sz w:val="18"/>
          <w:szCs w:val="18"/>
        </w:rPr>
        <w:t>产品</w:t>
      </w:r>
      <w:r>
        <w:rPr>
          <w:rFonts w:ascii="宋体" w:hAnsi="宋体" w:cs="仿宋_GB2312"/>
          <w:kern w:val="0"/>
          <w:sz w:val="18"/>
          <w:szCs w:val="18"/>
        </w:rPr>
        <w:t>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甲乙双方经友好协商，本着平等自愿、诚实信用的原则，达成协议如下：</w:t>
      </w:r>
    </w:p>
    <w:p>
      <w:pPr>
        <w:tabs>
          <w:tab w:val="left" w:pos="8070"/>
          <w:tab w:val="right" w:pos="8306"/>
        </w:tabs>
        <w:autoSpaceDE w:val="0"/>
        <w:autoSpaceDN w:val="0"/>
        <w:adjustRightInd w:val="0"/>
        <w:snapToGrid w:val="0"/>
        <w:spacing w:line="360" w:lineRule="auto"/>
        <w:ind w:firstLine="361" w:firstLineChars="200"/>
        <w:rPr>
          <w:rFonts w:ascii="宋体" w:hAnsi="宋体" w:cs="仿宋_GB2312"/>
          <w:b/>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第一条 重要提示</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w:t>
      </w:r>
      <w:r>
        <w:rPr>
          <w:rFonts w:hint="eastAsia" w:ascii="黑体" w:hAnsi="黑体" w:eastAsia="黑体" w:cs="仿宋_GB2312"/>
          <w:kern w:val="0"/>
          <w:sz w:val="18"/>
          <w:szCs w:val="18"/>
        </w:rPr>
        <w:t>、</w:t>
      </w:r>
      <w:r>
        <w:rPr>
          <w:rFonts w:ascii="黑体" w:hAnsi="黑体" w:eastAsia="黑体" w:cs="仿宋_GB2312"/>
          <w:kern w:val="0"/>
          <w:sz w:val="18"/>
          <w:szCs w:val="18"/>
        </w:rPr>
        <w:t>乙方销售性质</w:t>
      </w:r>
    </w:p>
    <w:p>
      <w:pPr>
        <w:widowControl/>
        <w:spacing w:line="360" w:lineRule="auto"/>
        <w:jc w:val="left"/>
        <w:rPr>
          <w:rFonts w:ascii="黑体" w:hAnsi="黑体" w:eastAsia="黑体" w:cs="仿宋_GB2312"/>
          <w:kern w:val="0"/>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cs="仿宋_GB2312"/>
          <w:kern w:val="0"/>
          <w:sz w:val="18"/>
          <w:szCs w:val="18"/>
        </w:rPr>
        <w:t>直销适用</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pPr>
        <w:widowControl/>
        <w:spacing w:line="360" w:lineRule="auto"/>
        <w:jc w:val="left"/>
        <w:rPr>
          <w:rFonts w:ascii="黑体" w:hAnsi="黑体" w:eastAsia="黑体" w:cs="仿宋_GB2312"/>
          <w:kern w:val="0"/>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cs="仿宋_GB2312"/>
          <w:kern w:val="0"/>
          <w:sz w:val="18"/>
          <w:szCs w:val="18"/>
        </w:rPr>
        <w:t>代销适用</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hint="eastAsia" w:ascii="宋体" w:hAnsi="宋体" w:cs="仿宋_GB2312"/>
          <w:kern w:val="0"/>
          <w:sz w:val="18"/>
          <w:szCs w:val="18"/>
        </w:rPr>
        <w:t>》、《产品说明书》、《（代理）销售</w:t>
      </w:r>
      <w:r>
        <w:rPr>
          <w:rFonts w:ascii="宋体" w:hAnsi="宋体" w:cs="仿宋_GB2312"/>
          <w:kern w:val="0"/>
          <w:sz w:val="18"/>
          <w:szCs w:val="18"/>
        </w:rPr>
        <w:t>协议书</w:t>
      </w:r>
      <w:r>
        <w:rPr>
          <w:rFonts w:hint="eastAsia" w:ascii="宋体" w:hAnsi="宋体" w:cs="仿宋_GB2312"/>
          <w:kern w:val="0"/>
          <w:sz w:val="18"/>
          <w:szCs w:val="18"/>
        </w:rPr>
        <w:t>》、《风险揭示书》、《投资者权益须知》等完整</w:t>
      </w:r>
      <w:r>
        <w:rPr>
          <w:rFonts w:ascii="宋体" w:hAnsi="宋体" w:cs="仿宋_GB2312"/>
          <w:kern w:val="0"/>
          <w:sz w:val="18"/>
          <w:szCs w:val="18"/>
        </w:rPr>
        <w:t>的</w:t>
      </w:r>
      <w:r>
        <w:rPr>
          <w:rFonts w:hint="eastAsia" w:ascii="宋体" w:hAnsi="宋体" w:cs="仿宋_GB2312"/>
          <w:kern w:val="0"/>
          <w:sz w:val="18"/>
          <w:szCs w:val="18"/>
        </w:rPr>
        <w:t>理财产品销售文件，并充分了解投资者的全部权利与义务以及理财产品的全部风险。</w:t>
      </w:r>
    </w:p>
    <w:p>
      <w:pPr>
        <w:widowControl/>
        <w:spacing w:line="360" w:lineRule="auto"/>
        <w:jc w:val="left"/>
        <w:rPr>
          <w:rFonts w:hint="eastAsia" w:ascii="宋体" w:hAnsi="宋体" w:cs="仿宋_GB2312"/>
          <w:kern w:val="0"/>
          <w:sz w:val="18"/>
          <w:szCs w:val="18"/>
        </w:rPr>
      </w:pPr>
      <w:r>
        <w:rPr>
          <w:rFonts w:hint="eastAsia" w:ascii="宋体" w:hAnsi="宋体" w:cs="仿宋_GB2312"/>
          <w:kern w:val="0"/>
          <w:sz w:val="18"/>
          <w:szCs w:val="18"/>
        </w:rPr>
        <w:t>3、根据理财产品投资范围、风险收益特点、流动性等不同因素，乙方作为销售机构将理财产品分为【5】个风险等级：【R1（低风险）、R2（中低风险）、R3（中等风险）、R4（中高风险）、R5（高风险）】；根据投资者在乙方评估的风险承受能力，乙方将投资者风险承受能力分为【5】个等级：【保守型、谨慎型、稳健型、进取型、激进型】。</w:t>
      </w:r>
    </w:p>
    <w:p>
      <w:pPr>
        <w:widowControl/>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应采用对应较高风险的评级结果。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（2）投资者风险承受能力等级为销售机构对投资者的风险承受能力进行评价的结果。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1）销售机构在销售本产品时，其对投资者风险承受能力等级的划分与表述可能与产品管理人存在差异，即采用销售机构设置的标准。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2）销售机构应以书面的方式向投资者明示其对投资者风险承受能力等级的划分与“适合投资者类型”的表述。</w:t>
      </w:r>
    </w:p>
    <w:p>
      <w:pPr>
        <w:pStyle w:val="14"/>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（3）</w:t>
      </w:r>
      <w:r>
        <w:rPr>
          <w:rFonts w:hint="eastAsia" w:hAnsi="宋体" w:cs="仿宋_GB2312"/>
          <w:sz w:val="18"/>
          <w:szCs w:val="18"/>
        </w:rPr>
        <w:t>甲方应根据风险承受能力选择与其风险承受能力相匹配的风险等级的理财产品，不得购买高于甲方风险承受能力的理财产品。</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4、投资者的风险承受能力评估要求</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（1）甲方为非机构投资者时，甲方购买乙方</w:t>
      </w:r>
      <w:r>
        <w:rPr>
          <w:rFonts w:ascii="宋体" w:hAnsi="宋体" w:cs="仿宋_GB2312"/>
          <w:kern w:val="0"/>
          <w:sz w:val="18"/>
          <w:szCs w:val="18"/>
        </w:rPr>
        <w:t>销售</w:t>
      </w:r>
      <w:r>
        <w:rPr>
          <w:rFonts w:hint="eastAsia" w:ascii="宋体" w:hAnsi="宋体" w:cs="仿宋_GB2312"/>
          <w:kern w:val="0"/>
          <w:sz w:val="18"/>
          <w:szCs w:val="18"/>
        </w:rPr>
        <w:t>的理财产品前，需通过乙方的线下</w:t>
      </w:r>
      <w:r>
        <w:rPr>
          <w:rFonts w:ascii="宋体" w:hAnsi="宋体" w:cs="仿宋_GB2312"/>
          <w:kern w:val="0"/>
          <w:sz w:val="18"/>
          <w:szCs w:val="18"/>
        </w:rPr>
        <w:t>渠道或线上渠道</w:t>
      </w:r>
      <w:r>
        <w:rPr>
          <w:rFonts w:hint="eastAsia" w:ascii="宋体" w:hAnsi="宋体" w:cs="仿宋_GB2312"/>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（2）其他类型投资者的风险承受能力评估按销售机构的以下销售政策执行：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参照本条第（1）款非机构投资者要求执行；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其他：</w:t>
      </w:r>
      <w:r>
        <w:rPr>
          <w:rFonts w:hint="eastAsia" w:asciiTheme="majorEastAsia" w:hAnsiTheme="majorEastAsia" w:eastAsiaTheme="majorEastAsia"/>
          <w:sz w:val="18"/>
          <w:szCs w:val="18"/>
          <w:u w:val="single"/>
        </w:rPr>
        <w:t xml:space="preserve">                               。</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5、甲方保证投资资金来源合法且为本人</w:t>
      </w:r>
      <w:r>
        <w:rPr>
          <w:rFonts w:hint="eastAsia" w:ascii="宋体" w:hAnsi="宋体"/>
          <w:sz w:val="18"/>
          <w:szCs w:val="18"/>
        </w:rPr>
        <w:t>有权处分的合法资金</w:t>
      </w:r>
      <w:r>
        <w:rPr>
          <w:rFonts w:hint="eastAsia" w:ascii="宋体" w:hAnsi="宋体" w:cs="仿宋_GB2312"/>
          <w:kern w:val="0"/>
          <w:sz w:val="18"/>
          <w:szCs w:val="18"/>
        </w:rPr>
        <w:t>，不存在使用贷款、发行债券等筹集的非自有资金投资的情况，投资行为符合法律法规及相关监管部门的规定。</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7、在产品认购/申购期内，如因甲方原因导致投资本金不能从其账户足额划转的，甲方对相关理财产品的购买不成功，乙方对此不承担责任。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8、甲方对理财产品</w:t>
      </w:r>
      <w:r>
        <w:rPr>
          <w:rFonts w:ascii="宋体" w:hAnsi="宋体" w:cs="仿宋_GB2312"/>
          <w:kern w:val="0"/>
          <w:sz w:val="18"/>
          <w:szCs w:val="18"/>
        </w:rPr>
        <w:t>销售业务资料</w:t>
      </w:r>
      <w:r>
        <w:rPr>
          <w:rFonts w:hint="eastAsia" w:ascii="宋体" w:hAnsi="宋体" w:cs="仿宋_GB2312"/>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hint="eastAsia" w:ascii="宋体" w:hAnsi="宋体" w:cs="仿宋_GB2312"/>
          <w:kern w:val="0"/>
          <w:sz w:val="18"/>
          <w:szCs w:val="18"/>
        </w:rPr>
        <w:t>有关的业务资料及信息，但本协议</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9、甲方在此同意并授权乙方有权根据甲方</w:t>
      </w:r>
      <w:r>
        <w:rPr>
          <w:rFonts w:hint="eastAsia" w:ascii="黑体" w:hAnsi="黑体" w:eastAsia="黑体" w:cs="仿宋_GB2312"/>
          <w:kern w:val="0"/>
          <w:sz w:val="18"/>
          <w:szCs w:val="18"/>
        </w:rPr>
        <w:t>所勾选的业务申请类型对甲方相关资金账户进行资金划扣等相关操作。</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10、对于甲方通过乙方的网上银行、手机银行、可视柜台等线</w:t>
      </w:r>
      <w:r>
        <w:rPr>
          <w:rFonts w:hint="eastAsia" w:ascii="黑体" w:hAnsi="黑体" w:eastAsia="黑体" w:cs="仿宋_GB2312"/>
          <w:kern w:val="0"/>
          <w:sz w:val="18"/>
          <w:szCs w:val="18"/>
        </w:rPr>
        <w:t>上渠道购买的理财产品（不受限于本理财产品），甲方确认通过乙方线上渠道点击确认同意本协议，即表明甲方已自主阅读并清楚知悉本协议全部内容，同意受本协议约束。</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11、甲方在此确认乙方业务申请和办理</w:t>
      </w:r>
      <w:r>
        <w:rPr>
          <w:rFonts w:hint="eastAsia" w:ascii="黑体" w:hAnsi="黑体" w:eastAsia="黑体" w:cs="仿宋_GB2312"/>
          <w:kern w:val="0"/>
          <w:sz w:val="18"/>
          <w:szCs w:val="18"/>
        </w:rPr>
        <w:t>的系统记录以及录音、录像等</w:t>
      </w:r>
      <w:r>
        <w:rPr>
          <w:rFonts w:ascii="黑体" w:hAnsi="黑体" w:eastAsia="黑体" w:cs="仿宋_GB2312"/>
          <w:kern w:val="0"/>
          <w:sz w:val="18"/>
          <w:szCs w:val="18"/>
        </w:rPr>
        <w:t>信息</w:t>
      </w:r>
      <w:r>
        <w:rPr>
          <w:rFonts w:hint="eastAsia" w:ascii="黑体" w:hAnsi="黑体" w:eastAsia="黑体" w:cs="仿宋_GB2312"/>
          <w:kern w:val="0"/>
          <w:sz w:val="18"/>
          <w:szCs w:val="18"/>
        </w:rPr>
        <w:t>构成对甲方操作行为（包括但不限于认购</w:t>
      </w:r>
      <w:r>
        <w:rPr>
          <w:rFonts w:ascii="黑体" w:hAnsi="黑体" w:eastAsia="黑体" w:cs="仿宋_GB2312"/>
          <w:kern w:val="0"/>
          <w:sz w:val="18"/>
          <w:szCs w:val="18"/>
        </w:rPr>
        <w:t>、申购</w:t>
      </w:r>
      <w:r>
        <w:rPr>
          <w:rFonts w:hint="eastAsia" w:ascii="黑体" w:hAnsi="黑体" w:eastAsia="黑体" w:cs="仿宋_GB2312"/>
          <w:kern w:val="0"/>
          <w:sz w:val="18"/>
          <w:szCs w:val="18"/>
        </w:rPr>
        <w:t>、赎回）的终局证据，甲方同意乙方上述记录行为，并且在甲方和乙方或产品</w:t>
      </w:r>
      <w:r>
        <w:rPr>
          <w:rFonts w:ascii="黑体" w:hAnsi="黑体" w:eastAsia="黑体" w:cs="仿宋_GB2312"/>
          <w:kern w:val="0"/>
          <w:sz w:val="18"/>
          <w:szCs w:val="18"/>
        </w:rPr>
        <w:t>管理人</w:t>
      </w:r>
      <w:r>
        <w:rPr>
          <w:rFonts w:hint="eastAsia" w:ascii="黑体" w:hAnsi="黑体" w:eastAsia="黑体" w:cs="仿宋_GB2312"/>
          <w:kern w:val="0"/>
          <w:sz w:val="18"/>
          <w:szCs w:val="18"/>
        </w:rPr>
        <w:t>发生争议时可以作为合法有效的证据使用。甲方同意并授权乙方采取有效措施和技术手段记录营销推介、产品风险和关键信息提示、投资者确认和反馈等重点销售环节。</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hint="eastAsia" w:ascii="宋体" w:hAnsi="宋体" w:cs="仿宋_GB2312"/>
          <w:kern w:val="0"/>
          <w:sz w:val="18"/>
          <w:szCs w:val="18"/>
        </w:rPr>
        <w:t>、甲方同意并授权乙方有权根据甲方所勾选的业务申请类型，并根据业务办理需要、反洗钱工作、非居民金融账户涉税信息尽职调查、IPO或并购重组涉及的股东穿透核查或根据其他有权机关或监管要求等需要，收集调取投资者开户留存的有效身份证件或者其他身份证明文件信息、交易记录、数据信息、金融账户和其他资料，同时可向产品管理人、产品托管人、监管机构、有权机关、自律组织、理财登记备案机构、投资合作机构、投资交易相关方、中介服务机构、理财快速赎回服务提供方提供、留存前述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甲方签署本理财产品销售文件即视为已经同意乙方在前述范围内向相关方提供投资者信息。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3</w:t>
      </w:r>
      <w:r>
        <w:rPr>
          <w:rFonts w:hint="eastAsia" w:ascii="宋体" w:hAnsi="宋体" w:cs="仿宋_GB2312"/>
          <w:kern w:val="0"/>
          <w:sz w:val="18"/>
          <w:szCs w:val="18"/>
        </w:rPr>
        <w:t>、乙方对理财产品代理</w:t>
      </w:r>
      <w:r>
        <w:rPr>
          <w:rFonts w:ascii="宋体" w:hAnsi="宋体" w:cs="仿宋_GB2312"/>
          <w:kern w:val="0"/>
          <w:sz w:val="18"/>
          <w:szCs w:val="18"/>
        </w:rPr>
        <w:t>销售业务资料</w:t>
      </w:r>
      <w:r>
        <w:rPr>
          <w:rFonts w:hint="eastAsia" w:ascii="宋体" w:hAnsi="宋体" w:cs="仿宋_GB2312"/>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4</w:t>
      </w:r>
      <w:r>
        <w:rPr>
          <w:rFonts w:hint="eastAsia" w:ascii="宋体" w:hAnsi="宋体" w:cs="仿宋_GB2312"/>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第二条 免责条款</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1、由于国家有关法律、法规、规章、政策的改变、紧急措施的出台而导致甲方蒙受损失或协议终止的，乙方不承担责任。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2、由于不可抗力或乙方无过错且无法防止的外因而导致的交易中断、延误等风险及损失，乙方不承担责任。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3、非因乙方原因（包括但不限于甲方遗失本协议、协议被盗用、交易账户被司法机关等有权部门冻结、扣划等原因）造成的损失，乙方不承担责任。</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发生前述情形时，乙方将在条件允许的情况下采取必要合理的补救措施，尽力保护甲方利益，以减少甲方损失。</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第三条 争议处理</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1、本协议在履行过程中发生的争议，由甲乙双方协商解决，协商不成的，任何一方可向乙方住所地</w:t>
      </w:r>
      <w:r>
        <w:rPr>
          <w:rFonts w:hint="eastAsia" w:ascii="黑体" w:hAnsi="黑体" w:eastAsia="黑体" w:cs="仿宋_GB2312"/>
          <w:kern w:val="0"/>
          <w:sz w:val="18"/>
          <w:szCs w:val="18"/>
        </w:rPr>
        <w:t>人民法院起诉。</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2、在诉讼期间，本协议不涉及争议部分的条款仍须履行。</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第四条 协议的生效和终止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1、协议生效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甲方通过乙方线上</w:t>
      </w:r>
      <w:r>
        <w:rPr>
          <w:rFonts w:ascii="宋体" w:hAnsi="宋体" w:cs="仿宋_GB2312"/>
          <w:kern w:val="0"/>
          <w:sz w:val="18"/>
          <w:szCs w:val="18"/>
        </w:rPr>
        <w:t>渠道</w:t>
      </w:r>
      <w:r>
        <w:rPr>
          <w:rFonts w:hint="eastAsia" w:ascii="宋体" w:hAnsi="宋体" w:cs="仿宋_GB2312"/>
          <w:kern w:val="0"/>
          <w:sz w:val="18"/>
          <w:szCs w:val="18"/>
        </w:rPr>
        <w:t>（网上银行、手机银行、可视柜台等）购买理财产品的，甲方点击确认同意本协议后生效。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2、协议终止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本协议及《投资</w:t>
      </w:r>
      <w:r>
        <w:rPr>
          <w:rFonts w:ascii="宋体" w:hAnsi="宋体" w:cs="仿宋_GB2312"/>
          <w:kern w:val="0"/>
          <w:sz w:val="18"/>
          <w:szCs w:val="18"/>
        </w:rPr>
        <w:t>协议书</w:t>
      </w:r>
      <w:r>
        <w:rPr>
          <w:rFonts w:hint="eastAsia" w:ascii="宋体" w:hAnsi="宋体" w:cs="仿宋_GB2312"/>
          <w:kern w:val="0"/>
          <w:sz w:val="18"/>
          <w:szCs w:val="18"/>
        </w:rPr>
        <w:t>》、《产品说明书》、《风险揭示书》、《投资者权益须知》项下各方权利义务履行完毕之日，本协议自动终止。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3、其他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甲方通过乙方的线下渠道购买本产品时，本协议一式叁份，销售机构、投资者及产品管理人各执一份，且具有同等法律效力。</w:t>
      </w: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甲方声明：</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1)甲方已经收到所购买乙方销售的理财产品的《投资协议书</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产品说明书</w:t>
      </w:r>
      <w:r>
        <w:rPr>
          <w:rFonts w:ascii="宋体" w:hAnsi="宋体" w:cs="仿宋_GB2312"/>
          <w:b/>
          <w:kern w:val="0"/>
          <w:sz w:val="18"/>
          <w:szCs w:val="18"/>
        </w:rPr>
        <w:t>》</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（代理）销售协议书</w:t>
      </w:r>
      <w:r>
        <w:rPr>
          <w:rFonts w:ascii="宋体" w:hAnsi="宋体" w:cs="仿宋_GB2312"/>
          <w:b/>
          <w:kern w:val="0"/>
          <w:sz w:val="18"/>
          <w:szCs w:val="18"/>
        </w:rPr>
        <w:t>》</w:t>
      </w:r>
      <w:r>
        <w:rPr>
          <w:rFonts w:hint="eastAsia" w:ascii="宋体" w:hAnsi="宋体" w:cs="仿宋_GB2312"/>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hint="eastAsia" w:ascii="宋体" w:hAnsi="宋体" w:cs="仿宋_GB2312"/>
          <w:b/>
          <w:kern w:val="0"/>
          <w:sz w:val="18"/>
          <w:szCs w:val="18"/>
        </w:rPr>
        <w:t>、赎回理财产品所产生的相关风险和不利后果。</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pPr>
        <w:widowControl/>
        <w:jc w:val="left"/>
        <w:rPr>
          <w:rFonts w:ascii="宋体" w:hAnsi="宋体" w:cs="仿宋_GB2312"/>
          <w:b/>
          <w:kern w:val="0"/>
          <w:sz w:val="18"/>
          <w:szCs w:val="18"/>
        </w:rPr>
      </w:pPr>
      <w:r>
        <w:rPr>
          <w:rFonts w:ascii="宋体" w:hAnsi="宋体" w:cs="仿宋_GB2312"/>
          <w:b/>
          <w:kern w:val="0"/>
          <w:sz w:val="18"/>
          <w:szCs w:val="18"/>
        </w:rPr>
        <w:br w:type="page"/>
      </w:r>
    </w:p>
    <w:p>
      <w:pPr>
        <w:autoSpaceDE w:val="0"/>
        <w:autoSpaceDN w:val="0"/>
        <w:adjustRightInd w:val="0"/>
        <w:snapToGrid w:val="0"/>
        <w:spacing w:line="280" w:lineRule="atLeast"/>
        <w:ind w:firstLine="360" w:firstLineChars="200"/>
        <w:rPr>
          <w:rFonts w:ascii="黑体" w:hAnsi="黑体" w:eastAsia="黑体" w:cs="仿宋_GB2312"/>
          <w:kern w:val="0"/>
          <w:sz w:val="18"/>
          <w:szCs w:val="18"/>
        </w:rPr>
      </w:pPr>
    </w:p>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851"/>
        <w:gridCol w:w="69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3"/>
            <w:vAlign w:val="center"/>
          </w:tcPr>
          <w:p>
            <w:pPr>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280" w:lineRule="exact"/>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签署声明</w:t>
            </w:r>
          </w:p>
        </w:tc>
        <w:tc>
          <w:tcPr>
            <w:tcW w:w="7849" w:type="dxa"/>
            <w:gridSpan w:val="2"/>
          </w:tcPr>
          <w:p>
            <w:pPr>
              <w:tabs>
                <w:tab w:val="left" w:pos="8070"/>
                <w:tab w:val="right" w:pos="8306"/>
              </w:tabs>
              <w:autoSpaceDE w:val="0"/>
              <w:autoSpaceDN w:val="0"/>
              <w:adjustRightInd w:val="0"/>
              <w:snapToGrid w:val="0"/>
              <w:spacing w:line="280" w:lineRule="exact"/>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（代理）</w:t>
            </w:r>
            <w:r>
              <w:rPr>
                <w:rFonts w:ascii="黑体" w:hAnsi="黑体" w:eastAsia="黑体"/>
                <w:kern w:val="0"/>
                <w:sz w:val="18"/>
                <w:szCs w:val="18"/>
              </w:rPr>
              <w:t>销售协议书》以前，甲方已认真阅读理财产品销售文件（包括但不限于《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pPr>
              <w:tabs>
                <w:tab w:val="left" w:pos="0"/>
                <w:tab w:val="left" w:pos="3600"/>
              </w:tabs>
              <w:jc w:val="left"/>
              <w:rPr>
                <w:rFonts w:ascii="黑体" w:hAnsi="黑体" w:eastAsia="黑体"/>
                <w:kern w:val="0"/>
                <w:sz w:val="18"/>
                <w:szCs w:val="18"/>
              </w:rPr>
            </w:pPr>
            <w:r>
              <w:rPr>
                <w:rFonts w:ascii="黑体" w:hAnsi="黑体" w:eastAsia="黑体"/>
                <w:kern w:val="0"/>
                <w:sz w:val="18"/>
                <w:szCs w:val="18"/>
              </w:rPr>
              <w:t>2</w:t>
            </w:r>
            <w:r>
              <w:rPr>
                <w:rFonts w:hint="eastAsia" w:ascii="黑体" w:hAnsi="黑体" w:eastAsia="黑体"/>
                <w:kern w:val="0"/>
                <w:sz w:val="18"/>
                <w:szCs w:val="18"/>
              </w:rPr>
              <w:t>、甲方</w:t>
            </w:r>
            <w:r>
              <w:rPr>
                <w:rFonts w:ascii="黑体" w:hAnsi="黑体" w:eastAsia="黑体"/>
                <w:kern w:val="0"/>
                <w:sz w:val="18"/>
                <w:szCs w:val="18"/>
              </w:rPr>
              <w:t>已认真阅读并充分理解包括但不限于《</w:t>
            </w:r>
            <w:r>
              <w:rPr>
                <w:rFonts w:hint="eastAsia" w:ascii="黑体" w:hAnsi="黑体" w:eastAsia="黑体"/>
                <w:kern w:val="0"/>
                <w:sz w:val="18"/>
                <w:szCs w:val="18"/>
              </w:rPr>
              <w:t>（代理）</w:t>
            </w:r>
            <w:r>
              <w:rPr>
                <w:rFonts w:ascii="黑体" w:hAnsi="黑体" w:eastAsia="黑体"/>
                <w:kern w:val="0"/>
                <w:sz w:val="18"/>
                <w:szCs w:val="18"/>
              </w:rPr>
              <w:t>销售协议书》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jc w:val="center"/>
              <w:rPr>
                <w:b/>
                <w:kern w:val="0"/>
                <w:sz w:val="18"/>
                <w:szCs w:val="18"/>
              </w:rPr>
            </w:pPr>
            <w:r>
              <w:rPr>
                <w:rFonts w:hint="eastAsia"/>
                <w:b/>
                <w:kern w:val="0"/>
                <w:sz w:val="18"/>
                <w:szCs w:val="18"/>
              </w:rPr>
              <w:t>甲方签署栏</w:t>
            </w:r>
          </w:p>
        </w:tc>
        <w:tc>
          <w:tcPr>
            <w:tcW w:w="851" w:type="dxa"/>
          </w:tcPr>
          <w:p>
            <w:pPr>
              <w:rPr>
                <w:b/>
                <w:kern w:val="0"/>
                <w:sz w:val="18"/>
                <w:szCs w:val="18"/>
              </w:rPr>
            </w:pPr>
            <w:r>
              <w:rPr>
                <w:rFonts w:hint="eastAsia"/>
                <w:b/>
                <w:kern w:val="0"/>
                <w:sz w:val="18"/>
                <w:szCs w:val="18"/>
              </w:rPr>
              <w:t>个人投资者适用</w:t>
            </w:r>
          </w:p>
        </w:tc>
        <w:tc>
          <w:tcPr>
            <w:tcW w:w="6998" w:type="dxa"/>
          </w:tcPr>
          <w:p>
            <w:pPr>
              <w:rPr>
                <w:kern w:val="0"/>
                <w:sz w:val="18"/>
                <w:szCs w:val="18"/>
              </w:rPr>
            </w:pPr>
            <w:r>
              <w:rPr>
                <w:rFonts w:hint="eastAsia"/>
                <w:kern w:val="0"/>
                <w:sz w:val="18"/>
                <w:szCs w:val="18"/>
              </w:rPr>
              <w:t>甲方（签字）：</w:t>
            </w:r>
          </w:p>
          <w:p>
            <w:pPr>
              <w:rPr>
                <w:b/>
                <w:kern w:val="0"/>
                <w:sz w:val="18"/>
                <w:szCs w:val="18"/>
              </w:rPr>
            </w:pPr>
          </w:p>
          <w:p>
            <w:pPr>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Merge w:val="continue"/>
          </w:tcPr>
          <w:p>
            <w:pPr>
              <w:rPr>
                <w:b/>
                <w:kern w:val="0"/>
                <w:sz w:val="18"/>
                <w:szCs w:val="18"/>
              </w:rPr>
            </w:pPr>
          </w:p>
        </w:tc>
        <w:tc>
          <w:tcPr>
            <w:tcW w:w="851" w:type="dxa"/>
          </w:tcPr>
          <w:p>
            <w:pPr>
              <w:rPr>
                <w:b/>
                <w:kern w:val="0"/>
                <w:sz w:val="18"/>
                <w:szCs w:val="18"/>
              </w:rPr>
            </w:pPr>
            <w:r>
              <w:rPr>
                <w:rFonts w:hint="eastAsia"/>
                <w:b/>
                <w:kern w:val="0"/>
                <w:sz w:val="18"/>
                <w:szCs w:val="18"/>
              </w:rPr>
              <w:t>机构投资者适用</w:t>
            </w:r>
          </w:p>
        </w:tc>
        <w:tc>
          <w:tcPr>
            <w:tcW w:w="6998" w:type="dxa"/>
          </w:tcPr>
          <w:p>
            <w:pPr>
              <w:rPr>
                <w:rFonts w:cs="Arial"/>
                <w:kern w:val="0"/>
                <w:sz w:val="18"/>
                <w:szCs w:val="18"/>
              </w:rPr>
            </w:pPr>
            <w:r>
              <w:rPr>
                <w:rFonts w:hint="eastAsia"/>
                <w:kern w:val="0"/>
                <w:sz w:val="18"/>
                <w:szCs w:val="18"/>
              </w:rPr>
              <w:t>甲方</w:t>
            </w:r>
            <w:r>
              <w:rPr>
                <w:rFonts w:hint="eastAsia" w:cs="Arial"/>
                <w:kern w:val="0"/>
                <w:sz w:val="18"/>
                <w:szCs w:val="18"/>
              </w:rPr>
              <w:t>（盖章）：</w:t>
            </w:r>
          </w:p>
          <w:p>
            <w:pPr>
              <w:rPr>
                <w:rFonts w:cs="Arial"/>
                <w:kern w:val="0"/>
                <w:sz w:val="18"/>
                <w:szCs w:val="18"/>
              </w:rPr>
            </w:pPr>
          </w:p>
          <w:p>
            <w:pPr>
              <w:rPr>
                <w:rFonts w:cs="Arial"/>
                <w:kern w:val="0"/>
                <w:sz w:val="18"/>
                <w:szCs w:val="18"/>
              </w:rPr>
            </w:pPr>
            <w:r>
              <w:rPr>
                <w:rFonts w:hint="eastAsia" w:cs="Arial"/>
                <w:kern w:val="0"/>
                <w:sz w:val="18"/>
                <w:szCs w:val="18"/>
              </w:rPr>
              <w:t>甲方法定代表人或授权代理人（签字或盖章）：</w:t>
            </w:r>
          </w:p>
          <w:p>
            <w:pPr>
              <w:rPr>
                <w:b/>
                <w:kern w:val="0"/>
                <w:sz w:val="18"/>
                <w:szCs w:val="18"/>
              </w:rPr>
            </w:pPr>
          </w:p>
          <w:p>
            <w:pPr>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tcPr>
          <w:p>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pPr>
              <w:rPr>
                <w:b/>
                <w:kern w:val="0"/>
                <w:sz w:val="18"/>
                <w:szCs w:val="18"/>
              </w:rPr>
            </w:pPr>
          </w:p>
          <w:p>
            <w:pPr>
              <w:rPr>
                <w:kern w:val="0"/>
                <w:sz w:val="18"/>
                <w:szCs w:val="18"/>
              </w:rPr>
            </w:pPr>
            <w:r>
              <w:rPr>
                <w:rFonts w:hint="eastAsia"/>
                <w:kern w:val="0"/>
                <w:sz w:val="18"/>
                <w:szCs w:val="18"/>
              </w:rPr>
              <w:t>日期：</w:t>
            </w:r>
          </w:p>
        </w:tc>
      </w:tr>
    </w:tbl>
    <w:p>
      <w:pPr>
        <w:spacing w:line="360" w:lineRule="auto"/>
        <w:jc w:val="left"/>
        <w:rPr>
          <w:rFonts w:hint="eastAsia" w:ascii="宋体" w:hAnsi="宋体"/>
          <w:b/>
          <w:sz w:val="18"/>
          <w:szCs w:val="18"/>
        </w:rPr>
        <w:sectPr>
          <w:headerReference r:id="rId7" w:type="default"/>
          <w:footerReference r:id="rId8" w:type="default"/>
          <w:pgSz w:w="11906" w:h="16838"/>
          <w:pgMar w:top="1440" w:right="1800" w:bottom="1440" w:left="1800" w:header="567" w:footer="964" w:gutter="0"/>
          <w:cols w:space="425" w:num="1"/>
          <w:docGrid w:type="lines" w:linePitch="312" w:charSpace="0"/>
        </w:sectPr>
      </w:pPr>
      <w:r>
        <w:rPr>
          <w:rFonts w:hint="eastAsia" w:ascii="宋体" w:hAnsi="宋体"/>
          <w:b/>
          <w:sz w:val="18"/>
          <w:szCs w:val="18"/>
        </w:rPr>
        <w:t>（本《（代理）销售协议书》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兴银理财【稳利安盈封闭式】</w:t>
      </w:r>
      <w:r>
        <w:rPr>
          <w:rFonts w:ascii="黑体" w:hAnsi="黑体" w:eastAsia="黑体"/>
          <w:b/>
          <w:bCs/>
          <w:sz w:val="28"/>
          <w:szCs w:val="28"/>
        </w:rPr>
        <w:t>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w:t>
      </w:r>
      <w:r>
        <w:rPr>
          <w:rFonts w:ascii="宋体" w:hAnsi="宋体" w:cs="仿宋_GB2312"/>
          <w:kern w:val="0"/>
          <w:sz w:val="18"/>
          <w:szCs w:val="18"/>
        </w:rPr>
        <w:t>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（一）产品名称、销售</w:t>
      </w:r>
      <w:r>
        <w:rPr>
          <w:rFonts w:ascii="宋体" w:hAnsi="宋体" w:cs="仿宋_GB2312"/>
          <w:kern w:val="0"/>
          <w:sz w:val="18"/>
          <w:szCs w:val="18"/>
        </w:rPr>
        <w:t>名称</w:t>
      </w:r>
      <w:r>
        <w:rPr>
          <w:rFonts w:hint="eastAsia" w:ascii="宋体" w:hAnsi="宋体" w:cs="仿宋_GB2312"/>
          <w:kern w:val="0"/>
          <w:sz w:val="18"/>
          <w:szCs w:val="18"/>
        </w:rPr>
        <w:t>及产品</w:t>
      </w:r>
      <w:r>
        <w:rPr>
          <w:rFonts w:ascii="宋体" w:hAnsi="宋体" w:cs="仿宋_GB2312"/>
          <w:kern w:val="0"/>
          <w:sz w:val="18"/>
          <w:szCs w:val="18"/>
        </w:rPr>
        <w:t>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r>
        <w:rPr>
          <w:rFonts w:hint="eastAsia" w:ascii="宋体" w:hAnsi="宋体" w:cs="仿宋_GB2312"/>
          <w:kern w:val="0"/>
          <w:sz w:val="18"/>
          <w:szCs w:val="18"/>
        </w:rPr>
        <w:t>【兴银理财稳利安盈封闭式2024年13期固收类理财产品</w:t>
      </w:r>
      <w:r>
        <w:rPr>
          <w:rFonts w:hint="eastAsia" w:asciiTheme="majorEastAsia" w:hAnsiTheme="majorEastAsia" w:eastAsiaTheme="majorEastAsia"/>
          <w:bCs/>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【稳利安盈2024年13期A】（适用【A】类份额）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【稳利安盈2024年13期B】（适用【B】类份额）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【稳利安盈2024年13期C】（适用【C】类份额）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【稳利安盈2024年13期D】（适用【D】类份额）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【稳利安盈2024年13期E】（适用【E】类份额）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产品登记编码</w:t>
      </w:r>
      <w:r>
        <w:rPr>
          <w:rFonts w:ascii="宋体" w:hAnsi="宋体" w:cs="仿宋_GB2312"/>
          <w:kern w:val="0"/>
          <w:sz w:val="18"/>
          <w:szCs w:val="18"/>
        </w:rPr>
        <w:t>：【Z7002024000264】</w:t>
      </w:r>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448" w:firstLineChars="249"/>
        <w:rPr>
          <w:rFonts w:ascii="宋体" w:hAnsi="宋体" w:cs="仿宋_GB2312"/>
          <w:kern w:val="0"/>
          <w:sz w:val="18"/>
          <w:szCs w:val="18"/>
        </w:rPr>
      </w:pPr>
      <w:r>
        <w:rPr>
          <w:rFonts w:hint="eastAsia" w:ascii="宋体" w:hAnsi="宋体" w:cs="仿宋_GB2312"/>
          <w:kern w:val="0"/>
          <w:sz w:val="18"/>
          <w:szCs w:val="18"/>
        </w:rPr>
        <w:t>【公募、封闭式、固定收益</w:t>
      </w:r>
      <w:r>
        <w:rPr>
          <w:rFonts w:ascii="宋体" w:hAnsi="宋体" w:cs="仿宋_GB2312"/>
          <w:kern w:val="0"/>
          <w:sz w:val="18"/>
          <w:szCs w:val="18"/>
        </w:rPr>
        <w:t>类</w:t>
      </w:r>
      <w:r>
        <w:rPr>
          <w:rFonts w:hint="eastAsia" w:ascii="宋体" w:hAnsi="宋体" w:cs="仿宋_GB2312"/>
          <w:kern w:val="0"/>
          <w:sz w:val="18"/>
          <w:szCs w:val="18"/>
        </w:rPr>
        <w:t>、非保本浮动</w:t>
      </w:r>
      <w:r>
        <w:rPr>
          <w:rFonts w:ascii="宋体" w:hAnsi="宋体" w:cs="仿宋_GB2312"/>
          <w:kern w:val="0"/>
          <w:sz w:val="18"/>
          <w:szCs w:val="18"/>
        </w:rPr>
        <w:t>收益</w:t>
      </w:r>
      <w:r>
        <w:rPr>
          <w:rFonts w:hint="eastAsia" w:ascii="宋体" w:hAnsi="宋体" w:cs="仿宋_GB2312"/>
          <w:kern w:val="0"/>
          <w:sz w:val="18"/>
          <w:szCs w:val="18"/>
        </w:rPr>
        <w:t>、净值型】理财产品。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■有固定期限：【140天】</w:t>
      </w:r>
    </w:p>
    <w:p>
      <w:pPr>
        <w:ind w:firstLine="448" w:firstLineChars="249"/>
        <w:rPr>
          <w:rFonts w:ascii="宋体" w:hAnsi="宋体" w:cs="仿宋_GB2312"/>
          <w:kern w:val="0"/>
          <w:sz w:val="18"/>
          <w:szCs w:val="18"/>
        </w:rPr>
      </w:pPr>
      <w:r>
        <w:rPr>
          <w:rFonts w:hint="eastAsia" w:asciiTheme="majorEastAsia" w:hAnsiTheme="majorEastAsia" w:eastAsiaTheme="majorEastAsia"/>
          <w:bCs/>
          <w:sz w:val="18"/>
          <w:szCs w:val="18"/>
        </w:rPr>
        <w:t>□无固定期限</w:t>
      </w:r>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szCs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本理财产品风险评级最终定义为【R</w:t>
      </w:r>
      <w:r>
        <w:rPr>
          <w:rFonts w:ascii="宋体" w:hAnsi="宋体" w:cs="仿宋_GB2312"/>
          <w:kern w:val="0"/>
          <w:sz w:val="18"/>
          <w:szCs w:val="18"/>
        </w:rPr>
        <w:t>1】</w:t>
      </w:r>
      <w:r>
        <w:rPr>
          <w:rFonts w:hint="eastAsia" w:ascii="宋体" w:hAnsi="宋体" w:cs="仿宋_GB2312"/>
          <w:kern w:val="0"/>
          <w:sz w:val="18"/>
          <w:szCs w:val="18"/>
        </w:rPr>
        <w:t>（产品管理人定义的产品风险评级为【R</w:t>
      </w:r>
      <w:r>
        <w:rPr>
          <w:rFonts w:ascii="宋体" w:hAnsi="宋体" w:cs="仿宋_GB2312"/>
          <w:kern w:val="0"/>
          <w:sz w:val="18"/>
          <w:szCs w:val="18"/>
        </w:rPr>
        <w:t>1</w:t>
      </w:r>
      <w:r>
        <w:rPr>
          <w:rFonts w:hint="eastAsia" w:ascii="宋体" w:hAnsi="宋体" w:cs="仿宋_GB2312"/>
          <w:kern w:val="0"/>
          <w:sz w:val="18"/>
          <w:szCs w:val="18"/>
        </w:rPr>
        <w:t>】；代理销售机构定义的产品风险评级为【R</w:t>
      </w:r>
      <w:r>
        <w:rPr>
          <w:rFonts w:ascii="宋体" w:hAnsi="宋体" w:cs="仿宋_GB2312"/>
          <w:kern w:val="0"/>
          <w:sz w:val="18"/>
          <w:szCs w:val="18"/>
        </w:rPr>
        <w:t>1</w:t>
      </w:r>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C6】</w:t>
      </w:r>
      <w:r>
        <w:rPr>
          <w:rFonts w:hint="eastAsia" w:asciiTheme="majorEastAsia" w:hAnsiTheme="majorEastAsia" w:eastAsiaTheme="majorEastAsia"/>
          <w:bCs/>
          <w:color w:val="000000" w:themeColor="text1"/>
          <w:sz w:val="18"/>
          <w:szCs w:val="18"/>
          <w14:textFill>
            <w14:solidFill>
              <w14:schemeClr w14:val="tx1"/>
            </w14:solidFill>
          </w14:textFill>
        </w:rPr>
        <w:t>。</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pStyle w:val="12"/>
        <w:spacing w:line="360" w:lineRule="auto"/>
        <w:ind w:firstLine="360"/>
        <w:rPr>
          <w:rFonts w:ascii="宋体" w:hAnsi="宋体"/>
          <w:sz w:val="18"/>
          <w:szCs w:val="18"/>
        </w:rPr>
      </w:pPr>
      <w:r>
        <w:rPr>
          <w:rFonts w:hint="eastAsia" w:ascii="宋体" w:hAnsi="宋体"/>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pStyle w:val="12"/>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pStyle w:val="12"/>
        <w:ind w:firstLine="426" w:firstLineChars="0"/>
        <w:rPr>
          <w:rFonts w:ascii="宋体" w:hAnsi="宋体"/>
          <w:b/>
          <w:bCs/>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12"/>
        <w:ind w:firstLine="426" w:firstLineChars="0"/>
        <w:rPr>
          <w:rFonts w:ascii="宋体" w:hAnsi="宋体"/>
          <w:b/>
          <w:bCs/>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12"/>
        <w:ind w:firstLine="426" w:firstLineChars="0"/>
        <w:rPr>
          <w:rFonts w:ascii="宋体" w:hAnsi="宋体"/>
          <w:b/>
          <w:bCs/>
          <w:sz w:val="18"/>
          <w:szCs w:val="18"/>
        </w:rPr>
      </w:pPr>
      <w:r>
        <w:rPr>
          <w:rFonts w:hint="eastAsia" w:ascii="宋体" w:hAnsi="宋体"/>
          <w:b/>
          <w:bCs/>
          <w:sz w:val="18"/>
          <w:szCs w:val="18"/>
        </w:rPr>
        <w:t>3.市场</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4.流动性风险</w:t>
      </w:r>
    </w:p>
    <w:p>
      <w:pPr>
        <w:pStyle w:val="12"/>
        <w:ind w:firstLine="426" w:firstLineChars="0"/>
        <w:rPr>
          <w:rFonts w:ascii="宋体" w:hAnsi="宋体" w:cs="仿宋_GB2312"/>
          <w:bCs/>
          <w:kern w:val="0"/>
          <w:sz w:val="18"/>
          <w:szCs w:val="18"/>
        </w:rPr>
      </w:pP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5.</w:t>
      </w:r>
      <w:r>
        <w:rPr>
          <w:rFonts w:ascii="宋体" w:hAnsi="宋体" w:cs="仿宋_GB2312"/>
          <w:b/>
          <w:kern w:val="0"/>
          <w:sz w:val="18"/>
          <w:szCs w:val="18"/>
        </w:rPr>
        <w:t>法律与政策风险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12"/>
        <w:ind w:firstLine="426" w:firstLineChars="0"/>
        <w:rPr>
          <w:rFonts w:ascii="宋体" w:hAnsi="宋体"/>
          <w:b/>
          <w:bCs/>
          <w:sz w:val="18"/>
          <w:szCs w:val="18"/>
        </w:rPr>
      </w:pPr>
      <w:r>
        <w:rPr>
          <w:rFonts w:hint="eastAsia" w:ascii="宋体" w:hAnsi="宋体"/>
          <w:b/>
          <w:bCs/>
          <w:sz w:val="18"/>
          <w:szCs w:val="18"/>
        </w:rPr>
        <w:t>6.</w:t>
      </w:r>
      <w:r>
        <w:rPr>
          <w:rFonts w:ascii="宋体" w:hAnsi="宋体"/>
          <w:b/>
          <w:bCs/>
          <w:sz w:val="18"/>
          <w:szCs w:val="18"/>
        </w:rPr>
        <w:t>延期</w:t>
      </w:r>
      <w:r>
        <w:rPr>
          <w:rFonts w:hint="eastAsia" w:ascii="宋体" w:hAnsi="宋体"/>
          <w:b/>
          <w:bCs/>
          <w:sz w:val="18"/>
          <w:szCs w:val="18"/>
        </w:rPr>
        <w:t>终止</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7.</w:t>
      </w:r>
      <w:r>
        <w:rPr>
          <w:rFonts w:ascii="宋体" w:hAnsi="宋体" w:cs="仿宋_GB2312"/>
          <w:b/>
          <w:kern w:val="0"/>
          <w:sz w:val="18"/>
          <w:szCs w:val="18"/>
        </w:rPr>
        <w:t>提前终止风险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pStyle w:val="12"/>
        <w:ind w:firstLine="426" w:firstLineChars="0"/>
        <w:rPr>
          <w:rFonts w:ascii="黑体" w:hAnsi="黑体" w:eastAsia="黑体" w:cs="黑体"/>
          <w:b/>
          <w:bCs/>
          <w:sz w:val="18"/>
          <w:szCs w:val="18"/>
        </w:rPr>
      </w:pPr>
      <w:r>
        <w:rPr>
          <w:rFonts w:hint="eastAsia" w:ascii="黑体" w:hAnsi="黑体" w:eastAsia="黑体" w:cs="黑体"/>
          <w:b/>
          <w:bCs/>
          <w:sz w:val="18"/>
          <w:szCs w:val="18"/>
        </w:rPr>
        <w:t>8.</w:t>
      </w:r>
      <w:r>
        <w:rPr>
          <w:rFonts w:hint="eastAsia" w:ascii="黑体" w:hAnsi="黑体" w:eastAsia="黑体" w:cs="黑体"/>
          <w:sz w:val="18"/>
          <w:szCs w:val="18"/>
        </w:rPr>
        <w:t>★</w:t>
      </w:r>
      <w:r>
        <w:rPr>
          <w:rFonts w:hint="eastAsia" w:ascii="黑体" w:hAnsi="黑体" w:eastAsia="黑体" w:cs="黑体"/>
          <w:b/>
          <w:bCs/>
          <w:sz w:val="18"/>
          <w:szCs w:val="18"/>
        </w:rPr>
        <w:t>信息传递风险</w:t>
      </w:r>
    </w:p>
    <w:p>
      <w:pPr>
        <w:pStyle w:val="12"/>
        <w:ind w:firstLine="426" w:firstLineChars="0"/>
        <w:rPr>
          <w:rFonts w:ascii="黑体" w:hAnsi="黑体" w:eastAsia="黑体" w:cs="黑体"/>
          <w:kern w:val="0"/>
          <w:sz w:val="18"/>
          <w:szCs w:val="18"/>
        </w:rPr>
      </w:pPr>
      <w:r>
        <w:rPr>
          <w:rFonts w:hint="eastAsia" w:ascii="黑体" w:hAnsi="黑体" w:eastAsia="黑体" w:cs="黑体"/>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pPr>
        <w:ind w:firstLine="361" w:firstLineChars="200"/>
        <w:rPr>
          <w:rFonts w:ascii="宋体" w:hAnsi="宋体"/>
          <w:b/>
          <w:bCs/>
          <w:sz w:val="18"/>
          <w:szCs w:val="18"/>
        </w:rPr>
      </w:pPr>
      <w:r>
        <w:rPr>
          <w:rFonts w:hint="eastAsia" w:ascii="宋体" w:hAnsi="宋体"/>
          <w:b/>
          <w:bCs/>
          <w:sz w:val="18"/>
          <w:szCs w:val="18"/>
        </w:rPr>
        <w:t>9.</w:t>
      </w:r>
      <w:r>
        <w:rPr>
          <w:rFonts w:ascii="宋体" w:hAnsi="宋体"/>
          <w:b/>
          <w:bCs/>
          <w:sz w:val="18"/>
          <w:szCs w:val="18"/>
        </w:rPr>
        <w:t>不可抗力及意外事件风险</w:t>
      </w:r>
    </w:p>
    <w:p>
      <w:pPr>
        <w:ind w:firstLine="360" w:firstLineChars="200"/>
        <w:rPr>
          <w:rFonts w:ascii="宋体" w:hAnsi="宋体"/>
          <w:bCs/>
          <w:sz w:val="18"/>
          <w:szCs w:val="18"/>
        </w:rPr>
      </w:pPr>
      <w:r>
        <w:rPr>
          <w:rFonts w:hint="eastAsia" w:ascii="宋体" w:hAnsi="宋体"/>
          <w:bCs/>
          <w:sz w:val="18"/>
          <w:szCs w:val="18"/>
        </w:rPr>
        <w:t>因战争、自然灾害、重大政治事件等不可抗力以及其他不可预见的意外事件可能致使理财产品面临损失的风险。</w:t>
      </w:r>
    </w:p>
    <w:p>
      <w:pPr>
        <w:pStyle w:val="12"/>
        <w:ind w:firstLine="361"/>
        <w:rPr>
          <w:rFonts w:ascii="宋体" w:hAnsi="宋体"/>
          <w:b/>
          <w:bCs/>
          <w:sz w:val="18"/>
          <w:szCs w:val="18"/>
        </w:rPr>
      </w:pPr>
      <w:r>
        <w:rPr>
          <w:rFonts w:hint="eastAsia" w:ascii="宋体" w:hAnsi="宋体"/>
          <w:b/>
          <w:bCs/>
          <w:sz w:val="18"/>
          <w:szCs w:val="18"/>
        </w:rPr>
        <w:t>10.</w:t>
      </w:r>
      <w:r>
        <w:rPr>
          <w:rFonts w:ascii="宋体" w:hAnsi="宋体"/>
          <w:b/>
          <w:bCs/>
          <w:sz w:val="18"/>
          <w:szCs w:val="18"/>
        </w:rPr>
        <w:t>管理人风险</w:t>
      </w:r>
    </w:p>
    <w:p>
      <w:pPr>
        <w:pStyle w:val="12"/>
        <w:ind w:firstLine="360"/>
        <w:rPr>
          <w:rFonts w:ascii="宋体" w:hAnsi="宋体"/>
          <w:bCs/>
          <w:sz w:val="18"/>
          <w:szCs w:val="18"/>
        </w:rPr>
      </w:pP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1.理财产品不成立风险</w:t>
      </w:r>
    </w:p>
    <w:p>
      <w:pPr>
        <w:pStyle w:val="12"/>
        <w:ind w:firstLine="360"/>
        <w:rPr>
          <w:rFonts w:ascii="宋体" w:hAnsi="宋体"/>
          <w:bCs/>
          <w:sz w:val="18"/>
          <w:szCs w:val="18"/>
        </w:rPr>
      </w:pP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2.</w:t>
      </w:r>
      <w:r>
        <w:rPr>
          <w:rFonts w:ascii="宋体" w:hAnsi="宋体"/>
          <w:b/>
          <w:bCs/>
          <w:sz w:val="18"/>
          <w:szCs w:val="18"/>
        </w:rPr>
        <w:t>操作风险</w:t>
      </w:r>
    </w:p>
    <w:p>
      <w:pPr>
        <w:pStyle w:val="12"/>
        <w:ind w:firstLine="360"/>
        <w:rPr>
          <w:rFonts w:ascii="宋体" w:hAnsi="宋体"/>
          <w:bCs/>
          <w:sz w:val="18"/>
          <w:szCs w:val="18"/>
        </w:rPr>
      </w:pP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3</w:t>
      </w:r>
      <w:r>
        <w:rPr>
          <w:rFonts w:ascii="宋体" w:hAnsi="宋体"/>
          <w:b/>
          <w:bCs/>
          <w:sz w:val="18"/>
          <w:szCs w:val="18"/>
        </w:rPr>
        <w:t>.估值</w:t>
      </w:r>
      <w:r>
        <w:rPr>
          <w:rFonts w:hint="eastAsia" w:ascii="宋体" w:hAnsi="宋体"/>
          <w:b/>
          <w:bCs/>
          <w:sz w:val="18"/>
          <w:szCs w:val="18"/>
        </w:rPr>
        <w:t>波动</w:t>
      </w:r>
      <w:r>
        <w:rPr>
          <w:rFonts w:ascii="宋体" w:hAnsi="宋体"/>
          <w:b/>
          <w:bCs/>
          <w:sz w:val="18"/>
          <w:szCs w:val="18"/>
        </w:rPr>
        <w:t>风险</w:t>
      </w:r>
    </w:p>
    <w:p>
      <w:pPr>
        <w:pStyle w:val="12"/>
        <w:ind w:firstLine="360"/>
        <w:rPr>
          <w:rFonts w:ascii="宋体" w:hAnsi="宋体"/>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4.</w:t>
      </w:r>
      <w:r>
        <w:rPr>
          <w:rFonts w:ascii="宋体" w:hAnsi="宋体"/>
          <w:b/>
          <w:bCs/>
          <w:sz w:val="18"/>
          <w:szCs w:val="18"/>
        </w:rPr>
        <w:t>估值差错风险</w:t>
      </w:r>
    </w:p>
    <w:p>
      <w:pPr>
        <w:pStyle w:val="12"/>
        <w:ind w:firstLine="360"/>
        <w:rPr>
          <w:rFonts w:ascii="宋体" w:hAnsi="宋体"/>
          <w:bCs/>
          <w:sz w:val="18"/>
          <w:szCs w:val="18"/>
        </w:rPr>
      </w:pP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12"/>
        <w:ind w:firstLine="361"/>
        <w:rPr>
          <w:rFonts w:ascii="黑体" w:hAnsi="黑体" w:eastAsia="黑体" w:cs="黑体"/>
          <w:b/>
          <w:bCs/>
          <w:sz w:val="18"/>
          <w:szCs w:val="18"/>
        </w:rPr>
      </w:pPr>
      <w:r>
        <w:rPr>
          <w:rFonts w:hint="eastAsia" w:ascii="黑体" w:hAnsi="黑体" w:eastAsia="黑体" w:cs="黑体"/>
          <w:b/>
          <w:bCs/>
          <w:sz w:val="18"/>
          <w:szCs w:val="18"/>
        </w:rPr>
        <w:t>15.</w:t>
      </w:r>
      <w:r>
        <w:rPr>
          <w:rFonts w:hint="eastAsia" w:ascii="黑体" w:hAnsi="黑体" w:eastAsia="黑体" w:cs="黑体"/>
          <w:sz w:val="18"/>
          <w:szCs w:val="18"/>
        </w:rPr>
        <w:t>★</w:t>
      </w:r>
      <w:r>
        <w:rPr>
          <w:rFonts w:hint="eastAsia" w:ascii="黑体" w:hAnsi="黑体" w:eastAsia="黑体" w:cs="黑体"/>
          <w:b/>
          <w:bCs/>
          <w:sz w:val="18"/>
          <w:szCs w:val="18"/>
        </w:rPr>
        <w:t>代销风险</w:t>
      </w:r>
    </w:p>
    <w:p>
      <w:pPr>
        <w:pStyle w:val="12"/>
        <w:ind w:firstLine="360"/>
        <w:rPr>
          <w:rFonts w:ascii="黑体" w:hAnsi="黑体" w:eastAsia="黑体" w:cs="黑体"/>
          <w:bCs/>
          <w:sz w:val="18"/>
          <w:szCs w:val="18"/>
        </w:rPr>
      </w:pPr>
      <w:r>
        <w:rPr>
          <w:rFonts w:hint="eastAsia" w:ascii="黑体" w:hAnsi="黑体" w:eastAsia="黑体" w:cs="黑体"/>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276" w:lineRule="auto"/>
        <w:ind w:firstLine="361" w:firstLineChars="200"/>
        <w:rPr>
          <w:rFonts w:ascii="黑体" w:hAnsi="黑体" w:eastAsia="黑体" w:cs="仿宋_GB2312"/>
          <w:b/>
          <w:bCs/>
          <w:kern w:val="0"/>
          <w:sz w:val="18"/>
          <w:szCs w:val="18"/>
        </w:rPr>
      </w:pPr>
      <w:r>
        <w:rPr>
          <w:rFonts w:ascii="黑体" w:hAnsi="黑体" w:eastAsia="黑体"/>
          <w:b/>
          <w:bCs/>
          <w:sz w:val="18"/>
          <w:szCs w:val="18"/>
        </w:rPr>
        <w:t>1</w:t>
      </w:r>
      <w:r>
        <w:rPr>
          <w:rFonts w:hint="eastAsia" w:ascii="黑体" w:hAnsi="黑体" w:eastAsia="黑体"/>
          <w:b/>
          <w:bCs/>
          <w:sz w:val="18"/>
          <w:szCs w:val="18"/>
        </w:rPr>
        <w:t>6</w:t>
      </w:r>
      <w:r>
        <w:rPr>
          <w:rFonts w:ascii="黑体" w:hAnsi="黑体" w:eastAsia="黑体"/>
          <w:b/>
          <w:bCs/>
          <w:sz w:val="18"/>
          <w:szCs w:val="18"/>
        </w:rPr>
        <w:t>.</w:t>
      </w:r>
      <w:r>
        <w:rPr>
          <w:rFonts w:hint="eastAsia" w:ascii="黑体" w:hAnsi="黑体" w:eastAsia="黑体" w:cs="仿宋_GB2312"/>
          <w:b/>
          <w:bCs/>
          <w:kern w:val="0"/>
          <w:sz w:val="18"/>
          <w:szCs w:val="18"/>
        </w:rPr>
        <w:t>★不同理财产品份额类别存在差异的风险</w:t>
      </w:r>
    </w:p>
    <w:p>
      <w:pPr>
        <w:spacing w:line="276" w:lineRule="auto"/>
        <w:ind w:firstLine="360" w:firstLineChars="200"/>
        <w:rPr>
          <w:rFonts w:ascii="黑体" w:hAnsi="黑体" w:eastAsia="黑体"/>
          <w:sz w:val="18"/>
          <w:szCs w:val="18"/>
        </w:rPr>
      </w:pP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等因素，对理财投资者所持有的理财产品设置不同理财产品份额类别。不同类别的理财产品份额可能在销售名称、收费方式</w:t>
      </w:r>
      <w:r>
        <w:rPr>
          <w:rFonts w:ascii="黑体" w:hAnsi="黑体" w:eastAsia="黑体" w:cs="仿宋_GB2312"/>
          <w:kern w:val="0"/>
          <w:sz w:val="18"/>
          <w:szCs w:val="18"/>
        </w:rPr>
        <w:t>、</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投资者认购申购和赎回的数量限制、投资者持有本产品的最高限额最低限额、计算和公告产品份额净值方面存在差异。</w:t>
      </w:r>
    </w:p>
    <w:p>
      <w:pPr>
        <w:pStyle w:val="12"/>
        <w:ind w:firstLineChars="0"/>
        <w:rPr>
          <w:rFonts w:ascii="宋体" w:hAnsi="宋体"/>
          <w:b/>
          <w:bCs/>
          <w:sz w:val="18"/>
          <w:szCs w:val="18"/>
        </w:rPr>
      </w:pPr>
      <w:r>
        <w:rPr>
          <w:rFonts w:hint="eastAsia" w:ascii="宋体" w:hAnsi="宋体"/>
          <w:b/>
          <w:bCs/>
          <w:sz w:val="18"/>
          <w:szCs w:val="18"/>
        </w:rPr>
        <w:t>17.关联交易风险</w:t>
      </w:r>
    </w:p>
    <w:p>
      <w:pPr>
        <w:pStyle w:val="12"/>
        <w:ind w:firstLineChars="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pPr>
        <w:autoSpaceDE w:val="0"/>
        <w:autoSpaceDN w:val="0"/>
        <w:adjustRightInd w:val="0"/>
        <w:ind w:firstLine="420"/>
        <w:jc w:val="left"/>
        <w:rPr>
          <w:rFonts w:ascii="黑体" w:hAnsi="黑体" w:eastAsia="黑体"/>
          <w:sz w:val="18"/>
          <w:szCs w:val="18"/>
        </w:rPr>
      </w:pPr>
      <w:r>
        <w:rPr>
          <w:rFonts w:hint="eastAsia" w:ascii="黑体" w:hAnsi="黑体" w:eastAsia="黑体" w:cs="仿宋_GB2312"/>
          <w:kern w:val="0"/>
          <w:sz w:val="18"/>
          <w:szCs w:val="18"/>
        </w:rPr>
        <w:t>（三）</w:t>
      </w:r>
      <w:r>
        <w:rPr>
          <w:rFonts w:hint="eastAsia" w:hAnsi="宋体"/>
          <w:sz w:val="18"/>
          <w:szCs w:val="18"/>
        </w:rPr>
        <w:t>★</w:t>
      </w:r>
      <w:r>
        <w:rPr>
          <w:rFonts w:hint="eastAsia" w:ascii="黑体" w:hAnsi="黑体" w:eastAsia="黑体" w:cs="仿宋_GB2312"/>
          <w:kern w:val="0"/>
          <w:sz w:val="18"/>
          <w:szCs w:val="18"/>
        </w:rPr>
        <w:t>最不利投资情形下的投资结果示例：</w:t>
      </w:r>
      <w:r>
        <w:rPr>
          <w:rFonts w:hint="eastAsia" w:ascii="黑体" w:hAnsi="黑体" w:eastAsia="黑体"/>
          <w:bCs/>
          <w:sz w:val="18"/>
          <w:szCs w:val="18"/>
        </w:rPr>
        <w:t>产品管理人对本产品的理财本金和收益不提供保证承诺，</w:t>
      </w:r>
      <w:r>
        <w:rPr>
          <w:rFonts w:hint="eastAsia" w:ascii="黑体" w:hAnsi="黑体" w:eastAsia="黑体"/>
          <w:sz w:val="18"/>
          <w:szCs w:val="18"/>
        </w:rPr>
        <w:t>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五、【非机构投资者适用】</w:t>
      </w:r>
      <w:r>
        <w:rPr>
          <w:rFonts w:hint="eastAsia" w:ascii="宋体" w:hAnsi="宋体" w:cs="仿宋_GB2312"/>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如影响您风险承受能力的因素发生变化，请您及时重新完成风险承受能力评估。其他类型投资者的风险承受能力评估按照《（代理）销售协议书》约定或销售机构的销售政策执行。</w:t>
      </w:r>
    </w:p>
    <w:p>
      <w:pPr>
        <w:autoSpaceDE w:val="0"/>
        <w:autoSpaceDN w:val="0"/>
        <w:adjustRightInd w:val="0"/>
        <w:ind w:firstLine="420"/>
        <w:jc w:val="left"/>
        <w:rPr>
          <w:rFonts w:ascii="黑体" w:hAnsi="黑体" w:eastAsia="黑体" w:cs="仿宋_GB2312"/>
          <w:kern w:val="0"/>
          <w:sz w:val="18"/>
          <w:szCs w:val="18"/>
        </w:rPr>
      </w:pPr>
      <w:r>
        <w:rPr>
          <w:rFonts w:hint="eastAsia" w:ascii="黑体" w:hAnsi="黑体" w:eastAsia="黑体"/>
          <w:bCs/>
          <w:sz w:val="18"/>
          <w:szCs w:val="18"/>
        </w:rPr>
        <w:t>六、【产品风险评级为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的理财产品适用】当销售机构销售产品风险评级为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w:t>
      </w:r>
      <w:r>
        <w:rPr>
          <w:rFonts w:hint="eastAsia" w:ascii="黑体" w:hAnsi="黑体" w:eastAsia="黑体" w:cs="仿宋_GB2312"/>
          <w:kern w:val="0"/>
          <w:sz w:val="18"/>
          <w:szCs w:val="18"/>
        </w:rPr>
        <w:t>您签署本销售文件即视为您同意销售机构可以通过线上渠道向您销售产品风险评级为R4及以上的理财产品。</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r>
        <w:rPr>
          <w:rFonts w:hint="eastAsia" w:ascii="宋体" w:hAnsi="宋体"/>
          <w:sz w:val="18"/>
          <w:szCs w:val="18"/>
        </w:rPr>
        <w:t>销售机构（</w:t>
      </w:r>
      <w:r>
        <w:rPr>
          <w:rFonts w:hint="eastAsia" w:ascii="宋体" w:hAnsi="宋体"/>
          <w:sz w:val="18"/>
          <w:szCs w:val="18"/>
          <w:lang w:val="en-US" w:eastAsia="zh-CN"/>
        </w:rPr>
        <w:t>福建省农村信用社联合社</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8"/>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8"/>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
      <w:pPr>
        <w:spacing w:line="360" w:lineRule="auto"/>
        <w:jc w:val="left"/>
        <w:rPr>
          <w:rFonts w:hint="eastAsia" w:ascii="宋体" w:hAnsi="宋体"/>
          <w:b/>
          <w:sz w:val="18"/>
          <w:szCs w:val="18"/>
        </w:rPr>
        <w:sectPr>
          <w:headerReference r:id="rId9" w:type="default"/>
          <w:footerReference r:id="rId10" w:type="default"/>
          <w:pgSz w:w="11906" w:h="16838"/>
          <w:pgMar w:top="1440" w:right="1800" w:bottom="1440" w:left="1800" w:header="567" w:footer="964" w:gutter="0"/>
          <w:cols w:space="425" w:num="1"/>
          <w:docGrid w:type="lines" w:linePitch="312" w:charSpace="0"/>
        </w:sectPr>
      </w:pP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（适用于个人投资者）</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宋体" w:hAnsi="宋体"/>
          <w:sz w:val="18"/>
          <w:szCs w:val="18"/>
          <w:lang w:val="en-US" w:eastAsia="zh-CN"/>
        </w:rPr>
        <w:t>福建省农村信用社联合社</w:t>
      </w:r>
      <w:r>
        <w:rPr>
          <w:rFonts w:hint="eastAsia" w:ascii="宋体" w:hAnsi="宋体"/>
          <w:sz w:val="18"/>
          <w:szCs w:val="18"/>
        </w:rPr>
        <w:t>】以(□ 直销：产品管理人销售/</w:t>
      </w:r>
      <w:r>
        <w:rPr>
          <w:rFonts w:hint="eastAsia" w:asciiTheme="majorEastAsia" w:hAnsiTheme="majorEastAsia" w:eastAsiaTheme="majorEastAsia"/>
          <w:bCs/>
          <w:sz w:val="18"/>
          <w:szCs w:val="18"/>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0" w:firstLineChars="200"/>
        <w:rPr>
          <w:rFonts w:ascii="宋体" w:hAnsi="宋体"/>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ind w:firstLine="361" w:firstLineChars="200"/>
        <w:rPr>
          <w:rFonts w:ascii="宋体" w:hAnsi="宋体"/>
          <w:b/>
          <w:sz w:val="18"/>
          <w:szCs w:val="18"/>
        </w:rPr>
      </w:pPr>
      <w:r>
        <w:rPr>
          <w:rFonts w:hint="eastAsia" w:ascii="宋体" w:hAnsi="宋体"/>
          <w:b/>
          <w:sz w:val="18"/>
          <w:szCs w:val="18"/>
        </w:rPr>
        <w:t>二、投资者风险承受能力与产品风险评级</w:t>
      </w:r>
    </w:p>
    <w:p>
      <w:pPr>
        <w:ind w:firstLine="361" w:firstLineChars="200"/>
        <w:rPr>
          <w:rFonts w:ascii="宋体" w:hAnsi="宋体"/>
          <w:b/>
          <w:sz w:val="18"/>
          <w:szCs w:val="18"/>
        </w:rPr>
      </w:pPr>
      <w:r>
        <w:rPr>
          <w:rFonts w:hint="eastAsia" w:ascii="宋体" w:hAnsi="宋体"/>
          <w:b/>
          <w:sz w:val="18"/>
          <w:szCs w:val="18"/>
        </w:rPr>
        <w:t>（一）投资者风险承受能力评估说明</w:t>
      </w:r>
    </w:p>
    <w:p>
      <w:pPr>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黑体" w:hAnsi="黑体" w:eastAsia="黑体"/>
          <w:b/>
          <w:sz w:val="18"/>
          <w:szCs w:val="18"/>
        </w:rPr>
        <w:t>如影响您风险承受能力的因素发生变化，请您及时重新完成风险承受能力评估。</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 xml:space="preserve">. </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w:t>
      </w:r>
      <w:r>
        <w:rPr>
          <w:rFonts w:hint="eastAsia" w:ascii="宋体" w:hAnsi="宋体"/>
          <w:sz w:val="18"/>
          <w:szCs w:val="18"/>
          <w:lang w:val="en-US" w:eastAsia="zh-CN"/>
        </w:rPr>
        <w:t>机构</w:t>
      </w:r>
      <w:r>
        <w:rPr>
          <w:rFonts w:hint="eastAsia" w:ascii="宋体" w:hAnsi="宋体"/>
          <w:sz w:val="18"/>
          <w:szCs w:val="18"/>
        </w:rPr>
        <w:t>投资者由低至高分为【</w:t>
      </w:r>
      <w:r>
        <w:rPr>
          <w:rFonts w:hint="eastAsia" w:ascii="宋体" w:hAnsi="宋体"/>
          <w:sz w:val="18"/>
          <w:szCs w:val="18"/>
          <w:lang w:val="en-US" w:eastAsia="zh-CN"/>
        </w:rPr>
        <w:t>保守型、谨慎型、稳健型、进取型、激进型</w:t>
      </w:r>
      <w:r>
        <w:rPr>
          <w:rFonts w:hint="eastAsia" w:ascii="宋体" w:hAnsi="宋体"/>
          <w:sz w:val="18"/>
          <w:szCs w:val="18"/>
        </w:rPr>
        <w:t>】</w:t>
      </w:r>
      <w:r>
        <w:rPr>
          <w:rFonts w:ascii="宋体" w:hAnsi="宋体"/>
          <w:sz w:val="18"/>
          <w:szCs w:val="18"/>
        </w:rPr>
        <w:t>。其中，</w:t>
      </w:r>
      <w:r>
        <w:rPr>
          <w:rFonts w:hint="eastAsia" w:ascii="宋体" w:hAnsi="宋体"/>
          <w:sz w:val="18"/>
          <w:szCs w:val="18"/>
        </w:rPr>
        <w:t>【</w:t>
      </w:r>
      <w:r>
        <w:rPr>
          <w:rFonts w:hint="eastAsia" w:ascii="宋体" w:hAnsi="宋体"/>
          <w:sz w:val="18"/>
          <w:szCs w:val="18"/>
          <w:lang w:val="en-US" w:eastAsia="zh-CN"/>
        </w:rPr>
        <w:t>保守型</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hint="eastAsia" w:ascii="宋体" w:hAnsi="宋体"/>
          <w:sz w:val="18"/>
          <w:szCs w:val="18"/>
          <w:lang w:val="en-US" w:eastAsia="zh-CN"/>
        </w:rPr>
        <w:t>激进型</w:t>
      </w:r>
      <w:r>
        <w:rPr>
          <w:rFonts w:hint="eastAsia" w:ascii="宋体" w:hAnsi="宋体"/>
          <w:sz w:val="18"/>
          <w:szCs w:val="18"/>
        </w:rPr>
        <w:t>】</w:t>
      </w:r>
      <w:r>
        <w:rPr>
          <w:rFonts w:ascii="宋体" w:hAnsi="宋体"/>
          <w:sz w:val="18"/>
          <w:szCs w:val="18"/>
        </w:rPr>
        <w:t>为风险承受能力最高类别。风险承受能力评级越高适合购买的理财产品风险评级越高，适合购买的理财产品类型越丰富</w:t>
      </w:r>
      <w:r>
        <w:rPr>
          <w:rFonts w:hint="eastAsia" w:ascii="宋体" w:hAnsi="宋体"/>
          <w:sz w:val="18"/>
          <w:szCs w:val="18"/>
        </w:rPr>
        <w:t>，</w:t>
      </w:r>
      <w:r>
        <w:rPr>
          <w:rFonts w:ascii="宋体" w:hAnsi="宋体"/>
          <w:sz w:val="18"/>
          <w:szCs w:val="18"/>
        </w:rPr>
        <w:t>投资者风险承受能力风险评级类型与适合购买的理财产品的对应关系为：</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276"/>
        <w:gridCol w:w="1275"/>
        <w:gridCol w:w="24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风险调查问卷分值</w:t>
            </w:r>
          </w:p>
        </w:tc>
        <w:tc>
          <w:tcPr>
            <w:tcW w:w="1276" w:type="dxa"/>
            <w:vMerge w:val="restart"/>
            <w:tcBorders>
              <w:top w:val="single" w:color="auto" w:sz="4" w:space="0"/>
              <w:left w:val="single" w:color="auto" w:sz="4" w:space="0"/>
              <w:right w:val="single" w:color="auto" w:sz="4" w:space="0"/>
            </w:tcBorders>
            <w:vAlign w:val="center"/>
          </w:tcPr>
          <w:p>
            <w:pPr>
              <w:spacing w:line="0" w:lineRule="atLeas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投资者类型</w:t>
            </w:r>
          </w:p>
        </w:tc>
        <w:tc>
          <w:tcPr>
            <w:tcW w:w="1275"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投资者风险承受等级</w:t>
            </w:r>
          </w:p>
        </w:tc>
        <w:tc>
          <w:tcPr>
            <w:tcW w:w="2410"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风险特征描述</w:t>
            </w:r>
          </w:p>
        </w:tc>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适合理财评级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法人单位</w:t>
            </w:r>
          </w:p>
        </w:tc>
        <w:tc>
          <w:tcPr>
            <w:tcW w:w="1276" w:type="dxa"/>
            <w:vMerge w:val="continue"/>
            <w:tcBorders>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p>
        </w:tc>
        <w:tc>
          <w:tcPr>
            <w:tcW w:w="1275"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c>
          <w:tcPr>
            <w:tcW w:w="2410"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c>
          <w:tcPr>
            <w:tcW w:w="1418"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81－100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86-100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激进型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属于可以承受高风险级别的投资者。适合投资于商品及金融衍生品类产品。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高风险R5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61－80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71-85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进取型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中高风险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属于可以承担较高风险级别的投资者。适合投资于权益类产品。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中高风险R4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36－60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稳健型</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spacing w:line="540" w:lineRule="exact"/>
              <w:contextualSpacing/>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中等风险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属于可以承担中等风险级别的投资者。适合投资于混合类产品。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中等风险R3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31-45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谨慎型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中低风险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属于可以承担较低风险级别的投资者。适合投资于含股权性质或债项评级低于AA+的固定收益类产品。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中低风险R2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小于等于30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保守型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低风险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属于可以承担低风险级别的投资者。适合投资于股权或债项评级高于AA+（含）以上的固定收益类产品。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低风险R1</w:t>
            </w: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sz w:val="18"/>
          <w:szCs w:val="18"/>
        </w:rPr>
      </w:pPr>
      <w:r>
        <w:rPr>
          <w:rFonts w:hint="eastAsia" w:ascii="宋体" w:hAnsi="宋体"/>
          <w:b/>
          <w:sz w:val="18"/>
          <w:szCs w:val="18"/>
        </w:rPr>
        <w:t>四、关于投诉与建议</w:t>
      </w:r>
    </w:p>
    <w:p>
      <w:pPr>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ind w:firstLine="360" w:firstLineChars="200"/>
        <w:rPr>
          <w:rFonts w:ascii="宋体" w:hAnsi="宋体"/>
          <w:sz w:val="18"/>
          <w:szCs w:val="18"/>
        </w:rPr>
      </w:pPr>
      <w:r>
        <w:rPr>
          <w:rFonts w:hint="eastAsia" w:ascii="宋体" w:hAnsi="宋体"/>
          <w:sz w:val="18"/>
          <w:szCs w:val="18"/>
        </w:rPr>
        <w:t>（二）联络方式</w:t>
      </w:r>
      <w:r>
        <w:rPr>
          <w:rFonts w:ascii="宋体" w:hAnsi="宋体"/>
          <w:sz w:val="18"/>
          <w:szCs w:val="18"/>
        </w:rPr>
        <w:t xml:space="preserve"> </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left="357" w:leftChars="170" w:firstLine="0" w:firstLineChars="0"/>
        <w:rPr>
          <w:rFonts w:ascii="宋体" w:hAnsi="宋体"/>
          <w:sz w:val="18"/>
          <w:szCs w:val="18"/>
        </w:rPr>
      </w:pPr>
      <w:r>
        <w:rPr>
          <w:rFonts w:hint="eastAsia" w:ascii="宋体" w:hAnsi="宋体"/>
          <w:sz w:val="18"/>
          <w:szCs w:val="18"/>
        </w:rPr>
        <w:t>3、销售机构：</w:t>
      </w:r>
      <w:r>
        <w:rPr>
          <w:rFonts w:hint="eastAsia" w:asciiTheme="minorEastAsia" w:hAnsiTheme="minorEastAsia" w:eastAsiaTheme="minorEastAsia" w:cstheme="minorEastAsia"/>
          <w:sz w:val="18"/>
          <w:szCs w:val="18"/>
        </w:rPr>
        <w:t>通过【福建省农村信用社联合社】（作为销售服务机构）购买本产品的，请联系【福建</w:t>
      </w:r>
      <w:bookmarkStart w:id="217" w:name="_GoBack"/>
      <w:bookmarkEnd w:id="217"/>
      <w:r>
        <w:rPr>
          <w:rFonts w:hint="eastAsia" w:asciiTheme="minorEastAsia" w:hAnsiTheme="minorEastAsia" w:eastAsiaTheme="minorEastAsia" w:cstheme="minorEastAsia"/>
          <w:sz w:val="18"/>
          <w:szCs w:val="18"/>
        </w:rPr>
        <w:t>省农村信用社联合社】，【福建省农村信用社联合社】客户服务热线：【0591-96336】；【福建省农村信用社联合社】门户网站：【www.fjnx.com.cn】</w:t>
      </w:r>
      <w:r>
        <w:rPr>
          <w:rFonts w:hint="eastAsia" w:asciiTheme="minorEastAsia" w:hAnsiTheme="minorEastAsia" w:eastAsiaTheme="minorEastAsia" w:cstheme="minorEastAsia"/>
          <w:sz w:val="18"/>
          <w:szCs w:val="18"/>
          <w:lang w:eastAsia="zh-CN"/>
        </w:rPr>
        <w:t>。</w:t>
      </w:r>
      <w:r>
        <w:rPr>
          <w:rFonts w:ascii="宋体" w:hAnsi="宋体"/>
          <w:b/>
          <w:sz w:val="28"/>
          <w:szCs w:val="28"/>
        </w:rPr>
        <w:br w:type="page"/>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spacing w:line="280" w:lineRule="atLeast"/>
        <w:jc w:val="center"/>
        <w:rPr>
          <w:rFonts w:hAnsi="宋体"/>
          <w:b/>
          <w:color w:val="auto"/>
          <w:sz w:val="28"/>
          <w:szCs w:val="28"/>
        </w:rPr>
      </w:pPr>
      <w:r>
        <w:rPr>
          <w:rFonts w:hint="eastAsia" w:hAnsi="宋体"/>
          <w:b/>
          <w:color w:val="auto"/>
          <w:sz w:val="28"/>
          <w:szCs w:val="28"/>
        </w:rPr>
        <w:t>（适用于机构投资者：</w:t>
      </w:r>
      <w:r>
        <w:rPr>
          <w:rFonts w:hAnsi="宋体"/>
          <w:b/>
          <w:color w:val="auto"/>
          <w:sz w:val="28"/>
          <w:szCs w:val="28"/>
        </w:rPr>
        <w:t>一般机构客户</w:t>
      </w:r>
      <w:r>
        <w:rPr>
          <w:rFonts w:hint="eastAsia" w:hAnsi="宋体"/>
          <w:b/>
          <w:color w:val="auto"/>
          <w:sz w:val="28"/>
          <w:szCs w:val="28"/>
        </w:rPr>
        <w:t>）</w:t>
      </w:r>
    </w:p>
    <w:p>
      <w:pPr>
        <w:spacing w:line="280" w:lineRule="atLeast"/>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spacing w:line="280" w:lineRule="atLeast"/>
        <w:ind w:firstLine="360" w:firstLineChars="200"/>
        <w:rPr>
          <w:rFonts w:ascii="宋体" w:hAnsi="宋体"/>
          <w:sz w:val="18"/>
          <w:szCs w:val="18"/>
        </w:rPr>
      </w:pPr>
    </w:p>
    <w:p>
      <w:pPr>
        <w:spacing w:line="280" w:lineRule="atLeast"/>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1" w:firstLineChars="200"/>
        <w:rPr>
          <w:rFonts w:ascii="宋体" w:hAnsi="宋体"/>
          <w:b/>
          <w:sz w:val="18"/>
          <w:szCs w:val="18"/>
        </w:rPr>
      </w:pPr>
      <w:r>
        <w:rPr>
          <w:rFonts w:hint="eastAsia" w:ascii="宋体" w:hAnsi="宋体"/>
          <w:b/>
          <w:sz w:val="18"/>
          <w:szCs w:val="18"/>
        </w:rPr>
        <w:t>（一）投资者风险承受能力评估说明</w:t>
      </w:r>
    </w:p>
    <w:p>
      <w:pPr>
        <w:spacing w:line="280" w:lineRule="atLeas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宋体" w:hAnsi="宋体"/>
          <w:b/>
          <w:sz w:val="18"/>
          <w:szCs w:val="18"/>
        </w:rPr>
        <w:t>如影响您风险承受能力的因素发生变化，请您及时重新完成风险承受能力评估。</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投资者风险承受能力，机构投资者由低至高分为【】</w:t>
      </w:r>
      <w:r>
        <w:rPr>
          <w:rFonts w:ascii="宋体" w:hAnsi="宋体"/>
          <w:sz w:val="18"/>
          <w:szCs w:val="18"/>
        </w:rPr>
        <w:t>。其中，</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7"/>
        <w:gridCol w:w="484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spacing w:line="280" w:lineRule="atLeast"/>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spacing w:line="280" w:lineRule="atLeast"/>
        <w:ind w:firstLine="360" w:firstLineChars="200"/>
        <w:rPr>
          <w:rFonts w:asciiTheme="minorEastAsia" w:hAnsiTheme="minorEastAsia"/>
          <w:sz w:val="18"/>
          <w:szCs w:val="18"/>
        </w:rPr>
      </w:pPr>
      <w:r>
        <w:rPr>
          <w:rFonts w:hint="eastAsia" w:asciiTheme="minorEastAsia" w:hAnsiTheme="minorEastAsia"/>
          <w:sz w:val="18"/>
          <w:szCs w:val="18"/>
        </w:rPr>
        <w:t xml:space="preserve"> </w:t>
      </w:r>
      <w:r>
        <w:rPr>
          <w:rFonts w:hint="eastAsia" w:ascii="宋体" w:hAnsi="宋体"/>
          <w:b/>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widowControl/>
        <w:spacing w:line="280" w:lineRule="atLeast"/>
        <w:jc w:val="left"/>
        <w:rPr>
          <w:rFonts w:ascii="宋体" w:hAnsi="宋体"/>
          <w:b/>
          <w:sz w:val="28"/>
          <w:szCs w:val="28"/>
        </w:rPr>
      </w:pPr>
      <w:r>
        <w:rPr>
          <w:rFonts w:ascii="宋体" w:hAnsi="宋体"/>
          <w:b/>
          <w:sz w:val="28"/>
          <w:szCs w:val="28"/>
        </w:rPr>
        <w:br w:type="page"/>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（适用于机构投资者：金融</w:t>
      </w:r>
      <w:r>
        <w:rPr>
          <w:rFonts w:hAnsi="宋体"/>
          <w:b/>
          <w:color w:val="auto"/>
          <w:sz w:val="28"/>
          <w:szCs w:val="28"/>
        </w:rPr>
        <w:t>同业客户</w:t>
      </w:r>
      <w:r>
        <w:rPr>
          <w:rFonts w:hint="eastAsia" w:hAnsi="宋体"/>
          <w:b/>
          <w:color w:val="auto"/>
          <w:sz w:val="28"/>
          <w:szCs w:val="28"/>
        </w:rPr>
        <w:t>）</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1" w:firstLineChars="200"/>
        <w:rPr>
          <w:rFonts w:ascii="宋体" w:hAnsi="宋体"/>
          <w:b/>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0" w:firstLineChars="200"/>
        <w:rPr>
          <w:rFonts w:ascii="宋体" w:hAnsi="宋体"/>
          <w:sz w:val="18"/>
          <w:szCs w:val="18"/>
        </w:rPr>
      </w:pPr>
      <w:r>
        <w:rPr>
          <w:rFonts w:hint="eastAsia" w:ascii="宋体" w:hAnsi="宋体"/>
          <w:sz w:val="18"/>
          <w:szCs w:val="18"/>
        </w:rPr>
        <w:t>鉴于您为金融同业客户，销售机构暂不对您进行风险承受能力评估，请您根据您自身的</w:t>
      </w:r>
      <w:r>
        <w:rPr>
          <w:rFonts w:ascii="宋体" w:hAnsi="宋体"/>
          <w:sz w:val="18"/>
          <w:szCs w:val="18"/>
        </w:rPr>
        <w:t>风险承受能力购买</w:t>
      </w:r>
      <w:r>
        <w:rPr>
          <w:rFonts w:hint="eastAsia" w:ascii="宋体" w:hAnsi="宋体"/>
          <w:sz w:val="18"/>
          <w:szCs w:val="18"/>
        </w:rPr>
        <w:t>产品风险评级适合您的</w:t>
      </w:r>
      <w:r>
        <w:rPr>
          <w:rFonts w:ascii="宋体" w:hAnsi="宋体"/>
          <w:sz w:val="18"/>
          <w:szCs w:val="18"/>
        </w:rPr>
        <w:t>理财产品</w:t>
      </w:r>
      <w:r>
        <w:rPr>
          <w:rFonts w:hint="eastAsia" w:ascii="宋体" w:hAnsi="宋体"/>
          <w:sz w:val="18"/>
          <w:szCs w:val="18"/>
        </w:rPr>
        <w:t>。</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bCs/>
          <w:sz w:val="18"/>
          <w:szCs w:val="18"/>
        </w:rPr>
      </w:pPr>
      <w:r>
        <w:rPr>
          <w:rFonts w:hint="eastAsia" w:ascii="宋体" w:hAnsi="宋体"/>
          <w:b/>
          <w:bCs/>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spacing w:line="360" w:lineRule="auto"/>
        <w:jc w:val="left"/>
        <w:rPr>
          <w:rFonts w:hint="eastAsia" w:ascii="宋体" w:hAnsi="宋体"/>
          <w:b/>
          <w:sz w:val="18"/>
          <w:szCs w:val="18"/>
        </w:rPr>
      </w:pPr>
    </w:p>
    <w:sectPr>
      <w:headerReference r:id="rId11" w:type="default"/>
      <w:footerReference r:id="rId12" w:type="default"/>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925579"/>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15</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442659"/>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6125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2528"/>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b/>
      </w:rPr>
    </w:pPr>
    <w:r>
      <w:rPr>
        <w:rFonts w:hint="eastAsia" w:ascii="Times New Roman" w:hAnsi="Times New Roman" w:cs="Times New Roman"/>
        <w:b/>
        <w:szCs w:val="20"/>
      </w:rPr>
      <w:t xml:space="preserve"> </w:t>
    </w:r>
    <w:r>
      <w:rPr>
        <w:rFonts w:hint="eastAsia" w:ascii="Times New Roman" w:hAnsi="Times New Roman"/>
        <w:b/>
      </w:rPr>
      <w:t>产品说明书</w:t>
    </w:r>
  </w:p>
  <w:p>
    <w:pPr>
      <w:pStyle w:val="4"/>
      <w:jc w:val="right"/>
      <w:rPr>
        <w:rFonts w:ascii="Times New Roman" w:hAnsi="Times New Roman"/>
        <w:b/>
      </w:rPr>
    </w:pPr>
    <w:r>
      <w:rPr>
        <w:rFonts w:hint="eastAsia" w:ascii="Times New Roman" w:hAnsi="Times New Roman"/>
        <w:b/>
      </w:rPr>
      <w:t>注：本文件由兴银理财有限责任公司统一编制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rPr>
      <w:t xml:space="preserve">                             </w:t>
    </w:r>
    <w:r>
      <w:t xml:space="preserve">    </w:t>
    </w:r>
    <w:r>
      <w:rPr>
        <w:rFonts w:hint="eastAsia"/>
      </w:rPr>
      <w:t xml:space="preserve"> </w:t>
    </w:r>
    <w:r>
      <w:t xml:space="preserve">                    </w:t>
    </w:r>
    <w:r>
      <w:rPr>
        <w:rFonts w:hint="eastAsia" w:ascii="Times New Roman" w:hAnsi="Times New Roman" w:eastAsia="宋体" w:cs="Times New Roman"/>
        <w:b/>
        <w:szCs w:val="20"/>
      </w:rPr>
      <w:t>（代理）销售协议书</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风险揭示书</w:t>
    </w:r>
  </w:p>
  <w:p>
    <w:pPr>
      <w:pStyle w:val="4"/>
      <w:jc w:val="right"/>
      <w:rPr>
        <w:rFonts w:ascii="Times New Roman" w:hAnsi="Times New Roman" w:eastAsia="宋体" w:cs="Times New Roman"/>
        <w:b/>
        <w:szCs w:val="20"/>
      </w:rPr>
    </w:pPr>
    <w:r>
      <w:rPr>
        <w:rFonts w:ascii="Times New Roman" w:hAnsi="Times New Roman" w:eastAsia="宋体" w:cs="Times New Roman"/>
        <w:b/>
        <w:szCs w:val="20"/>
      </w:rPr>
      <w:t>注</w:t>
    </w:r>
    <w:r>
      <w:rPr>
        <w:rFonts w:hint="eastAsia" w:ascii="Times New Roman" w:hAnsi="Times New Roman" w:eastAsia="宋体" w:cs="Times New Roman"/>
        <w:b/>
        <w:szCs w:val="20"/>
      </w:rPr>
      <w:t>：</w:t>
    </w:r>
    <w:r>
      <w:rPr>
        <w:rFonts w:ascii="Times New Roman" w:hAnsi="Times New Roman" w:eastAsia="宋体" w:cs="Times New Roman"/>
        <w:b/>
        <w:szCs w:val="20"/>
      </w:rPr>
      <w:t>本文件由兴银理财有限责任公司统一编制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投资者权益须知</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E2D94"/>
    <w:rsid w:val="751E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paragraph" w:styleId="5">
    <w:name w:val="toc 1"/>
    <w:basedOn w:val="1"/>
    <w:next w:val="1"/>
    <w:qFormat/>
    <w:uiPriority w:val="39"/>
    <w:pPr>
      <w:tabs>
        <w:tab w:val="right" w:leader="dot" w:pos="8296"/>
      </w:tabs>
      <w:spacing w:line="360" w:lineRule="auto"/>
    </w:p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0"/>
    <w:pPr>
      <w:ind w:firstLine="420" w:firstLineChars="200"/>
    </w:p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2024-03-29T06:41:00Z</dcterms:created>
  <dc:creator>cib</dc:creator>
  <cp:lastModifiedBy>黄立杰</cp:lastModifiedBy>
  <dcterms:modified xsi:type="dcterms:W3CDTF">2024-04-01T09:56:35Z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2052-11.8.2.10164</vt:lpwstr>
  </property>
</Properties>
</file>