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widowControl/>
        <w:spacing w:line="360" w:lineRule="auto"/>
        <w:jc w:val="center"/>
        <w:rPr>
          <w:rFonts w:ascii="黑体" w:hAnsi="黑体" w:eastAsia="黑体"/>
          <w:b/>
          <w:sz w:val="44"/>
          <w:szCs w:val="44"/>
        </w:rPr>
      </w:pPr>
      <w:r>
        <w:rPr>
          <w:rFonts w:hint="eastAsia" w:ascii="黑体" w:hAnsi="黑体" w:eastAsia="黑体"/>
          <w:b/>
          <w:sz w:val="44"/>
          <w:szCs w:val="44"/>
        </w:rPr>
        <w:t>兴银理财【稳利安盈封闭式】理财产品</w:t>
      </w:r>
    </w:p>
    <w:p>
      <w:pPr>
        <w:widowControl/>
        <w:spacing w:line="360" w:lineRule="auto"/>
        <w:jc w:val="center"/>
        <w:rPr>
          <w:b/>
          <w:szCs w:val="21"/>
        </w:rPr>
      </w:pPr>
      <w:r>
        <w:rPr>
          <w:rFonts w:hint="eastAsia" w:ascii="黑体" w:hAnsi="黑体" w:eastAsia="黑体"/>
          <w:b/>
          <w:sz w:val="44"/>
          <w:szCs w:val="44"/>
        </w:rPr>
        <w:t>销售文件</w:t>
      </w:r>
    </w:p>
    <w:tbl>
      <w:tblPr>
        <w:tblStyle w:val="8"/>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812"/>
        <w:gridCol w:w="198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812" w:type="dxa"/>
          </w:tcPr>
          <w:p>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1984" w:type="dxa"/>
          </w:tcPr>
          <w:p>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12"/>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812" w:type="dxa"/>
          </w:tcPr>
          <w:p>
            <w:pPr>
              <w:widowControl/>
              <w:spacing w:line="360" w:lineRule="auto"/>
              <w:rPr>
                <w:rFonts w:ascii="宋体" w:hAnsi="宋体"/>
                <w:szCs w:val="21"/>
              </w:rPr>
            </w:pPr>
            <w:r>
              <w:rPr>
                <w:rFonts w:hint="eastAsia" w:ascii="宋体" w:hAnsi="宋体"/>
                <w:kern w:val="0"/>
                <w:sz w:val="20"/>
                <w:szCs w:val="21"/>
              </w:rPr>
              <w:t>兴银理财【稳利安盈封闭式】理财产品投资协议书</w:t>
            </w:r>
            <w:r>
              <w:rPr>
                <w:rFonts w:ascii="宋体" w:hAnsi="宋体"/>
                <w:kern w:val="0"/>
                <w:sz w:val="20"/>
                <w:szCs w:val="21"/>
              </w:rPr>
              <w:t xml:space="preserve"> </w:t>
            </w:r>
          </w:p>
        </w:tc>
        <w:tc>
          <w:tcPr>
            <w:tcW w:w="1984" w:type="dxa"/>
          </w:tcPr>
          <w:p>
            <w:pPr>
              <w:widowControl/>
              <w:spacing w:line="360" w:lineRule="auto"/>
              <w:jc w:val="center"/>
              <w:rPr>
                <w:rFonts w:ascii="宋体" w:hAnsi="宋体"/>
                <w:kern w:val="0"/>
                <w:szCs w:val="21"/>
              </w:rPr>
            </w:pPr>
            <w:r>
              <w:rPr>
                <w:rFonts w:hint="eastAsia" w:ascii="宋体" w:hAnsi="宋体"/>
                <w:kern w:val="0"/>
                <w:sz w:val="20"/>
                <w:szCs w:val="21"/>
              </w:rPr>
              <w:t>投资协议书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pPr>
              <w:pStyle w:val="12"/>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812" w:type="dxa"/>
          </w:tcPr>
          <w:p>
            <w:pPr>
              <w:widowControl/>
              <w:spacing w:line="360" w:lineRule="auto"/>
              <w:rPr>
                <w:rFonts w:ascii="宋体" w:hAnsi="宋体"/>
                <w:szCs w:val="21"/>
              </w:rPr>
            </w:pPr>
            <w:r>
              <w:rPr>
                <w:rFonts w:hint="eastAsia" w:ascii="宋体" w:hAnsi="宋体"/>
                <w:kern w:val="0"/>
                <w:sz w:val="20"/>
                <w:szCs w:val="21"/>
              </w:rPr>
              <w:t>兴银理财【稳利安盈封闭式】理财产品产品说明书</w:t>
            </w:r>
          </w:p>
        </w:tc>
        <w:tc>
          <w:tcPr>
            <w:tcW w:w="1984" w:type="dxa"/>
          </w:tcPr>
          <w:p>
            <w:pPr>
              <w:pStyle w:val="12"/>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12"/>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3</w:t>
            </w:r>
          </w:p>
        </w:tc>
        <w:tc>
          <w:tcPr>
            <w:tcW w:w="5812" w:type="dxa"/>
          </w:tcPr>
          <w:p>
            <w:pPr>
              <w:widowControl/>
              <w:spacing w:line="360" w:lineRule="auto"/>
              <w:rPr>
                <w:rFonts w:ascii="宋体" w:hAnsi="宋体"/>
                <w:kern w:val="0"/>
                <w:sz w:val="20"/>
                <w:szCs w:val="21"/>
              </w:rPr>
            </w:pPr>
            <w:r>
              <w:rPr>
                <w:rFonts w:hint="eastAsia" w:ascii="宋体" w:hAnsi="宋体"/>
                <w:kern w:val="0"/>
                <w:sz w:val="20"/>
                <w:szCs w:val="21"/>
              </w:rPr>
              <w:t>兴银理财【稳利安盈封闭式】理财产品（代理）销售协议书</w:t>
            </w:r>
          </w:p>
        </w:tc>
        <w:tc>
          <w:tcPr>
            <w:tcW w:w="1984" w:type="dxa"/>
          </w:tcPr>
          <w:p>
            <w:pPr>
              <w:pStyle w:val="12"/>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12"/>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812" w:type="dxa"/>
          </w:tcPr>
          <w:p>
            <w:pPr>
              <w:widowControl/>
              <w:spacing w:line="360" w:lineRule="auto"/>
              <w:rPr>
                <w:rFonts w:ascii="宋体" w:hAnsi="宋体"/>
                <w:szCs w:val="21"/>
              </w:rPr>
            </w:pPr>
            <w:r>
              <w:rPr>
                <w:rFonts w:hint="eastAsia" w:ascii="宋体" w:hAnsi="宋体"/>
                <w:kern w:val="0"/>
                <w:sz w:val="20"/>
                <w:szCs w:val="21"/>
              </w:rPr>
              <w:t>兴银理财【稳利安盈封闭式】理财产品风险揭示书</w:t>
            </w:r>
          </w:p>
        </w:tc>
        <w:tc>
          <w:tcPr>
            <w:tcW w:w="1984" w:type="dxa"/>
          </w:tcPr>
          <w:p>
            <w:pPr>
              <w:widowControl/>
              <w:spacing w:line="360" w:lineRule="auto"/>
              <w:jc w:val="center"/>
              <w:rPr>
                <w:rFonts w:ascii="宋体" w:hAnsi="宋体"/>
                <w:kern w:val="0"/>
                <w:szCs w:val="21"/>
              </w:rPr>
            </w:pPr>
            <w:r>
              <w:rPr>
                <w:rFonts w:hint="eastAsia" w:ascii="宋体" w:hAnsi="宋体"/>
                <w:kern w:val="0"/>
                <w:sz w:val="20"/>
                <w:szCs w:val="21"/>
              </w:rPr>
              <w:t>风险揭示书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pPr>
              <w:pStyle w:val="12"/>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812" w:type="dxa"/>
          </w:tcPr>
          <w:p>
            <w:pPr>
              <w:widowControl/>
              <w:spacing w:line="360" w:lineRule="auto"/>
              <w:rPr>
                <w:rFonts w:ascii="宋体" w:hAnsi="宋体"/>
                <w:kern w:val="0"/>
                <w:sz w:val="20"/>
                <w:szCs w:val="21"/>
              </w:rPr>
            </w:pPr>
            <w:r>
              <w:rPr>
                <w:rFonts w:hint="eastAsia" w:ascii="宋体" w:hAnsi="宋体"/>
                <w:kern w:val="0"/>
                <w:sz w:val="20"/>
                <w:szCs w:val="21"/>
              </w:rPr>
              <w:t>兴银理财【稳利安盈封闭式】理财产品投资者权益须知</w:t>
            </w:r>
          </w:p>
        </w:tc>
        <w:tc>
          <w:tcPr>
            <w:tcW w:w="1984" w:type="dxa"/>
          </w:tcPr>
          <w:p>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pPr>
        <w:widowControl/>
        <w:spacing w:line="360" w:lineRule="auto"/>
        <w:jc w:val="left"/>
        <w:rPr>
          <w:rFonts w:ascii="黑体" w:hAnsi="黑体" w:eastAsia="黑体"/>
          <w:b/>
          <w:szCs w:val="21"/>
        </w:rPr>
      </w:pPr>
      <w:r>
        <w:rPr>
          <w:rFonts w:hint="eastAsia" w:ascii="黑体" w:hAnsi="黑体" w:eastAsia="黑体"/>
          <w:b/>
          <w:szCs w:val="21"/>
        </w:rPr>
        <w:t>郑重提示：</w:t>
      </w:r>
    </w:p>
    <w:p>
      <w:pPr>
        <w:pStyle w:val="12"/>
        <w:widowControl/>
        <w:snapToGrid w:val="0"/>
        <w:spacing w:line="360" w:lineRule="auto"/>
        <w:rPr>
          <w:rFonts w:ascii="黑体" w:hAnsi="黑体" w:eastAsia="黑体"/>
          <w:kern w:val="0"/>
          <w:szCs w:val="21"/>
        </w:rPr>
      </w:pPr>
      <w:r>
        <w:rPr>
          <w:rFonts w:hint="eastAsia" w:ascii="黑体" w:hAnsi="黑体" w:eastAsia="黑体"/>
          <w:kern w:val="0"/>
          <w:szCs w:val="21"/>
        </w:rPr>
        <w:t>1.销售文件的组成和编制的提示</w:t>
      </w:r>
    </w:p>
    <w:p>
      <w:pPr>
        <w:pStyle w:val="12"/>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pPr>
        <w:pStyle w:val="12"/>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w:t>
      </w:r>
      <w:r>
        <w:rPr>
          <w:rFonts w:hint="eastAsia" w:ascii="黑体" w:hAnsi="黑体" w:eastAsia="黑体"/>
          <w:kern w:val="0"/>
          <w:szCs w:val="21"/>
        </w:rPr>
        <w:t>2</w:t>
      </w:r>
      <w:r>
        <w:rPr>
          <w:rFonts w:ascii="黑体" w:hAnsi="黑体" w:eastAsia="黑体"/>
          <w:kern w:val="0"/>
          <w:szCs w:val="21"/>
        </w:rPr>
        <w:t>021年第</w:t>
      </w:r>
      <w:r>
        <w:rPr>
          <w:rFonts w:hint="eastAsia" w:ascii="黑体" w:hAnsi="黑体" w:eastAsia="黑体"/>
          <w:kern w:val="0"/>
          <w:szCs w:val="21"/>
        </w:rPr>
        <w:t>4号）第2</w:t>
      </w:r>
      <w:r>
        <w:rPr>
          <w:rFonts w:ascii="黑体" w:hAnsi="黑体" w:eastAsia="黑体"/>
          <w:kern w:val="0"/>
          <w:szCs w:val="21"/>
        </w:rPr>
        <w:t>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pPr>
        <w:pStyle w:val="12"/>
        <w:widowControl/>
        <w:snapToGrid w:val="0"/>
        <w:spacing w:line="360" w:lineRule="auto"/>
        <w:rPr>
          <w:rFonts w:ascii="黑体" w:hAnsi="黑体" w:eastAsia="黑体"/>
          <w:kern w:val="0"/>
          <w:szCs w:val="21"/>
        </w:rPr>
      </w:pPr>
      <w:r>
        <w:rPr>
          <w:rFonts w:hint="eastAsia" w:ascii="黑体" w:hAnsi="黑体" w:eastAsia="黑体"/>
          <w:kern w:val="0"/>
          <w:szCs w:val="21"/>
        </w:rPr>
        <w:t>2.投资者适当性的提示</w:t>
      </w:r>
    </w:p>
    <w:p>
      <w:pPr>
        <w:pStyle w:val="12"/>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12"/>
        <w:widowControl/>
        <w:snapToGrid w:val="0"/>
        <w:spacing w:line="360" w:lineRule="auto"/>
        <w:rPr>
          <w:rFonts w:ascii="黑体" w:hAnsi="黑体" w:eastAsia="黑体"/>
          <w:kern w:val="0"/>
          <w:szCs w:val="21"/>
        </w:rPr>
      </w:pPr>
      <w:r>
        <w:rPr>
          <w:rFonts w:ascii="黑体" w:hAnsi="黑体" w:eastAsia="黑体"/>
          <w:kern w:val="0"/>
          <w:szCs w:val="21"/>
        </w:rPr>
        <w:t>3</w:t>
      </w:r>
      <w:r>
        <w:rPr>
          <w:rFonts w:hint="eastAsia" w:ascii="黑体" w:hAnsi="黑体" w:eastAsia="黑体"/>
          <w:kern w:val="0"/>
          <w:szCs w:val="21"/>
        </w:rPr>
        <w:t>.</w:t>
      </w:r>
      <w:r>
        <w:rPr>
          <w:rFonts w:ascii="黑体" w:hAnsi="黑体" w:eastAsia="黑体"/>
          <w:kern w:val="0"/>
          <w:szCs w:val="21"/>
        </w:rPr>
        <w:t>签署合同</w:t>
      </w:r>
      <w:r>
        <w:rPr>
          <w:rFonts w:hint="eastAsia" w:ascii="黑体" w:hAnsi="黑体" w:eastAsia="黑体"/>
          <w:kern w:val="0"/>
          <w:szCs w:val="21"/>
        </w:rPr>
        <w:t>前</w:t>
      </w:r>
      <w:r>
        <w:rPr>
          <w:rFonts w:ascii="黑体" w:hAnsi="黑体" w:eastAsia="黑体"/>
          <w:kern w:val="0"/>
          <w:szCs w:val="21"/>
        </w:rPr>
        <w:t>阅读全部条款的提示</w:t>
      </w:r>
    </w:p>
    <w:p>
      <w:pPr>
        <w:widowControl/>
        <w:snapToGrid w:val="0"/>
        <w:spacing w:line="360" w:lineRule="auto"/>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pPr>
        <w:tabs>
          <w:tab w:val="left" w:pos="6660"/>
        </w:tabs>
        <w:spacing w:line="360" w:lineRule="auto"/>
        <w:jc w:val="center"/>
        <w:rPr>
          <w:rFonts w:ascii="黑体" w:hAnsi="黑体" w:eastAsia="黑体"/>
          <w:kern w:val="0"/>
          <w:szCs w:val="21"/>
        </w:rPr>
      </w:pPr>
    </w:p>
    <w:p>
      <w:pPr>
        <w:tabs>
          <w:tab w:val="left" w:pos="6660"/>
        </w:tabs>
        <w:spacing w:line="360" w:lineRule="auto"/>
        <w:jc w:val="center"/>
        <w:rPr>
          <w:bCs/>
          <w:sz w:val="44"/>
        </w:rPr>
      </w:pPr>
    </w:p>
    <w:p>
      <w:pPr>
        <w:widowControl/>
        <w:spacing w:line="360" w:lineRule="auto"/>
        <w:jc w:val="center"/>
        <w:rPr>
          <w:rStyle w:val="10"/>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spacing w:line="360" w:lineRule="auto"/>
        <w:jc w:val="center"/>
        <w:rPr>
          <w:b/>
          <w:sz w:val="52"/>
        </w:rPr>
      </w:pPr>
    </w:p>
    <w:p>
      <w:pPr>
        <w:adjustRightInd w:val="0"/>
        <w:spacing w:line="360" w:lineRule="auto"/>
        <w:jc w:val="center"/>
        <w:rPr>
          <w:rStyle w:val="10"/>
          <w:rFonts w:ascii="黑体" w:hAnsi="黑体" w:eastAsia="黑体" w:cs="宋体"/>
          <w:sz w:val="44"/>
          <w:szCs w:val="44"/>
        </w:rPr>
      </w:pPr>
      <w:r>
        <w:rPr>
          <w:rStyle w:val="10"/>
          <w:rFonts w:hint="eastAsia" w:ascii="黑体" w:hAnsi="黑体" w:eastAsia="黑体" w:cs="宋体"/>
          <w:sz w:val="44"/>
          <w:szCs w:val="44"/>
        </w:rPr>
        <w:t>兴银理财【稳利安盈封闭式】理财产品</w:t>
      </w:r>
    </w:p>
    <w:p>
      <w:pPr>
        <w:adjustRightInd w:val="0"/>
        <w:spacing w:line="360" w:lineRule="auto"/>
        <w:jc w:val="center"/>
        <w:rPr>
          <w:rStyle w:val="10"/>
          <w:rFonts w:ascii="黑体" w:hAnsi="黑体" w:eastAsia="黑体" w:cs="宋体"/>
          <w:sz w:val="44"/>
          <w:szCs w:val="44"/>
        </w:rPr>
      </w:pPr>
      <w:r>
        <w:rPr>
          <w:rStyle w:val="10"/>
          <w:rFonts w:hint="eastAsia" w:ascii="黑体" w:hAnsi="黑体" w:eastAsia="黑体" w:cs="宋体"/>
          <w:sz w:val="44"/>
          <w:szCs w:val="44"/>
        </w:rPr>
        <w:t>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rPr>
      </w:pPr>
      <w:r>
        <w:rPr>
          <w:rFonts w:hint="eastAsia" w:ascii="黑体" w:hAnsi="黑体" w:eastAsia="黑体"/>
          <w:b/>
          <w:sz w:val="28"/>
          <w:szCs w:val="28"/>
        </w:rPr>
        <w:t>协议编号：</w:t>
      </w:r>
    </w:p>
    <w:p>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rPr>
          <w:rStyle w:val="10"/>
          <w:rFonts w:ascii="宋体" w:hAnsi="宋体"/>
          <w:sz w:val="28"/>
          <w:szCs w:val="28"/>
        </w:rPr>
      </w:pPr>
      <w:bookmarkStart w:id="0" w:name="_Toc139991726"/>
      <w:bookmarkStart w:id="1" w:name="_Toc139992301"/>
      <w:bookmarkStart w:id="2" w:name="_Toc123112263"/>
      <w:bookmarkStart w:id="3" w:name="_Toc123112224"/>
      <w:bookmarkStart w:id="4" w:name="_Toc123701383"/>
      <w:r>
        <w:rPr>
          <w:rStyle w:val="10"/>
          <w:rFonts w:hint="eastAsia" w:ascii="宋体" w:hAnsi="宋体"/>
          <w:sz w:val="28"/>
          <w:szCs w:val="28"/>
        </w:rPr>
        <w:t>理财产品管理人：</w:t>
      </w:r>
      <w:bookmarkEnd w:id="0"/>
      <w:bookmarkEnd w:id="1"/>
      <w:bookmarkEnd w:id="2"/>
      <w:bookmarkEnd w:id="3"/>
      <w:bookmarkEnd w:id="4"/>
      <w:r>
        <w:rPr>
          <w:rStyle w:val="10"/>
          <w:rFonts w:hint="eastAsia" w:ascii="宋体" w:hAnsi="宋体"/>
          <w:sz w:val="28"/>
          <w:szCs w:val="28"/>
        </w:rPr>
        <w:t>兴银理财有限责任公司</w:t>
      </w:r>
    </w:p>
    <w:p>
      <w:pPr>
        <w:adjustRightInd w:val="0"/>
        <w:spacing w:line="360" w:lineRule="auto"/>
        <w:jc w:val="center"/>
        <w:rPr>
          <w:rStyle w:val="10"/>
          <w:rFonts w:ascii="黑体" w:hAnsi="黑体" w:eastAsia="黑体" w:cs="宋体"/>
          <w:sz w:val="28"/>
          <w:szCs w:val="28"/>
        </w:rPr>
      </w:pPr>
    </w:p>
    <w:p>
      <w:pPr>
        <w:adjustRightInd w:val="0"/>
        <w:spacing w:line="360" w:lineRule="auto"/>
        <w:jc w:val="center"/>
        <w:rPr>
          <w:rStyle w:val="10"/>
          <w:rFonts w:ascii="宋体" w:hAnsi="宋体"/>
          <w:sz w:val="28"/>
          <w:szCs w:val="28"/>
        </w:rPr>
      </w:pPr>
      <w:r>
        <w:rPr>
          <w:rStyle w:val="10"/>
          <w:rFonts w:hint="eastAsia" w:ascii="宋体" w:hAnsi="宋体"/>
          <w:sz w:val="28"/>
          <w:szCs w:val="28"/>
        </w:rPr>
        <w:t>日期</w:t>
      </w:r>
      <w:r>
        <w:rPr>
          <w:rStyle w:val="10"/>
          <w:rFonts w:ascii="宋体" w:hAnsi="宋体"/>
          <w:sz w:val="28"/>
          <w:szCs w:val="28"/>
        </w:rPr>
        <w:t>：</w:t>
      </w:r>
      <w:r>
        <w:rPr>
          <w:rStyle w:val="10"/>
          <w:rFonts w:hint="eastAsia" w:ascii="宋体" w:hAnsi="宋体"/>
          <w:sz w:val="28"/>
          <w:szCs w:val="28"/>
        </w:rPr>
        <w:t>【</w:t>
      </w:r>
      <w:r>
        <w:rPr>
          <w:rStyle w:val="10"/>
          <w:rFonts w:ascii="宋体" w:hAnsi="宋体"/>
          <w:sz w:val="28"/>
          <w:szCs w:val="28"/>
        </w:rPr>
        <w:t xml:space="preserve"> 2024</w:t>
      </w:r>
      <w:r>
        <w:rPr>
          <w:rStyle w:val="10"/>
          <w:rFonts w:hint="eastAsia" w:ascii="宋体" w:hAnsi="宋体"/>
          <w:sz w:val="28"/>
          <w:szCs w:val="28"/>
        </w:rPr>
        <w:t>】年【</w:t>
      </w:r>
      <w:r>
        <w:rPr>
          <w:rStyle w:val="10"/>
          <w:rFonts w:ascii="宋体" w:hAnsi="宋体"/>
          <w:sz w:val="28"/>
          <w:szCs w:val="28"/>
        </w:rPr>
        <w:t>03</w:t>
      </w:r>
      <w:r>
        <w:rPr>
          <w:rStyle w:val="10"/>
          <w:rFonts w:hint="eastAsia" w:ascii="宋体" w:hAnsi="宋体"/>
          <w:sz w:val="28"/>
          <w:szCs w:val="28"/>
        </w:rPr>
        <w:t>】月</w:t>
      </w:r>
    </w:p>
    <w:p>
      <w:pPr>
        <w:tabs>
          <w:tab w:val="left" w:pos="8070"/>
          <w:tab w:val="right" w:pos="8306"/>
        </w:tabs>
        <w:autoSpaceDE w:val="0"/>
        <w:autoSpaceDN w:val="0"/>
        <w:adjustRightInd w:val="0"/>
        <w:snapToGrid w:val="0"/>
        <w:spacing w:before="156" w:beforeLines="50" w:line="360" w:lineRule="auto"/>
        <w:rPr>
          <w:bCs/>
          <w:sz w:val="32"/>
        </w:rPr>
      </w:pP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6"/>
              <w:snapToGrid w:val="0"/>
              <w:spacing w:before="0" w:beforeAutospacing="0" w:after="0" w:afterAutospacing="0" w:line="360" w:lineRule="auto"/>
              <w:jc w:val="both"/>
              <w:rPr>
                <w:rFonts w:ascii="黑体" w:hAnsi="黑体" w:eastAsia="黑体"/>
                <w:bCs/>
                <w:sz w:val="18"/>
                <w:szCs w:val="18"/>
              </w:rPr>
            </w:pP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理财产品过往业绩不代表其未来表现，不等于理财产品实际受益，投资须谨慎。</w:t>
            </w:r>
          </w:p>
          <w:p>
            <w:pPr>
              <w:pStyle w:val="6"/>
              <w:snapToGrid w:val="0"/>
              <w:spacing w:before="0" w:beforeAutospacing="0" w:after="0" w:afterAutospacing="0" w:line="360" w:lineRule="auto"/>
              <w:jc w:val="both"/>
              <w:rPr>
                <w:rFonts w:ascii="黑体" w:hAnsi="黑体" w:eastAsia="黑体"/>
                <w:bCs/>
                <w:sz w:val="18"/>
                <w:szCs w:val="18"/>
              </w:rPr>
            </w:pPr>
          </w:p>
          <w:p>
            <w:pPr>
              <w:pStyle w:val="6"/>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pPr>
              <w:pStyle w:val="6"/>
              <w:snapToGrid w:val="0"/>
              <w:spacing w:before="0" w:beforeAutospacing="0" w:after="0" w:afterAutospacing="0" w:line="360" w:lineRule="auto"/>
              <w:jc w:val="both"/>
              <w:rPr>
                <w:rFonts w:ascii="黑体" w:hAnsi="黑体" w:eastAsia="黑体"/>
                <w:bCs/>
                <w:sz w:val="18"/>
                <w:szCs w:val="18"/>
              </w:rPr>
            </w:pP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6"/>
              <w:snapToGrid w:val="0"/>
              <w:spacing w:before="0" w:beforeAutospacing="0" w:after="0" w:afterAutospacing="0" w:line="360" w:lineRule="auto"/>
              <w:jc w:val="both"/>
              <w:rPr>
                <w:rFonts w:ascii="黑体" w:hAnsi="黑体" w:eastAsia="黑体"/>
                <w:bCs/>
                <w:sz w:val="18"/>
                <w:szCs w:val="18"/>
              </w:rPr>
            </w:pP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（1）情形1：所有销售文件都由产品管理人统一编制。其中，《投资协议书》、《产品说明书》、《（代理）销售协议书》、《风险揭示书》、《投资者权益须知》等销售文件均由产品管理人统一编制。</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机构进行编制。其中，《投资协议书》和《产品说明书》由产品管理人统一编制；《（代理）销售协议书》、《风险揭示书》、《投资者权益须知》等销售文件，此等销售文件中的之一或之二或全部，由于代理销售机构的需求而由理财公司委托代理销售机构进行编制。</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6"/>
              <w:snapToGrid w:val="0"/>
              <w:spacing w:before="0" w:beforeAutospacing="0" w:after="0" w:afterAutospacing="0" w:line="360" w:lineRule="auto"/>
              <w:jc w:val="both"/>
              <w:rPr>
                <w:rFonts w:ascii="黑体" w:hAnsi="黑体" w:eastAsia="黑体"/>
                <w:bCs/>
                <w:sz w:val="18"/>
                <w:szCs w:val="18"/>
              </w:rPr>
            </w:pP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pPr>
              <w:pStyle w:val="6"/>
              <w:snapToGrid w:val="0"/>
              <w:spacing w:before="0" w:beforeAutospacing="0" w:after="0" w:afterAutospacing="0" w:line="360" w:lineRule="auto"/>
              <w:jc w:val="both"/>
              <w:rPr>
                <w:rFonts w:ascii="黑体" w:hAnsi="黑体" w:eastAsia="黑体"/>
                <w:bCs/>
                <w:sz w:val="18"/>
                <w:szCs w:val="18"/>
              </w:rPr>
            </w:pPr>
          </w:p>
          <w:p>
            <w:pPr>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6"/>
              <w:snapToGrid w:val="0"/>
              <w:spacing w:before="0" w:beforeAutospacing="0" w:after="0" w:afterAutospacing="0"/>
              <w:jc w:val="both"/>
              <w:rPr>
                <w:rFonts w:ascii="黑体" w:hAnsi="黑体" w:eastAsia="黑体"/>
                <w:bCs/>
                <w:sz w:val="18"/>
                <w:szCs w:val="18"/>
              </w:rPr>
            </w:pPr>
          </w:p>
          <w:p>
            <w:pPr>
              <w:pStyle w:val="6"/>
              <w:numPr>
                <w:ilvl w:val="255"/>
                <w:numId w:val="0"/>
              </w:numPr>
              <w:snapToGrid w:val="0"/>
              <w:spacing w:before="0" w:beforeAutospacing="0" w:after="0" w:afterAutospacing="0"/>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pPr>
              <w:tabs>
                <w:tab w:val="left" w:pos="8070"/>
                <w:tab w:val="right" w:pos="8306"/>
              </w:tabs>
              <w:autoSpaceDE w:val="0"/>
              <w:autoSpaceDN w:val="0"/>
              <w:adjustRightInd w:val="0"/>
              <w:snapToGrid w:val="0"/>
              <w:spacing w:before="156" w:beforeLines="50"/>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请向产品管理人或销售机构咨询。</w:t>
            </w:r>
          </w:p>
        </w:tc>
      </w:tr>
    </w:tbl>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5" w:name="_Toc123112266"/>
      <w:bookmarkStart w:id="6" w:name="_Toc139991729"/>
      <w:bookmarkStart w:id="7" w:name="_Toc123701386"/>
      <w:bookmarkStart w:id="8" w:name="_Toc123112227"/>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7"/>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pStyle w:val="4"/>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本公司系根据原中国银保监会（现国家金融监督管理总局）批准设立的由兴业银行股份有限公司全资控股的银行理财子公司。公司名称：中文为“兴银理财有限责任公司”；英文：“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。公司成立于</w:t>
            </w:r>
            <w:r>
              <w:rPr>
                <w:rFonts w:ascii="宋体" w:hAnsi="宋体"/>
                <w:bCs/>
                <w:sz w:val="18"/>
                <w:szCs w:val="18"/>
              </w:rPr>
              <w:t>2019年12月，公司注册资本为50亿元人民币，全部由兴业银行股份有限公司以货币资金认购并一次性足额缴纳。公司注册地为福建省福州市。公司主要</w:t>
            </w:r>
            <w:r>
              <w:rPr>
                <w:rFonts w:hint="eastAsia" w:ascii="宋体" w:hAnsi="宋体"/>
                <w:bCs/>
                <w:sz w:val="18"/>
                <w:szCs w:val="18"/>
              </w:rPr>
              <w:t>业务范围为：面向不特定社会公众公开发行理财产品，对受托的投资和财产进行投资和管理；面向合格投资者非公开发行理财产品，对受托的投资和财产进行投资和管理；理财顾问和咨询服务；经监管部门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13"/>
            <w:spacing w:line="360" w:lineRule="auto"/>
            <w:jc w:val="center"/>
          </w:pPr>
          <w:r>
            <w:rPr>
              <w:lang w:val="zh-CN"/>
            </w:rPr>
            <w:t>目录</w:t>
          </w:r>
        </w:p>
        <w:p>
          <w:pPr>
            <w:pStyle w:val="5"/>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r>
            <w:fldChar w:fldCharType="end"/>
          </w:r>
        </w:p>
        <w:p>
          <w:pPr>
            <w:pStyle w:val="5"/>
            <w:tabs>
              <w:tab w:val="right" w:leader="dot" w:pos="8306"/>
              <w:tab w:val="clear" w:pos="8296"/>
            </w:tabs>
          </w:pPr>
          <w:r>
            <w:fldChar w:fldCharType="begin"/>
          </w:r>
          <w:r>
            <w:instrText xml:space="preserve"> HYPERLINK \l "_Toc12429" </w:instrText>
          </w:r>
          <w:r>
            <w:fldChar w:fldCharType="separate"/>
          </w:r>
          <w:r>
            <w:t>第</w:t>
          </w:r>
          <w:r>
            <w:rPr>
              <w:rFonts w:hint="eastAsia"/>
            </w:rPr>
            <w:t xml:space="preserve">二条 </w:t>
          </w:r>
          <w:r>
            <w:t xml:space="preserve"> </w:t>
          </w:r>
          <w:r>
            <w:rPr>
              <w:rFonts w:hint="eastAsia"/>
            </w:rPr>
            <w:t>双方</w:t>
          </w:r>
          <w:r>
            <w:t>权利义务</w:t>
          </w:r>
          <w:r>
            <w:tab/>
          </w:r>
          <w:r>
            <w:fldChar w:fldCharType="begin"/>
          </w:r>
          <w:r>
            <w:instrText xml:space="preserve"> PAGEREF _Toc12429 \h </w:instrText>
          </w:r>
          <w:r>
            <w:fldChar w:fldCharType="separate"/>
          </w:r>
          <w:r>
            <w:t>7</w:t>
          </w:r>
          <w:r>
            <w:fldChar w:fldCharType="end"/>
          </w:r>
          <w:r>
            <w:fldChar w:fldCharType="end"/>
          </w:r>
        </w:p>
        <w:p>
          <w:pPr>
            <w:pStyle w:val="5"/>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不可抗力</w:t>
          </w:r>
          <w:r>
            <w:tab/>
          </w:r>
          <w:r>
            <w:fldChar w:fldCharType="begin"/>
          </w:r>
          <w:r>
            <w:instrText xml:space="preserve"> PAGEREF _Toc706 \h </w:instrText>
          </w:r>
          <w:r>
            <w:fldChar w:fldCharType="separate"/>
          </w:r>
          <w:r>
            <w:t>10</w:t>
          </w:r>
          <w:r>
            <w:fldChar w:fldCharType="end"/>
          </w:r>
          <w:r>
            <w:fldChar w:fldCharType="end"/>
          </w:r>
        </w:p>
        <w:p>
          <w:pPr>
            <w:pStyle w:val="5"/>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11</w:t>
          </w:r>
          <w:r>
            <w:fldChar w:fldCharType="end"/>
          </w:r>
          <w:r>
            <w:fldChar w:fldCharType="end"/>
          </w:r>
        </w:p>
        <w:p>
          <w:pPr>
            <w:pStyle w:val="5"/>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法律适用和争议解决</w:t>
          </w:r>
          <w:r>
            <w:tab/>
          </w:r>
          <w:r>
            <w:fldChar w:fldCharType="begin"/>
          </w:r>
          <w:r>
            <w:instrText xml:space="preserve"> PAGEREF _Toc29618 \h </w:instrText>
          </w:r>
          <w:r>
            <w:fldChar w:fldCharType="separate"/>
          </w:r>
          <w:r>
            <w:t>12</w:t>
          </w:r>
          <w:r>
            <w:fldChar w:fldCharType="end"/>
          </w:r>
          <w:r>
            <w:fldChar w:fldCharType="end"/>
          </w:r>
        </w:p>
        <w:p>
          <w:pPr>
            <w:pStyle w:val="5"/>
            <w:tabs>
              <w:tab w:val="right" w:leader="dot" w:pos="8306"/>
              <w:tab w:val="clear" w:pos="8296"/>
            </w:tabs>
          </w:pPr>
          <w:r>
            <w:fldChar w:fldCharType="begin"/>
          </w:r>
          <w:r>
            <w:instrText xml:space="preserve"> HYPERLINK \l "_Toc11943" </w:instrText>
          </w:r>
          <w:r>
            <w:fldChar w:fldCharType="separate"/>
          </w:r>
          <w:r>
            <w:rPr>
              <w:rFonts w:hint="eastAsia"/>
            </w:rPr>
            <w:t xml:space="preserve">第六条 </w:t>
          </w:r>
          <w:r>
            <w:t xml:space="preserve"> 协议的签署和</w:t>
          </w:r>
          <w:r>
            <w:rPr>
              <w:rFonts w:hint="eastAsia"/>
            </w:rPr>
            <w:t>效力</w:t>
          </w:r>
          <w:r>
            <w:tab/>
          </w:r>
          <w:r>
            <w:fldChar w:fldCharType="begin"/>
          </w:r>
          <w:r>
            <w:instrText xml:space="preserve"> PAGEREF _Toc11943 \h </w:instrText>
          </w:r>
          <w:r>
            <w:fldChar w:fldCharType="separate"/>
          </w:r>
          <w:r>
            <w:t>13</w:t>
          </w:r>
          <w:r>
            <w:fldChar w:fldCharType="end"/>
          </w:r>
          <w:r>
            <w:fldChar w:fldCharType="end"/>
          </w:r>
        </w:p>
        <w:p>
          <w:pPr>
            <w:pStyle w:val="5"/>
            <w:tabs>
              <w:tab w:val="right" w:leader="dot" w:pos="8306"/>
              <w:tab w:val="clear" w:pos="8296"/>
            </w:tabs>
          </w:pPr>
          <w:r>
            <w:fldChar w:fldCharType="begin"/>
          </w:r>
          <w:r>
            <w:instrText xml:space="preserve"> HYPERLINK \l "_Toc29352" </w:instrText>
          </w:r>
          <w:r>
            <w:fldChar w:fldCharType="separate"/>
          </w:r>
          <w:r>
            <w:rPr>
              <w:rFonts w:hint="eastAsia"/>
            </w:rPr>
            <w:t xml:space="preserve">第七条 </w:t>
          </w:r>
          <w:r>
            <w:t xml:space="preserve"> </w:t>
          </w:r>
          <w:r>
            <w:rPr>
              <w:rFonts w:hint="eastAsia"/>
            </w:rPr>
            <w:t>消费者权益保护</w:t>
          </w:r>
          <w:r>
            <w:tab/>
          </w:r>
          <w:r>
            <w:fldChar w:fldCharType="begin"/>
          </w:r>
          <w:r>
            <w:instrText xml:space="preserve"> PAGEREF _Toc29352 \h </w:instrText>
          </w:r>
          <w:r>
            <w:fldChar w:fldCharType="separate"/>
          </w:r>
          <w:r>
            <w:t>14</w:t>
          </w:r>
          <w:r>
            <w:fldChar w:fldCharType="end"/>
          </w:r>
          <w:r>
            <w:fldChar w:fldCharType="end"/>
          </w:r>
        </w:p>
        <w:p>
          <w:pPr>
            <w:spacing w:line="360" w:lineRule="auto"/>
          </w:pPr>
          <w:r>
            <w:rPr>
              <w:bCs/>
              <w:lang w:val="zh-CN"/>
            </w:rPr>
            <w:fldChar w:fldCharType="end"/>
          </w:r>
        </w:p>
      </w:sdtContent>
    </w:sdt>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pPr>
        <w:spacing w:line="360" w:lineRule="auto"/>
      </w:pPr>
    </w:p>
    <w:bookmarkEnd w:id="5"/>
    <w:bookmarkEnd w:id="6"/>
    <w:bookmarkEnd w:id="7"/>
    <w:bookmarkEnd w:id="8"/>
    <w:p>
      <w:pPr>
        <w:pStyle w:val="2"/>
        <w:spacing w:before="0" w:after="0"/>
        <w:jc w:val="center"/>
        <w:rPr>
          <w:rFonts w:ascii="Times New Roman"/>
          <w:color w:val="auto"/>
          <w:sz w:val="30"/>
        </w:rPr>
      </w:pPr>
      <w:bookmarkStart w:id="9" w:name="_Toc30935"/>
      <w:bookmarkStart w:id="10" w:name="_Toc123112229"/>
      <w:bookmarkStart w:id="11" w:name="_Toc29629"/>
      <w:bookmarkStart w:id="12" w:name="_Toc4966"/>
      <w:bookmarkStart w:id="13" w:name="_Toc4867"/>
      <w:bookmarkStart w:id="14" w:name="_Toc123112268"/>
      <w:bookmarkStart w:id="15" w:name="_Toc139991730"/>
      <w:bookmarkStart w:id="16" w:name="_Toc23386"/>
      <w:bookmarkStart w:id="17" w:name="_Toc6306"/>
      <w:bookmarkStart w:id="18" w:name="_Toc123701389"/>
      <w:bookmarkStart w:id="19" w:name="_Toc15517"/>
      <w:bookmarkStart w:id="20" w:name="_Toc26897"/>
      <w:bookmarkStart w:id="21" w:name="_Toc32639"/>
      <w:bookmarkStart w:id="22" w:name="_Toc141703880"/>
      <w:bookmarkStart w:id="23" w:name="_Toc8727"/>
      <w:bookmarkStart w:id="24" w:name="_Toc11962"/>
      <w:bookmarkStart w:id="25" w:name="_Toc74065738"/>
      <w:bookmarkStart w:id="26" w:name="_Toc233456271"/>
      <w:r>
        <w:rPr>
          <w:rFonts w:hint="eastAsia" w:ascii="Times New Roman"/>
          <w:color w:val="auto"/>
          <w:sz w:val="30"/>
        </w:rPr>
        <w:t>第一条</w:t>
      </w:r>
      <w:r>
        <w:rPr>
          <w:rFonts w:ascii="Times New Roman"/>
          <w:color w:val="auto"/>
          <w:sz w:val="30"/>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7" w:name="_Toc24860"/>
      <w:bookmarkStart w:id="28" w:name="_Toc6617"/>
      <w:bookmarkStart w:id="29" w:name="_Toc19592"/>
      <w:bookmarkStart w:id="30" w:name="_Toc13020"/>
      <w:bookmarkStart w:id="31" w:name="_Toc3224"/>
      <w:bookmarkStart w:id="32" w:name="_Toc819"/>
      <w:bookmarkStart w:id="33" w:name="_Toc22864"/>
      <w:bookmarkStart w:id="34" w:name="_Toc2465"/>
      <w:bookmarkStart w:id="35" w:name="_Toc21301"/>
      <w:bookmarkStart w:id="36" w:name="_Toc15067"/>
      <w:bookmarkStart w:id="37" w:name="_Toc258829399"/>
      <w:r>
        <w:rPr>
          <w:rFonts w:hint="eastAsia" w:ascii="Times New Roman"/>
          <w:color w:val="auto"/>
          <w:sz w:val="30"/>
        </w:rPr>
        <w:t>前言</w:t>
      </w:r>
      <w:bookmarkEnd w:id="24"/>
    </w:p>
    <w:p>
      <w:pPr>
        <w:pStyle w:val="14"/>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.订立本投资协议书的目的是保护投资人合法权益，明确投资协议书当事人的权利义务，规范理财产品运作。</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号）、《商业银行理财业务监督管理办法》（银保监会令2018年第</w:t>
      </w:r>
      <w:r>
        <w:rPr>
          <w:rFonts w:ascii="宋体" w:hAnsi="宋体"/>
          <w:sz w:val="18"/>
          <w:szCs w:val="18"/>
        </w:rPr>
        <w:t>6</w:t>
      </w:r>
      <w:r>
        <w:rPr>
          <w:rFonts w:hint="eastAsia" w:ascii="宋体" w:hAnsi="宋体"/>
          <w:sz w:val="18"/>
          <w:szCs w:val="18"/>
        </w:rPr>
        <w:t>号）、</w:t>
      </w:r>
      <w:bookmarkStart w:id="38" w:name="_Toc59965743"/>
      <w:r>
        <w:rPr>
          <w:rFonts w:hint="eastAsia" w:ascii="宋体" w:hAnsi="宋体"/>
          <w:sz w:val="18"/>
          <w:szCs w:val="18"/>
        </w:rPr>
        <w:t>《商业银行理财子公司管理办法》</w:t>
      </w:r>
      <w:bookmarkEnd w:id="38"/>
      <w:r>
        <w:rPr>
          <w:rFonts w:hint="eastAsia" w:ascii="宋体" w:hAnsi="宋体"/>
          <w:sz w:val="18"/>
          <w:szCs w:val="18"/>
        </w:rPr>
        <w:t>（银保监会令2018年第7号）、《理财公司理财产品销售管理暂行办法》（银保监会令2021年第4号）等监管规定及其他有关规定。</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.订立本投资协议书的原则是平等自愿、诚实信用、充分保护投资人合法权益。</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25"/>
    <w:p>
      <w:pPr>
        <w:widowControl/>
        <w:spacing w:line="360" w:lineRule="auto"/>
        <w:jc w:val="left"/>
      </w:pPr>
      <w:r>
        <w:br w:type="page"/>
      </w:r>
    </w:p>
    <w:p>
      <w:pPr>
        <w:pStyle w:val="2"/>
        <w:spacing w:before="0" w:after="0"/>
        <w:jc w:val="center"/>
        <w:rPr>
          <w:rFonts w:ascii="Times New Roman"/>
          <w:color w:val="auto"/>
          <w:sz w:val="30"/>
        </w:rPr>
      </w:pPr>
      <w:bookmarkStart w:id="39" w:name="_Toc12429"/>
      <w:bookmarkStart w:id="40" w:name="_Toc74065739"/>
      <w:r>
        <w:rPr>
          <w:rFonts w:ascii="Times New Roman"/>
          <w:color w:val="auto"/>
          <w:sz w:val="30"/>
        </w:rPr>
        <w:t>第</w:t>
      </w:r>
      <w:r>
        <w:rPr>
          <w:rFonts w:hint="eastAsia" w:ascii="Times New Roman"/>
          <w:color w:val="auto"/>
          <w:sz w:val="30"/>
        </w:rPr>
        <w:t xml:space="preserve">二条 </w:t>
      </w:r>
      <w:r>
        <w:rPr>
          <w:rFonts w:ascii="Times New Roman"/>
          <w:color w:val="auto"/>
          <w:sz w:val="30"/>
        </w:rPr>
        <w:t xml:space="preserve"> </w:t>
      </w:r>
      <w:r>
        <w:rPr>
          <w:rFonts w:hint="eastAsia" w:ascii="Times New Roman"/>
          <w:color w:val="auto"/>
          <w:sz w:val="30"/>
        </w:rPr>
        <w:t>双方</w:t>
      </w:r>
      <w:r>
        <w:rPr>
          <w:rFonts w:ascii="Times New Roman"/>
          <w:color w:val="auto"/>
          <w:sz w:val="30"/>
        </w:rPr>
        <w:t>权利义务</w:t>
      </w:r>
      <w:bookmarkEnd w:id="39"/>
    </w:p>
    <w:p>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宋体" w:hAnsi="宋体"/>
          <w:sz w:val="18"/>
          <w:szCs w:val="18"/>
        </w:rPr>
        <w:t>投资者承诺由此产生的相关风险由投资者承担</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sz w:val="18"/>
        </w:rPr>
      </w:pPr>
      <w:r>
        <w:rPr>
          <w:rFonts w:ascii="黑体" w:hAnsi="黑体"/>
          <w:sz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Pr>
          <w:rFonts w:hint="eastAsia" w:ascii="黑体" w:hAnsi="黑体"/>
          <w:sz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hint="eastAsia" w:ascii="宋体" w:hAnsi="宋体"/>
          <w:sz w:val="18"/>
          <w:szCs w:val="18"/>
        </w:rPr>
        <w:t>3.</w:t>
      </w:r>
      <w:r>
        <w:rPr>
          <w:rFonts w:ascii="宋体" w:hAnsi="宋体"/>
          <w:sz w:val="18"/>
          <w:szCs w:val="18"/>
        </w:rPr>
        <w:t>产品管理人应按照约定披露产品相关信息。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销售机构办理变更手续。如因投资者未及时办理变更手续而造成产品管理人及</w:t>
      </w:r>
      <w:r>
        <w:rPr>
          <w:rFonts w:ascii="宋体" w:hAnsi="宋体"/>
          <w:sz w:val="18"/>
          <w:szCs w:val="18"/>
        </w:rPr>
        <w:t>/或</w:t>
      </w:r>
      <w:r>
        <w:rPr>
          <w:rFonts w:hint="eastAsia" w:ascii="宋体" w:hAnsi="宋体"/>
          <w:sz w:val="18"/>
          <w:szCs w:val="18"/>
        </w:rPr>
        <w:t>销售机构无法向投资者进行正常利益分配和资金清算分配</w:t>
      </w:r>
      <w:r>
        <w:rPr>
          <w:rFonts w:ascii="宋体" w:hAnsi="宋体"/>
          <w:sz w:val="18"/>
          <w:szCs w:val="18"/>
        </w:rPr>
        <w:t xml:space="preserve">, </w:t>
      </w:r>
      <w:r>
        <w:rPr>
          <w:rFonts w:hint="eastAsia" w:ascii="宋体" w:hAnsi="宋体"/>
          <w:sz w:val="18"/>
          <w:szCs w:val="18"/>
        </w:rPr>
        <w:t>由此导致投资者损失的由投资者自行承担</w:t>
      </w:r>
      <w:r>
        <w:rPr>
          <w:rFonts w:ascii="宋体" w:hAnsi="宋体"/>
          <w:sz w:val="18"/>
          <w:szCs w:val="18"/>
        </w:rPr>
        <w:t xml:space="preserve">, </w:t>
      </w:r>
      <w:r>
        <w:rPr>
          <w:rFonts w:hint="eastAsia" w:ascii="宋体" w:hAnsi="宋体"/>
          <w:sz w:val="18"/>
          <w:szCs w:val="18"/>
        </w:rPr>
        <w:t>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产品管理人或销售机构发现或有合理理由怀疑投资者或其资金存在洗钱、恐怖融资、逃税等嫌疑,</w:t>
      </w:r>
      <w:r>
        <w:rPr>
          <w:rFonts w:hint="eastAsia" w:ascii="黑体" w:hAnsi="黑体" w:eastAsia="黑体"/>
          <w:sz w:val="18"/>
          <w:szCs w:val="18"/>
        </w:rPr>
        <w:t>产品管理人有权提前终止本协议，造成投资者损失的，产品管理人不承担责任。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产品管理人有权根据符合条件的申请，受理并办理继承、承继、捐赠、司法强制执行和经理财产品登记机构认可的其他情况下的非交易过户。</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.其他在本产品所对应理财产品销售文件中约定的产品管理人的权利与义务。</w:t>
      </w:r>
    </w:p>
    <w:p>
      <w:pPr>
        <w:widowControl/>
        <w:spacing w:line="360" w:lineRule="auto"/>
        <w:jc w:val="left"/>
        <w:rPr>
          <w:b/>
          <w:kern w:val="0"/>
          <w:sz w:val="30"/>
        </w:rPr>
      </w:pPr>
      <w:r>
        <w:rPr>
          <w:sz w:val="30"/>
        </w:rPr>
        <w:br w:type="page"/>
      </w:r>
    </w:p>
    <w:bookmarkEnd w:id="26"/>
    <w:bookmarkEnd w:id="27"/>
    <w:bookmarkEnd w:id="28"/>
    <w:bookmarkEnd w:id="29"/>
    <w:bookmarkEnd w:id="30"/>
    <w:bookmarkEnd w:id="31"/>
    <w:bookmarkEnd w:id="32"/>
    <w:bookmarkEnd w:id="33"/>
    <w:bookmarkEnd w:id="34"/>
    <w:bookmarkEnd w:id="35"/>
    <w:bookmarkEnd w:id="36"/>
    <w:bookmarkEnd w:id="37"/>
    <w:bookmarkEnd w:id="40"/>
    <w:p>
      <w:pPr>
        <w:pStyle w:val="2"/>
        <w:spacing w:before="0" w:after="0"/>
        <w:jc w:val="center"/>
        <w:rPr>
          <w:rFonts w:ascii="Times New Roman"/>
          <w:sz w:val="30"/>
        </w:rPr>
      </w:pPr>
      <w:bookmarkStart w:id="41" w:name="_Toc706"/>
      <w:bookmarkStart w:id="42" w:name="_Toc24571"/>
      <w:bookmarkStart w:id="43" w:name="_Toc18631"/>
      <w:bookmarkStart w:id="44" w:name="_Toc545"/>
      <w:bookmarkStart w:id="45" w:name="_Toc22708"/>
      <w:bookmarkStart w:id="46" w:name="_Toc6683"/>
      <w:bookmarkStart w:id="47" w:name="_Toc13288"/>
      <w:bookmarkStart w:id="48" w:name="_Toc733"/>
      <w:bookmarkStart w:id="49" w:name="_Toc6149"/>
      <w:bookmarkStart w:id="50" w:name="_Toc74065740"/>
      <w:bookmarkStart w:id="51" w:name="_Toc20627"/>
      <w:bookmarkStart w:id="52" w:name="_Toc20318"/>
      <w:bookmarkStart w:id="53" w:name="_Toc233456272"/>
      <w:bookmarkStart w:id="54" w:name="_Toc258829400"/>
      <w:r>
        <w:rPr>
          <w:rFonts w:hint="eastAsia" w:ascii="Times New Roman"/>
          <w:color w:val="auto"/>
          <w:sz w:val="30"/>
        </w:rPr>
        <w:t>第三条</w:t>
      </w:r>
      <w:r>
        <w:rPr>
          <w:rFonts w:ascii="Times New Roman"/>
          <w:color w:val="auto"/>
          <w:sz w:val="30"/>
        </w:rPr>
        <w:t xml:space="preserve">  不可抗力</w:t>
      </w:r>
      <w:bookmarkEnd w:id="41"/>
    </w:p>
    <w:bookmarkEnd w:id="42"/>
    <w:bookmarkEnd w:id="43"/>
    <w:bookmarkEnd w:id="44"/>
    <w:bookmarkEnd w:id="45"/>
    <w:bookmarkEnd w:id="46"/>
    <w:bookmarkEnd w:id="47"/>
    <w:bookmarkEnd w:id="48"/>
    <w:bookmarkEnd w:id="49"/>
    <w:bookmarkEnd w:id="50"/>
    <w:bookmarkEnd w:id="51"/>
    <w:bookmarkEnd w:id="52"/>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pPr>
        <w:pStyle w:val="2"/>
        <w:spacing w:before="0" w:after="0"/>
        <w:jc w:val="center"/>
        <w:rPr>
          <w:rFonts w:ascii="Times New Roman"/>
          <w:b w:val="0"/>
          <w:sz w:val="30"/>
        </w:rPr>
      </w:pPr>
      <w:bookmarkStart w:id="55"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55"/>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56" w:name="_Toc29618"/>
      <w:r>
        <w:rPr>
          <w:rFonts w:hint="eastAsia" w:ascii="Times New Roman"/>
          <w:color w:val="auto"/>
          <w:sz w:val="30"/>
        </w:rPr>
        <w:t>第五条</w:t>
      </w:r>
      <w:r>
        <w:rPr>
          <w:rFonts w:ascii="Times New Roman"/>
          <w:color w:val="auto"/>
          <w:sz w:val="30"/>
        </w:rPr>
        <w:t xml:space="preserve">  法律适用和争议解决</w:t>
      </w:r>
      <w:bookmarkEnd w:id="56"/>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pPr>
        <w:pStyle w:val="2"/>
        <w:spacing w:before="0" w:after="0"/>
        <w:jc w:val="center"/>
        <w:rPr>
          <w:rFonts w:ascii="Times New Roman"/>
          <w:b w:val="0"/>
          <w:sz w:val="30"/>
        </w:rPr>
      </w:pPr>
      <w:bookmarkStart w:id="57" w:name="_Toc11943"/>
      <w:r>
        <w:rPr>
          <w:rFonts w:hint="eastAsia" w:ascii="Times New Roman"/>
          <w:color w:val="auto"/>
          <w:sz w:val="30"/>
        </w:rPr>
        <w:t xml:space="preserve">第六条 </w:t>
      </w:r>
      <w:r>
        <w:rPr>
          <w:rFonts w:ascii="Times New Roman"/>
          <w:color w:val="auto"/>
          <w:sz w:val="30"/>
        </w:rPr>
        <w:t xml:space="preserve"> 协议的签署和</w:t>
      </w:r>
      <w:r>
        <w:rPr>
          <w:rFonts w:hint="eastAsia" w:ascii="Times New Roman"/>
          <w:color w:val="auto"/>
          <w:sz w:val="30"/>
        </w:rPr>
        <w:t>效力</w:t>
      </w:r>
      <w:bookmarkEnd w:id="57"/>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，本协议自投资者签字</w:t>
      </w:r>
      <w:r>
        <w:rPr>
          <w:rFonts w:ascii="黑体" w:hAnsi="黑体" w:eastAsia="黑体"/>
          <w:sz w:val="18"/>
          <w:szCs w:val="18"/>
        </w:rPr>
        <w:t>/盖章后则为签署。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58" w:name="_Toc29352"/>
      <w:bookmarkStart w:id="59" w:name="_Toc77953869"/>
      <w:r>
        <w:rPr>
          <w:rFonts w:hint="eastAsia" w:ascii="Times New Roman"/>
          <w:color w:val="auto"/>
          <w:sz w:val="30"/>
        </w:rPr>
        <w:t xml:space="preserve">第七条 </w:t>
      </w:r>
      <w:r>
        <w:rPr>
          <w:rFonts w:ascii="Times New Roman"/>
          <w:color w:val="auto"/>
          <w:sz w:val="30"/>
        </w:rPr>
        <w:t xml:space="preserve"> </w:t>
      </w:r>
      <w:r>
        <w:rPr>
          <w:rFonts w:hint="eastAsia" w:ascii="Times New Roman"/>
          <w:color w:val="auto"/>
          <w:sz w:val="30"/>
        </w:rPr>
        <w:t>消费者权益保护</w:t>
      </w:r>
      <w:bookmarkEnd w:id="58"/>
      <w:bookmarkEnd w:id="5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0" w:name="_Hlk64707831"/>
      <w:r>
        <w:rPr>
          <w:rFonts w:hint="eastAsia" w:ascii="黑体" w:hAnsi="黑体" w:eastAsia="黑体"/>
          <w:sz w:val="18"/>
          <w:szCs w:val="18"/>
        </w:rPr>
        <w:t>1.产品管理人：兴银理财有限责任公司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0"/>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2.销售机构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销售机构的联络方式，具体以《（代理）销售协议书》、《投资者权益须知》等销售文件的内容为准。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3"/>
    <w:bookmarkEnd w:id="54"/>
    <w:tbl>
      <w:tblPr>
        <w:tblStyle w:val="8"/>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r>
              <w:rPr>
                <w:rFonts w:hint="eastAsia" w:ascii="宋体" w:hAnsi="宋体" w:cs="宋体"/>
                <w:b/>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r>
              <w:rPr>
                <w:rFonts w:hint="eastAsia" w:ascii="宋体" w:hAnsi="宋体" w:cs="宋体"/>
                <w:b/>
                <w:sz w:val="18"/>
                <w:szCs w:val="18"/>
              </w:rPr>
              <w:t>【】类</w:t>
            </w:r>
            <w:r>
              <w:rPr>
                <w:rFonts w:ascii="宋体" w:hAnsi="宋体" w:cs="宋体"/>
                <w:b/>
                <w:sz w:val="18"/>
                <w:szCs w:val="18"/>
              </w:rPr>
              <w:t>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bCs/>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b/>
                <w:bCs/>
                <w:sz w:val="18"/>
                <w:szCs w:val="18"/>
              </w:rPr>
            </w:pPr>
            <w:r>
              <w:rPr>
                <w:rFonts w:ascii="宋体" w:hAnsi="宋体"/>
                <w:b/>
                <w:bCs/>
                <w:sz w:val="18"/>
                <w:szCs w:val="18"/>
              </w:rPr>
              <w:t>封闭式产品不设置申购</w:t>
            </w:r>
            <w:r>
              <w:rPr>
                <w:rFonts w:hint="eastAsia" w:ascii="宋体" w:hAnsi="宋体"/>
                <w:b/>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bCs/>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jc w:val="left"/>
              <w:rPr>
                <w:rFonts w:ascii="宋体" w:hAnsi="宋体"/>
                <w:b/>
                <w:bCs/>
                <w:sz w:val="18"/>
                <w:szCs w:val="18"/>
              </w:rPr>
            </w:pPr>
            <w:r>
              <w:rPr>
                <w:rFonts w:ascii="宋体" w:hAnsi="宋体"/>
                <w:b/>
                <w:bCs/>
                <w:sz w:val="18"/>
                <w:szCs w:val="18"/>
              </w:rPr>
              <w:t>封闭式产品不设置</w:t>
            </w:r>
            <w:r>
              <w:rPr>
                <w:rFonts w:hint="eastAsia" w:ascii="宋体" w:hAnsi="宋体"/>
                <w:b/>
                <w:bCs/>
                <w:sz w:val="18"/>
                <w:szCs w:val="18"/>
              </w:rPr>
              <w:t>赎回。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Theme="minorEastAsia" w:hAnsiTheme="minorEastAsia"/>
                <w:sz w:val="18"/>
                <w:szCs w:val="18"/>
              </w:rPr>
              <w:t xml:space="preserve">【 </w:t>
            </w:r>
            <w:r>
              <w:rPr>
                <w:rFonts w:asciiTheme="minorEastAsia" w:hAnsiTheme="minorEastAsia"/>
                <w:sz w:val="18"/>
                <w:szCs w:val="18"/>
              </w:rPr>
              <w:t>】年</w:t>
            </w:r>
            <w:r>
              <w:rPr>
                <w:rFonts w:hint="eastAsia" w:asciiTheme="minorEastAsia" w:hAnsiTheme="minorEastAsia"/>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w:t>
            </w:r>
            <w:r>
              <w:rPr>
                <w:rFonts w:ascii="黑体" w:hAnsi="黑体" w:eastAsia="黑体"/>
                <w:sz w:val="18"/>
                <w:szCs w:val="18"/>
              </w:rPr>
              <w:t>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w:t>
            </w:r>
            <w:r>
              <w:rPr>
                <w:rFonts w:ascii="黑体" w:hAnsi="黑体" w:eastAsia="黑体"/>
                <w:sz w:val="18"/>
                <w:szCs w:val="18"/>
              </w:rPr>
              <w:t>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b/>
                <w:sz w:val="18"/>
                <w:szCs w:val="18"/>
              </w:rPr>
            </w:pPr>
            <w:r>
              <w:rPr>
                <w:rFonts w:hint="eastAsia" w:cs="Arial"/>
                <w:sz w:val="18"/>
                <w:szCs w:val="18"/>
              </w:rPr>
              <w:t>投资者法定代表人或授权代理人（签字或盖章）：</w:t>
            </w:r>
          </w:p>
          <w:p>
            <w:pPr>
              <w:spacing w:line="360" w:lineRule="auto"/>
              <w:rPr>
                <w:sz w:val="18"/>
                <w:szCs w:val="18"/>
              </w:rPr>
            </w:pPr>
            <w:r>
              <w:rPr>
                <w:rFonts w:hint="eastAsia"/>
                <w:sz w:val="18"/>
                <w:szCs w:val="18"/>
              </w:rPr>
              <w:t>日期：</w:t>
            </w:r>
          </w:p>
        </w:tc>
      </w:tr>
    </w:tbl>
    <w:p>
      <w:pPr>
        <w:spacing w:line="360" w:lineRule="auto"/>
        <w:jc w:val="left"/>
        <w:rPr>
          <w:rFonts w:hint="eastAsia" w:ascii="宋体" w:hAnsi="宋体"/>
          <w:b/>
          <w:sz w:val="18"/>
          <w:szCs w:val="18"/>
        </w:rPr>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pPr>
        <w:widowControl/>
        <w:spacing w:line="360" w:lineRule="auto"/>
        <w:jc w:val="center"/>
        <w:rPr>
          <w:rStyle w:val="10"/>
          <w:rFonts w:ascii="宋体" w:hAnsi="宋体"/>
          <w:sz w:val="30"/>
          <w:szCs w:val="30"/>
        </w:rPr>
      </w:pPr>
      <w:r>
        <w:rPr>
          <w:rFonts w:hint="eastAsia" w:ascii="宋体" w:hAnsi="宋体"/>
          <w:b/>
          <w:sz w:val="30"/>
          <w:szCs w:val="30"/>
        </w:rPr>
        <w:t>理财非存款、产品有风险、投资须谨慎！</w:t>
      </w:r>
    </w:p>
    <w:p>
      <w:pPr>
        <w:adjustRightInd w:val="0"/>
        <w:spacing w:line="360" w:lineRule="auto"/>
        <w:jc w:val="center"/>
        <w:rPr>
          <w:rStyle w:val="10"/>
          <w:rFonts w:ascii="宋体" w:hAnsi="宋体"/>
          <w:sz w:val="32"/>
          <w:szCs w:val="32"/>
        </w:rPr>
      </w:pPr>
    </w:p>
    <w:p>
      <w:pPr>
        <w:adjustRightInd w:val="0"/>
        <w:spacing w:line="360" w:lineRule="auto"/>
        <w:jc w:val="center"/>
        <w:rPr>
          <w:rStyle w:val="10"/>
          <w:rFonts w:ascii="宋体" w:hAnsi="宋体"/>
          <w:sz w:val="32"/>
          <w:szCs w:val="32"/>
        </w:rPr>
      </w:pPr>
    </w:p>
    <w:p>
      <w:pPr>
        <w:adjustRightInd w:val="0"/>
        <w:spacing w:line="360" w:lineRule="auto"/>
        <w:jc w:val="center"/>
        <w:rPr>
          <w:rStyle w:val="10"/>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adjustRightInd w:val="0"/>
        <w:spacing w:line="360" w:lineRule="auto"/>
        <w:jc w:val="center"/>
        <w:rPr>
          <w:rStyle w:val="10"/>
          <w:rFonts w:ascii="宋体" w:hAnsi="宋体"/>
          <w:sz w:val="32"/>
          <w:szCs w:val="32"/>
        </w:rPr>
      </w:pPr>
    </w:p>
    <w:p>
      <w:pPr>
        <w:adjustRightInd w:val="0"/>
        <w:spacing w:line="360" w:lineRule="auto"/>
        <w:jc w:val="center"/>
        <w:rPr>
          <w:rStyle w:val="10"/>
          <w:rFonts w:ascii="黑体" w:hAnsi="黑体" w:eastAsia="黑体"/>
          <w:sz w:val="44"/>
          <w:szCs w:val="44"/>
        </w:rPr>
      </w:pPr>
      <w:r>
        <w:rPr>
          <w:rStyle w:val="10"/>
          <w:rFonts w:hint="eastAsia" w:ascii="黑体" w:hAnsi="黑体" w:eastAsia="黑体"/>
          <w:sz w:val="44"/>
          <w:szCs w:val="44"/>
        </w:rPr>
        <w:t>兴银理财【稳利安盈封闭式】理财产品</w:t>
      </w:r>
    </w:p>
    <w:p>
      <w:pPr>
        <w:adjustRightInd w:val="0"/>
        <w:spacing w:line="360" w:lineRule="auto"/>
        <w:jc w:val="center"/>
        <w:rPr>
          <w:rStyle w:val="10"/>
          <w:rFonts w:ascii="黑体" w:hAnsi="黑体" w:eastAsia="黑体"/>
          <w:sz w:val="44"/>
          <w:szCs w:val="44"/>
        </w:rPr>
      </w:pPr>
      <w:r>
        <w:rPr>
          <w:rStyle w:val="10"/>
          <w:rFonts w:hint="eastAsia" w:ascii="黑体" w:hAnsi="黑体" w:eastAsia="黑体"/>
          <w:sz w:val="44"/>
          <w:szCs w:val="44"/>
        </w:rPr>
        <w:t>产品说明书</w:t>
      </w:r>
    </w:p>
    <w:p>
      <w:pPr>
        <w:adjustRightInd w:val="0"/>
        <w:spacing w:line="360" w:lineRule="auto"/>
        <w:jc w:val="center"/>
        <w:rPr>
          <w:rStyle w:val="10"/>
          <w:rFonts w:ascii="宋体" w:hAnsi="宋体"/>
          <w:sz w:val="32"/>
          <w:szCs w:val="32"/>
        </w:rPr>
      </w:pPr>
    </w:p>
    <w:p>
      <w:pPr>
        <w:adjustRightInd w:val="0"/>
        <w:spacing w:line="360" w:lineRule="auto"/>
        <w:rPr>
          <w:rStyle w:val="10"/>
          <w:rFonts w:ascii="黑体" w:hAnsi="黑体" w:eastAsia="黑体"/>
          <w:bCs w:val="0"/>
          <w:sz w:val="28"/>
          <w:szCs w:val="28"/>
        </w:rPr>
      </w:pPr>
      <w:r>
        <w:rPr>
          <w:rStyle w:val="10"/>
          <w:rFonts w:hint="eastAsia" w:ascii="黑体" w:hAnsi="黑体" w:eastAsia="黑体"/>
          <w:bCs w:val="0"/>
          <w:sz w:val="28"/>
          <w:szCs w:val="28"/>
        </w:rPr>
        <w:t xml:space="preserve"> </w:t>
      </w:r>
    </w:p>
    <w:p>
      <w:pPr>
        <w:adjustRightInd w:val="0"/>
        <w:spacing w:line="360" w:lineRule="auto"/>
        <w:jc w:val="center"/>
        <w:rPr>
          <w:rStyle w:val="10"/>
          <w:rFonts w:ascii="黑体" w:hAnsi="黑体" w:eastAsia="黑体"/>
          <w:bCs w:val="0"/>
          <w:sz w:val="28"/>
          <w:szCs w:val="28"/>
        </w:rPr>
      </w:pPr>
      <w:r>
        <w:rPr>
          <w:rStyle w:val="10"/>
          <w:rFonts w:hint="eastAsia" w:ascii="黑体" w:hAnsi="黑体" w:eastAsia="黑体"/>
          <w:bCs w:val="0"/>
          <w:sz w:val="28"/>
          <w:szCs w:val="28"/>
        </w:rPr>
        <w:t xml:space="preserve"> </w:t>
      </w:r>
    </w:p>
    <w:p>
      <w:pPr>
        <w:adjustRightInd w:val="0"/>
        <w:spacing w:line="360" w:lineRule="auto"/>
        <w:jc w:val="center"/>
        <w:rPr>
          <w:rStyle w:val="10"/>
          <w:rFonts w:ascii="黑体" w:hAnsi="黑体" w:eastAsia="黑体"/>
          <w:bCs w:val="0"/>
          <w:sz w:val="28"/>
          <w:szCs w:val="28"/>
        </w:rPr>
      </w:pPr>
    </w:p>
    <w:p>
      <w:pPr>
        <w:adjustRightInd w:val="0"/>
        <w:spacing w:line="360" w:lineRule="auto"/>
        <w:jc w:val="center"/>
        <w:rPr>
          <w:rStyle w:val="10"/>
          <w:rFonts w:ascii="宋体" w:hAnsi="宋体" w:cs="Times New Roman"/>
          <w:sz w:val="32"/>
          <w:szCs w:val="32"/>
        </w:rPr>
      </w:pPr>
      <w:r>
        <w:rPr>
          <w:rStyle w:val="10"/>
          <w:rFonts w:hint="eastAsia" w:ascii="宋体" w:hAnsi="宋体" w:cs="Times New Roman"/>
          <w:sz w:val="32"/>
          <w:szCs w:val="32"/>
        </w:rPr>
        <w:t>理财产品管理人：兴银理财有限责任公司</w:t>
      </w:r>
    </w:p>
    <w:p>
      <w:pPr>
        <w:adjustRightInd w:val="0"/>
        <w:spacing w:line="360" w:lineRule="auto"/>
        <w:jc w:val="center"/>
        <w:rPr>
          <w:rStyle w:val="10"/>
          <w:rFonts w:ascii="宋体" w:hAnsi="宋体"/>
          <w:sz w:val="32"/>
          <w:szCs w:val="32"/>
        </w:rPr>
      </w:pPr>
    </w:p>
    <w:p>
      <w:pPr>
        <w:adjustRightInd w:val="0"/>
        <w:spacing w:line="360" w:lineRule="auto"/>
        <w:jc w:val="center"/>
        <w:rPr>
          <w:rStyle w:val="10"/>
          <w:rFonts w:ascii="宋体" w:hAnsi="宋体"/>
          <w:sz w:val="32"/>
          <w:szCs w:val="32"/>
        </w:rPr>
      </w:pPr>
    </w:p>
    <w:p>
      <w:pPr>
        <w:adjustRightInd w:val="0"/>
        <w:spacing w:line="360" w:lineRule="auto"/>
        <w:jc w:val="center"/>
        <w:rPr>
          <w:rStyle w:val="10"/>
          <w:rFonts w:ascii="宋体" w:hAnsi="宋体" w:cs="Times New Roman"/>
          <w:sz w:val="32"/>
          <w:szCs w:val="32"/>
        </w:rPr>
      </w:pPr>
      <w:r>
        <w:rPr>
          <w:rStyle w:val="10"/>
          <w:rFonts w:hint="eastAsia" w:ascii="宋体" w:hAnsi="宋体" w:cs="Times New Roman"/>
          <w:sz w:val="32"/>
          <w:szCs w:val="32"/>
        </w:rPr>
        <w:t>日期</w:t>
      </w:r>
      <w:r>
        <w:rPr>
          <w:rStyle w:val="10"/>
          <w:rFonts w:ascii="宋体" w:hAnsi="宋体" w:cs="Times New Roman"/>
          <w:sz w:val="32"/>
          <w:szCs w:val="32"/>
        </w:rPr>
        <w:t>：</w:t>
      </w:r>
      <w:r>
        <w:rPr>
          <w:rStyle w:val="10"/>
          <w:rFonts w:hint="eastAsia" w:ascii="宋体" w:hAnsi="宋体" w:cs="Times New Roman"/>
          <w:sz w:val="32"/>
          <w:szCs w:val="32"/>
        </w:rPr>
        <w:t>【2</w:t>
      </w:r>
      <w:r>
        <w:rPr>
          <w:rStyle w:val="10"/>
          <w:rFonts w:ascii="宋体" w:hAnsi="宋体" w:cs="Times New Roman"/>
          <w:sz w:val="32"/>
          <w:szCs w:val="32"/>
        </w:rPr>
        <w:t>024</w:t>
      </w:r>
      <w:r>
        <w:rPr>
          <w:rStyle w:val="10"/>
          <w:rFonts w:hint="eastAsia" w:ascii="宋体" w:hAnsi="宋体" w:cs="Times New Roman"/>
          <w:sz w:val="32"/>
          <w:szCs w:val="32"/>
        </w:rPr>
        <w:t>】年【</w:t>
      </w:r>
      <w:r>
        <w:rPr>
          <w:rStyle w:val="10"/>
          <w:rFonts w:ascii="宋体" w:hAnsi="宋体" w:cs="Times New Roman"/>
          <w:sz w:val="32"/>
          <w:szCs w:val="32"/>
        </w:rPr>
        <w:t>03</w:t>
      </w:r>
      <w:r>
        <w:rPr>
          <w:rStyle w:val="10"/>
          <w:rFonts w:hint="eastAsia" w:ascii="宋体" w:hAnsi="宋体" w:cs="Times New Roman"/>
          <w:sz w:val="32"/>
          <w:szCs w:val="32"/>
        </w:rPr>
        <w:t>】月</w:t>
      </w:r>
    </w:p>
    <w:p>
      <w:pPr>
        <w:adjustRightInd w:val="0"/>
        <w:spacing w:line="360" w:lineRule="auto"/>
        <w:jc w:val="center"/>
        <w:rPr>
          <w:rStyle w:val="10"/>
          <w:rFonts w:ascii="宋体" w:hAnsi="宋体"/>
          <w:sz w:val="32"/>
          <w:szCs w:val="32"/>
        </w:rPr>
      </w:pPr>
    </w:p>
    <w:p>
      <w:pPr>
        <w:pStyle w:val="14"/>
        <w:spacing w:line="360" w:lineRule="auto"/>
        <w:rPr>
          <w:rFonts w:hAnsi="宋体"/>
          <w:sz w:val="28"/>
          <w:szCs w:val="28"/>
        </w:rPr>
      </w:pPr>
      <w:r>
        <w:rPr>
          <w:rFonts w:hAnsi="宋体"/>
          <w:sz w:val="28"/>
          <w:szCs w:val="28"/>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pPr>
            <w:pStyle w:val="15"/>
            <w:spacing w:line="360" w:lineRule="auto"/>
            <w:jc w:val="center"/>
          </w:pPr>
          <w:bookmarkStart w:id="61" w:name="_Toc78276587"/>
          <w:r>
            <w:rPr>
              <w:lang w:val="zh-CN"/>
            </w:rPr>
            <w:t>目录</w:t>
          </w:r>
        </w:p>
        <w:p>
          <w:pPr>
            <w:pStyle w:val="5"/>
            <w:rPr>
              <w:rFonts w:asciiTheme="minorHAnsi" w:hAnsiTheme="minorHAnsi" w:eastAsiaTheme="minorEastAsia" w:cstheme="minorBidi"/>
              <w:kern w:val="2"/>
              <w:sz w:val="21"/>
            </w:rPr>
          </w:pPr>
          <w:r>
            <w:fldChar w:fldCharType="begin"/>
          </w:r>
          <w:r>
            <w:instrText xml:space="preserve"> TOC \o "1-3" \h \z \u </w:instrText>
          </w:r>
          <w:r>
            <w:fldChar w:fldCharType="separate"/>
          </w:r>
          <w:r>
            <w:fldChar w:fldCharType="begin"/>
          </w:r>
          <w:r>
            <w:instrText xml:space="preserve"> HYPERLINK \l "_Toc116649649" </w:instrText>
          </w:r>
          <w:r>
            <w:fldChar w:fldCharType="separate"/>
          </w:r>
          <w:r>
            <w:rPr>
              <w:rStyle w:val="11"/>
              <w:rFonts w:hint="eastAsia" w:ascii="Times New Roman"/>
            </w:rPr>
            <w:t>第一条</w:t>
          </w:r>
          <w:r>
            <w:rPr>
              <w:rStyle w:val="11"/>
              <w:rFonts w:ascii="Times New Roman"/>
            </w:rPr>
            <w:t xml:space="preserve">  </w:t>
          </w:r>
          <w:r>
            <w:rPr>
              <w:rStyle w:val="11"/>
              <w:rFonts w:hint="eastAsia" w:ascii="Times New Roman"/>
            </w:rPr>
            <w:t>释义</w:t>
          </w:r>
          <w:r>
            <w:tab/>
          </w:r>
          <w:r>
            <w:fldChar w:fldCharType="begin"/>
          </w:r>
          <w:r>
            <w:instrText xml:space="preserve"> PAGEREF _Toc116649649 \h </w:instrText>
          </w:r>
          <w:r>
            <w:fldChar w:fldCharType="separate"/>
          </w:r>
          <w:r>
            <w:t>3</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"_Toc116649650" </w:instrText>
          </w:r>
          <w:r>
            <w:fldChar w:fldCharType="separate"/>
          </w:r>
          <w:r>
            <w:rPr>
              <w:rStyle w:val="11"/>
              <w:rFonts w:hint="eastAsia" w:hAnsi="宋体"/>
            </w:rPr>
            <w:t>第二条</w:t>
          </w:r>
          <w:r>
            <w:rPr>
              <w:rStyle w:val="11"/>
              <w:rFonts w:hAnsi="宋体"/>
            </w:rPr>
            <w:t xml:space="preserve">  </w:t>
          </w:r>
          <w:r>
            <w:rPr>
              <w:rStyle w:val="11"/>
              <w:rFonts w:hint="eastAsia" w:hAnsi="宋体"/>
            </w:rPr>
            <w:t>理财产品基本情况</w:t>
          </w:r>
          <w:r>
            <w:rPr>
              <w:rStyle w:val="11"/>
              <w:rFonts w:hAnsi="宋体"/>
            </w:rPr>
            <w:t xml:space="preserve"> </w:t>
          </w:r>
          <w:r>
            <w:tab/>
          </w:r>
          <w:r>
            <w:fldChar w:fldCharType="begin"/>
          </w:r>
          <w:r>
            <w:instrText xml:space="preserve"> PAGEREF _Toc116649650 \h </w:instrText>
          </w:r>
          <w:r>
            <w:fldChar w:fldCharType="separate"/>
          </w:r>
          <w:r>
            <w:t>8</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"_Toc116649651" </w:instrText>
          </w:r>
          <w:r>
            <w:fldChar w:fldCharType="separate"/>
          </w:r>
          <w:r>
            <w:rPr>
              <w:rStyle w:val="11"/>
              <w:rFonts w:hint="eastAsia" w:ascii="Times New Roman"/>
            </w:rPr>
            <w:t>第三条</w:t>
          </w:r>
          <w:r>
            <w:rPr>
              <w:rStyle w:val="11"/>
              <w:rFonts w:ascii="Times New Roman"/>
            </w:rPr>
            <w:t xml:space="preserve">  </w:t>
          </w:r>
          <w:r>
            <w:rPr>
              <w:rStyle w:val="11"/>
              <w:rFonts w:hint="eastAsia" w:ascii="Times New Roman"/>
            </w:rPr>
            <w:t>理财产品的认购</w:t>
          </w:r>
          <w:r>
            <w:tab/>
          </w:r>
          <w:r>
            <w:fldChar w:fldCharType="begin"/>
          </w:r>
          <w:r>
            <w:instrText xml:space="preserve"> PAGEREF _Toc116649651 \h </w:instrText>
          </w:r>
          <w:r>
            <w:fldChar w:fldCharType="separate"/>
          </w:r>
          <w:r>
            <w:t>14</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"_Toc116649652" </w:instrText>
          </w:r>
          <w:r>
            <w:fldChar w:fldCharType="separate"/>
          </w:r>
          <w:r>
            <w:rPr>
              <w:rStyle w:val="11"/>
              <w:rFonts w:hint="eastAsia" w:ascii="Times New Roman"/>
            </w:rPr>
            <w:t>第四条</w:t>
          </w:r>
          <w:r>
            <w:rPr>
              <w:rStyle w:val="11"/>
              <w:rFonts w:ascii="Times New Roman"/>
            </w:rPr>
            <w:t xml:space="preserve">  </w:t>
          </w:r>
          <w:r>
            <w:rPr>
              <w:rStyle w:val="11"/>
              <w:rFonts w:hint="eastAsia" w:ascii="Times New Roman"/>
            </w:rPr>
            <w:t>理财产品的申购与赎回</w:t>
          </w:r>
          <w:r>
            <w:tab/>
          </w:r>
          <w:r>
            <w:fldChar w:fldCharType="begin"/>
          </w:r>
          <w:r>
            <w:instrText xml:space="preserve"> PAGEREF _Toc116649652 \h </w:instrText>
          </w:r>
          <w:r>
            <w:fldChar w:fldCharType="separate"/>
          </w:r>
          <w:r>
            <w:t>16</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"_Toc116649653" </w:instrText>
          </w:r>
          <w:r>
            <w:fldChar w:fldCharType="separate"/>
          </w:r>
          <w:r>
            <w:rPr>
              <w:rStyle w:val="11"/>
              <w:rFonts w:hint="eastAsia" w:ascii="Times New Roman"/>
            </w:rPr>
            <w:t>第五条</w:t>
          </w:r>
          <w:r>
            <w:rPr>
              <w:rStyle w:val="11"/>
              <w:rFonts w:ascii="Times New Roman"/>
            </w:rPr>
            <w:t xml:space="preserve">  </w:t>
          </w:r>
          <w:r>
            <w:rPr>
              <w:rStyle w:val="11"/>
              <w:rFonts w:hint="eastAsia" w:ascii="Times New Roman"/>
            </w:rPr>
            <w:t>理财产品的投资</w:t>
          </w:r>
          <w:r>
            <w:tab/>
          </w:r>
          <w:r>
            <w:fldChar w:fldCharType="begin"/>
          </w:r>
          <w:r>
            <w:instrText xml:space="preserve"> PAGEREF _Toc116649653 \h </w:instrText>
          </w:r>
          <w:r>
            <w:fldChar w:fldCharType="separate"/>
          </w:r>
          <w:r>
            <w:t>17</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"_Toc116649654" </w:instrText>
          </w:r>
          <w:r>
            <w:fldChar w:fldCharType="separate"/>
          </w:r>
          <w:r>
            <w:rPr>
              <w:rStyle w:val="11"/>
              <w:rFonts w:hint="eastAsia" w:ascii="Times New Roman"/>
            </w:rPr>
            <w:t>第六条</w:t>
          </w:r>
          <w:r>
            <w:rPr>
              <w:rStyle w:val="11"/>
              <w:rFonts w:ascii="Times New Roman"/>
            </w:rPr>
            <w:t xml:space="preserve">  </w:t>
          </w:r>
          <w:r>
            <w:rPr>
              <w:rStyle w:val="11"/>
              <w:rFonts w:hint="eastAsia" w:ascii="Times New Roman"/>
            </w:rPr>
            <w:t>理财产品的资产</w:t>
          </w:r>
          <w:r>
            <w:tab/>
          </w:r>
          <w:r>
            <w:fldChar w:fldCharType="begin"/>
          </w:r>
          <w:r>
            <w:instrText xml:space="preserve"> PAGEREF _Toc116649654 \h </w:instrText>
          </w:r>
          <w:r>
            <w:fldChar w:fldCharType="separate"/>
          </w:r>
          <w:r>
            <w:t>20</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"_Toc116649655" </w:instrText>
          </w:r>
          <w:r>
            <w:fldChar w:fldCharType="separate"/>
          </w:r>
          <w:r>
            <w:rPr>
              <w:rStyle w:val="11"/>
              <w:rFonts w:hint="eastAsia" w:ascii="Times New Roman"/>
            </w:rPr>
            <w:t>第七条</w:t>
          </w:r>
          <w:r>
            <w:rPr>
              <w:rStyle w:val="11"/>
              <w:rFonts w:ascii="Times New Roman"/>
            </w:rPr>
            <w:t xml:space="preserve">  </w:t>
          </w:r>
          <w:r>
            <w:rPr>
              <w:rStyle w:val="11"/>
              <w:rFonts w:hint="eastAsia" w:ascii="Times New Roman"/>
            </w:rPr>
            <w:t>理财产品项下资产的估值</w:t>
          </w:r>
          <w:r>
            <w:tab/>
          </w:r>
          <w:r>
            <w:fldChar w:fldCharType="begin"/>
          </w:r>
          <w:r>
            <w:instrText xml:space="preserve"> PAGEREF _Toc116649655 \h </w:instrText>
          </w:r>
          <w:r>
            <w:fldChar w:fldCharType="separate"/>
          </w:r>
          <w:r>
            <w:t>21</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"_Toc116649656" </w:instrText>
          </w:r>
          <w:r>
            <w:fldChar w:fldCharType="separate"/>
          </w:r>
          <w:r>
            <w:rPr>
              <w:rStyle w:val="11"/>
              <w:rFonts w:hint="eastAsia" w:ascii="Times New Roman"/>
            </w:rPr>
            <w:t>第八条</w:t>
          </w:r>
          <w:r>
            <w:rPr>
              <w:rStyle w:val="11"/>
              <w:rFonts w:ascii="Times New Roman"/>
            </w:rPr>
            <w:t xml:space="preserve">  </w:t>
          </w:r>
          <w:r>
            <w:rPr>
              <w:rStyle w:val="11"/>
              <w:rFonts w:hint="eastAsia" w:ascii="Times New Roman"/>
            </w:rPr>
            <w:t>理财产品的利益分配</w:t>
          </w:r>
          <w:r>
            <w:tab/>
          </w:r>
          <w:r>
            <w:fldChar w:fldCharType="begin"/>
          </w:r>
          <w:r>
            <w:instrText xml:space="preserve"> PAGEREF _Toc116649656 \h </w:instrText>
          </w:r>
          <w:r>
            <w:fldChar w:fldCharType="separate"/>
          </w:r>
          <w:r>
            <w:t>25</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"_Toc116649657" </w:instrText>
          </w:r>
          <w:r>
            <w:fldChar w:fldCharType="separate"/>
          </w:r>
          <w:r>
            <w:rPr>
              <w:rStyle w:val="11"/>
              <w:rFonts w:hint="eastAsia" w:ascii="Times New Roman"/>
            </w:rPr>
            <w:t>第九条</w:t>
          </w:r>
          <w:r>
            <w:rPr>
              <w:rStyle w:val="11"/>
              <w:rFonts w:ascii="Times New Roman"/>
            </w:rPr>
            <w:t xml:space="preserve">  </w:t>
          </w:r>
          <w:r>
            <w:rPr>
              <w:rStyle w:val="11"/>
              <w:rFonts w:hint="eastAsia" w:ascii="Times New Roman"/>
            </w:rPr>
            <w:t>理财产品的费用与税收</w:t>
          </w:r>
          <w:r>
            <w:tab/>
          </w:r>
          <w:r>
            <w:fldChar w:fldCharType="begin"/>
          </w:r>
          <w:r>
            <w:instrText xml:space="preserve"> PAGEREF _Toc116649657 \h </w:instrText>
          </w:r>
          <w:r>
            <w:fldChar w:fldCharType="separate"/>
          </w:r>
          <w:r>
            <w:t>26</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"_Toc116649658" </w:instrText>
          </w:r>
          <w:r>
            <w:fldChar w:fldCharType="separate"/>
          </w:r>
          <w:r>
            <w:rPr>
              <w:rStyle w:val="11"/>
              <w:rFonts w:hint="eastAsia"/>
            </w:rPr>
            <w:t>第十条</w:t>
          </w:r>
          <w:r>
            <w:rPr>
              <w:rStyle w:val="11"/>
            </w:rPr>
            <w:t xml:space="preserve">  </w:t>
          </w:r>
          <w:r>
            <w:rPr>
              <w:rStyle w:val="11"/>
              <w:rFonts w:hint="eastAsia"/>
            </w:rPr>
            <w:t>理财产品的终止与清算</w:t>
          </w:r>
          <w:r>
            <w:tab/>
          </w:r>
          <w:r>
            <w:fldChar w:fldCharType="begin"/>
          </w:r>
          <w:r>
            <w:instrText xml:space="preserve"> PAGEREF _Toc116649658 \h </w:instrText>
          </w:r>
          <w:r>
            <w:fldChar w:fldCharType="separate"/>
          </w:r>
          <w:r>
            <w:t>29</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"_Toc116649659" </w:instrText>
          </w:r>
          <w:r>
            <w:fldChar w:fldCharType="separate"/>
          </w:r>
          <w:r>
            <w:rPr>
              <w:rStyle w:val="11"/>
              <w:rFonts w:hint="eastAsia" w:ascii="Times New Roman"/>
            </w:rPr>
            <w:t>第十一条</w:t>
          </w:r>
          <w:r>
            <w:rPr>
              <w:rStyle w:val="11"/>
              <w:rFonts w:ascii="Times New Roman"/>
            </w:rPr>
            <w:t xml:space="preserve">  </w:t>
          </w:r>
          <w:r>
            <w:rPr>
              <w:rStyle w:val="11"/>
              <w:rFonts w:hint="eastAsia" w:ascii="Times New Roman"/>
            </w:rPr>
            <w:t>理财产品的信息披露</w:t>
          </w:r>
          <w:r>
            <w:tab/>
          </w:r>
          <w:r>
            <w:fldChar w:fldCharType="begin"/>
          </w:r>
          <w:r>
            <w:instrText xml:space="preserve"> PAGEREF _Toc116649659 \h </w:instrText>
          </w:r>
          <w:r>
            <w:fldChar w:fldCharType="separate"/>
          </w:r>
          <w:r>
            <w:t>31</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"_Toc116649660" </w:instrText>
          </w:r>
          <w:r>
            <w:fldChar w:fldCharType="separate"/>
          </w:r>
          <w:r>
            <w:rPr>
              <w:rStyle w:val="11"/>
              <w:rFonts w:hint="eastAsia" w:ascii="Times New Roman"/>
            </w:rPr>
            <w:t>第十二条</w:t>
          </w:r>
          <w:r>
            <w:rPr>
              <w:rStyle w:val="11"/>
              <w:rFonts w:ascii="Times New Roman"/>
            </w:rPr>
            <w:t xml:space="preserve">  </w:t>
          </w:r>
          <w:r>
            <w:rPr>
              <w:rStyle w:val="11"/>
              <w:rFonts w:hint="eastAsia" w:ascii="Times New Roman"/>
            </w:rPr>
            <w:t>理财产品的风险揭示</w:t>
          </w:r>
          <w:r>
            <w:tab/>
          </w:r>
          <w:r>
            <w:fldChar w:fldCharType="begin"/>
          </w:r>
          <w:r>
            <w:instrText xml:space="preserve"> PAGEREF _Toc116649660 \h </w:instrText>
          </w:r>
          <w:r>
            <w:fldChar w:fldCharType="separate"/>
          </w:r>
          <w:r>
            <w:t>33</w:t>
          </w:r>
          <w:r>
            <w:fldChar w:fldCharType="end"/>
          </w:r>
          <w:r>
            <w:fldChar w:fldCharType="end"/>
          </w:r>
        </w:p>
        <w:p>
          <w:pPr>
            <w:spacing w:line="360" w:lineRule="auto"/>
          </w:pPr>
          <w:r>
            <w:fldChar w:fldCharType="end"/>
          </w:r>
        </w:p>
      </w:sdtContent>
    </w:sdt>
    <w:p>
      <w:pPr>
        <w:rPr>
          <w:rFonts w:ascii="Times New Roman"/>
          <w:sz w:val="30"/>
        </w:rPr>
      </w:pPr>
      <w:r>
        <w:rPr>
          <w:rFonts w:ascii="Times New Roman"/>
          <w:sz w:val="30"/>
        </w:rPr>
        <w:br w:type="page"/>
      </w:r>
    </w:p>
    <w:p>
      <w:pPr>
        <w:pStyle w:val="2"/>
        <w:spacing w:before="0" w:after="0" w:line="360" w:lineRule="auto"/>
        <w:jc w:val="center"/>
        <w:rPr>
          <w:rFonts w:ascii="Times New Roman"/>
          <w:sz w:val="30"/>
        </w:rPr>
      </w:pPr>
      <w:bookmarkStart w:id="62" w:name="_Toc116649649"/>
      <w:r>
        <w:rPr>
          <w:rFonts w:ascii="Times New Roman"/>
          <w:sz w:val="30"/>
        </w:rPr>
        <w:t>第</w:t>
      </w:r>
      <w:r>
        <w:rPr>
          <w:rFonts w:hint="eastAsia" w:ascii="Times New Roman"/>
          <w:sz w:val="30"/>
        </w:rPr>
        <w:t xml:space="preserve">一条 </w:t>
      </w:r>
      <w:r>
        <w:rPr>
          <w:rFonts w:ascii="Times New Roman"/>
          <w:sz w:val="30"/>
        </w:rPr>
        <w:t xml:space="preserve"> 释义</w:t>
      </w:r>
      <w:bookmarkEnd w:id="61"/>
      <w:bookmarkEnd w:id="62"/>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pPr>
        <w:pStyle w:val="1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：指兴业银行股份有限公司（以下简称</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）。兴业银行成立于</w:t>
      </w:r>
      <w:r>
        <w:rPr>
          <w:rFonts w:asciiTheme="majorEastAsia" w:hAnsiTheme="majorEastAsia" w:eastAsiaTheme="majorEastAsia"/>
          <w:bCs/>
          <w:color w:val="auto"/>
          <w:sz w:val="18"/>
          <w:szCs w:val="18"/>
        </w:rPr>
        <w:t>1988年，于2005年开展资产托管业务，具备理财产品托管资格。</w:t>
      </w:r>
      <w:r>
        <w:rPr>
          <w:rFonts w:hint="eastAsia" w:asciiTheme="majorEastAsia" w:hAnsiTheme="majorEastAsia" w:eastAsiaTheme="majorEastAsia"/>
          <w:bCs/>
          <w:color w:val="auto"/>
          <w:sz w:val="18"/>
          <w:szCs w:val="18"/>
        </w:rPr>
        <w:t>托管人负责履行安全保管理财产品资金及其所投资的资产，办理清算、交割事宜，与管理人对账，监督理财产品投资运作等职责。</w:t>
      </w:r>
      <w:r>
        <w:rPr>
          <w:rFonts w:asciiTheme="majorEastAsia" w:hAnsiTheme="majorEastAsia" w:eastAsiaTheme="majorEastAsia"/>
          <w:bCs/>
          <w:color w:val="auto"/>
          <w:sz w:val="18"/>
          <w:szCs w:val="18"/>
        </w:rPr>
        <w:t xml:space="preserve"> </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监管部门</w:t>
      </w:r>
      <w:r>
        <w:rPr>
          <w:rFonts w:asciiTheme="majorEastAsia" w:hAnsiTheme="majorEastAsia" w:eastAsiaTheme="majorEastAsia"/>
          <w:bCs/>
          <w:color w:val="auto"/>
          <w:sz w:val="18"/>
          <w:szCs w:val="18"/>
        </w:rPr>
        <w:t>认定的其他业务活动。各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投资者：指符合相关法律法规、监管规定要求的，可以购买理财产品份额的自然人和法人。</w:t>
      </w:r>
      <w:r>
        <w:rPr>
          <w:rFonts w:asciiTheme="majorEastAsia" w:hAnsiTheme="majorEastAsia" w:eastAsiaTheme="majorEastAsia"/>
          <w:bCs/>
          <w:sz w:val="18"/>
          <w:szCs w:val="18"/>
        </w:rPr>
        <w:t xml:space="preserve"> </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pPr>
        <w:pStyle w:val="14"/>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（6）全国银行业理财信息登记系统：指供商业银行及商业银行理财公司进行理财产品电子化报告和信息登记的电子信息系统。</w:t>
      </w:r>
    </w:p>
    <w:p>
      <w:pPr>
        <w:pStyle w:val="14"/>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：指产品管理人向投资者提供的，用于描述产品特征，约定权利义务的文件。具体指《兴银理财【稳利安盈封闭式】理财产品销售文件》，包括《投资协议书》、《产品说明书》、《（代理）销售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《投资协议书》：指管理人统一编制的《兴银理财【稳利安盈封闭式】理财产品投资协议书》，以及对该文件的有效修改或补充。</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）《产品说明书》：指管理人统一编制的《兴银理财【稳利安盈封闭式】理财产品产品说明书》，以及对该文件的有效修改或补充。</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（4）《（代理）销售协议书》：指管理人统一编制的《兴银理财【稳利安盈封闭式】理财产品（代理）销售协议书》或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的《兴银理财【稳利安盈封闭式】理财产品（代理）销售协议书》（文件名称以代理销售机构实际编制为准），以及对该文件的有效修改或补充。</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）《风险揭示书》：指管理人统一编制的《兴银理财【稳利安盈封闭式】理财产品风险揭示书》或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的《兴银理财【稳利安盈封闭式】理财产品风险揭示书》（文件名称以代理销售机构实际编制为准），以及对该文件的有效修改或补充。</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）《投资者权益须知》：指管理人统一编制的《兴银理财【稳利安盈封闭式】理财产品投资者权益须知》或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《兴银理财【稳利安盈封闭式】理财产品投资者权益须知》（文件名称以代理销售机构实际编制为准），以及对该文件的有效修改或补充。</w:t>
      </w:r>
    </w:p>
    <w:p>
      <w:pPr>
        <w:pStyle w:val="1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w:t>
      </w:r>
      <w:r>
        <w:rPr>
          <w:rFonts w:hint="eastAsia" w:asciiTheme="majorEastAsia" w:hAnsiTheme="majorEastAsia" w:eastAsiaTheme="majorEastAsia"/>
          <w:bCs/>
          <w:color w:val="auto"/>
          <w:sz w:val="18"/>
          <w:szCs w:val="18"/>
        </w:rPr>
        <w:t>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为每类份额类别设置的唯一性</w:t>
      </w:r>
      <w:r>
        <w:rPr>
          <w:rFonts w:hint="eastAsia" w:asciiTheme="majorEastAsia" w:hAnsiTheme="majorEastAsia" w:eastAsiaTheme="majorEastAsia"/>
          <w:bCs/>
          <w:color w:val="auto"/>
          <w:sz w:val="18"/>
          <w:szCs w:val="18"/>
        </w:rPr>
        <w:t>内部识别码。若本款理财产品不设置差异化产品份额类别，理财产品代码即为理财产品销售代码。</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w:t>
      </w:r>
      <w:r>
        <w:rPr>
          <w:rFonts w:asciiTheme="majorEastAsia" w:hAnsiTheme="majorEastAsia" w:eastAsiaTheme="majorEastAsia"/>
          <w:bCs/>
          <w:sz w:val="18"/>
          <w:szCs w:val="18"/>
        </w:rPr>
        <w:t>理财</w:t>
      </w:r>
      <w:r>
        <w:rPr>
          <w:rFonts w:hint="eastAsia" w:asciiTheme="majorEastAsia" w:hAnsiTheme="majorEastAsia" w:eastAsiaTheme="majorEastAsia"/>
          <w:bCs/>
          <w:sz w:val="18"/>
          <w:szCs w:val="18"/>
        </w:rPr>
        <w:t>产品通过代理销售机构销售的，理财产品评级以代理销售机构最终披露的评级结果为准。产品管理人和代理销售机构对理财产品的风险等级评估结果不一致时，代理销售机构应采用对应较高风险的评级结果。</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产品的投资者类型。</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理财产品负债总值是指理财产品运作及融资时形成的负债价值总和，包括融资资金本息、应付各项费用（包括托管费、认购费、固定管理费、计入负债的业绩报酬、其他费用等）、应付税金及其他应付款项等。</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。投资者按该份额净值进行理财产品申购、赎回和终止时分配。理财</w:t>
      </w:r>
      <w:r>
        <w:rPr>
          <w:rFonts w:asciiTheme="majorEastAsia" w:hAnsiTheme="majorEastAsia" w:eastAsiaTheme="majorEastAsia"/>
          <w:bCs/>
          <w:color w:val="auto"/>
          <w:sz w:val="18"/>
          <w:szCs w:val="18"/>
        </w:rPr>
        <w:t>产品份额净值四舍五入保留5位小数。</w:t>
      </w:r>
    </w:p>
    <w:p>
      <w:pPr>
        <w:pStyle w:val="1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pPr>
        <w:pStyle w:val="1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0）理财产品估值：指计算评估理财产品资产和理财产品负债的价值，以确定理财产品份额净值的过程。</w:t>
      </w:r>
    </w:p>
    <w:p>
      <w:pPr>
        <w:pStyle w:val="1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sz w:val="18"/>
        </w:rPr>
        <w:t>不</w:t>
      </w:r>
      <w:r>
        <w:rPr>
          <w:rFonts w:hint="eastAsia" w:ascii="黑体" w:hAnsi="黑体" w:eastAsia="黑体"/>
          <w:bCs/>
          <w:sz w:val="18"/>
          <w:szCs w:val="18"/>
        </w:rPr>
        <w:t>构成对</w:t>
      </w:r>
      <w:r>
        <w:rPr>
          <w:rFonts w:hint="eastAsia" w:ascii="黑体" w:hAnsi="黑体"/>
          <w:sz w:val="18"/>
        </w:rPr>
        <w:t>产品收益的</w:t>
      </w:r>
      <w:r>
        <w:rPr>
          <w:rFonts w:hint="eastAsia" w:ascii="黑体" w:hAnsi="黑体" w:eastAsia="黑体"/>
          <w:bCs/>
          <w:sz w:val="18"/>
          <w:szCs w:val="18"/>
        </w:rPr>
        <w:t>承诺</w:t>
      </w:r>
      <w:r>
        <w:rPr>
          <w:rFonts w:hint="eastAsia" w:ascii="黑体" w:hAnsi="黑体"/>
          <w:sz w:val="18"/>
        </w:rPr>
        <w:t>，</w:t>
      </w:r>
      <w:r>
        <w:rPr>
          <w:rFonts w:hint="eastAsia" w:ascii="黑体" w:hAnsi="黑体" w:eastAsia="黑体"/>
          <w:bCs/>
          <w:color w:val="auto"/>
          <w:sz w:val="18"/>
          <w:szCs w:val="18"/>
        </w:rPr>
        <w:t>投资须谨慎。</w:t>
      </w:r>
    </w:p>
    <w:p>
      <w:pPr>
        <w:pStyle w:val="1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3）理财产品利益/理财利益：指投资者因持有理财产品份额，按照销售文件约定取得或有权取得的理财产品管理人分配的理财产品资产。</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4</w:t>
      </w:r>
      <w:r>
        <w:rPr>
          <w:rFonts w:asciiTheme="majorEastAsia" w:hAnsiTheme="majorEastAsia" w:eastAsiaTheme="majorEastAsia"/>
          <w:bCs/>
          <w:color w:val="auto"/>
          <w:sz w:val="18"/>
          <w:szCs w:val="18"/>
        </w:rPr>
        <w:t xml:space="preserve">）利益分配：指产品管理人向投资者进行理财产品利益分配。 </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w:t>
      </w:r>
      <w:r>
        <w:rPr>
          <w:rFonts w:asciiTheme="majorEastAsia" w:hAnsiTheme="majorEastAsia" w:eastAsiaTheme="majorEastAsia"/>
          <w:bCs/>
          <w:color w:val="auto"/>
          <w:sz w:val="18"/>
          <w:szCs w:val="18"/>
        </w:rPr>
        <w:t xml:space="preserve">）期间分配：指在理财产品终止日（不含当日）前的理财产品利益分配。 </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w:t>
      </w:r>
      <w:r>
        <w:rPr>
          <w:rFonts w:asciiTheme="majorEastAsia" w:hAnsiTheme="majorEastAsia" w:eastAsiaTheme="majorEastAsia"/>
          <w:bCs/>
          <w:color w:val="auto"/>
          <w:sz w:val="18"/>
          <w:szCs w:val="18"/>
        </w:rPr>
        <w:t>）终止分配：指在理财产品终止日当日及之后的理财产品利益分配。</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pPr>
        <w:pStyle w:val="1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18</w:t>
      </w:r>
      <w:r>
        <w:rPr>
          <w:rFonts w:hint="eastAsia" w:asciiTheme="majorEastAsia" w:hAnsiTheme="majorEastAsia" w:eastAsiaTheme="majorEastAsia"/>
          <w:bCs/>
          <w:color w:val="auto"/>
          <w:sz w:val="18"/>
          <w:szCs w:val="18"/>
        </w:rPr>
        <w:t>）申购：</w:t>
      </w:r>
      <w:r>
        <w:rPr>
          <w:rFonts w:hint="eastAsia" w:asciiTheme="minorEastAsia" w:hAnsiTheme="minorEastAsia" w:eastAsiaTheme="minorEastAsia"/>
          <w:color w:val="auto"/>
          <w:sz w:val="18"/>
          <w:szCs w:val="18"/>
        </w:rPr>
        <w:t>指开放式理财产品成立后，投资者申请购买理财产品份额的行为。</w:t>
      </w:r>
    </w:p>
    <w:p>
      <w:pPr>
        <w:pStyle w:val="1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pPr>
        <w:pStyle w:val="1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pPr>
        <w:pStyle w:val="1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19</w:t>
      </w:r>
      <w:r>
        <w:rPr>
          <w:rFonts w:hint="eastAsia" w:asciiTheme="majorEastAsia" w:hAnsiTheme="majorEastAsia" w:eastAsiaTheme="majorEastAsia"/>
          <w:bCs/>
          <w:color w:val="auto"/>
          <w:sz w:val="18"/>
          <w:szCs w:val="18"/>
        </w:rPr>
        <w:t>）赎回：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pPr>
        <w:pStyle w:val="1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工作日：指国家法定工作日。</w:t>
      </w:r>
      <w:r>
        <w:rPr>
          <w:rFonts w:asciiTheme="majorEastAsia" w:hAnsiTheme="majorEastAsia" w:eastAsiaTheme="majorEastAsia"/>
          <w:bCs/>
          <w:color w:val="auto"/>
          <w:sz w:val="18"/>
          <w:szCs w:val="18"/>
        </w:rPr>
        <w:t xml:space="preserve"> </w:t>
      </w:r>
    </w:p>
    <w:p>
      <w:pPr>
        <w:pStyle w:val="14"/>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w:t>
      </w:r>
      <w:r>
        <w:rPr>
          <w:color w:val="auto"/>
          <w:sz w:val="18"/>
          <w:szCs w:val="18"/>
        </w:rPr>
        <w:t>理财</w:t>
      </w:r>
      <w:r>
        <w:rPr>
          <w:rFonts w:hint="eastAsia"/>
          <w:color w:val="auto"/>
          <w:sz w:val="18"/>
          <w:szCs w:val="18"/>
        </w:rPr>
        <w:t>产品开始运作的日期。</w:t>
      </w:r>
    </w:p>
    <w:p>
      <w:pPr>
        <w:pStyle w:val="14"/>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w:t>
      </w:r>
      <w:r>
        <w:rPr>
          <w:color w:val="auto"/>
          <w:sz w:val="18"/>
          <w:szCs w:val="18"/>
        </w:rPr>
        <w:t>理财</w:t>
      </w:r>
      <w:r>
        <w:rPr>
          <w:rFonts w:hint="eastAsia"/>
          <w:color w:val="auto"/>
          <w:sz w:val="18"/>
          <w:szCs w:val="18"/>
        </w:rPr>
        <w:t>产品终止的日期。</w:t>
      </w:r>
    </w:p>
    <w:p>
      <w:pPr>
        <w:pStyle w:val="14"/>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pPr>
        <w:pStyle w:val="14"/>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理财利益</w:t>
      </w:r>
      <w:r>
        <w:rPr>
          <w:rFonts w:hint="eastAsia" w:hAnsi="宋体"/>
          <w:color w:val="auto"/>
          <w:sz w:val="18"/>
          <w:szCs w:val="18"/>
        </w:rPr>
        <w:t>的日期。</w:t>
      </w:r>
    </w:p>
    <w:p>
      <w:pPr>
        <w:pStyle w:val="14"/>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（11）产品存续期：指自理财产品成立日起，至理财产品终止日的期间。</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2）清算期：指自本理财产品终止日至投资者理财利益到账日之间的期间。</w:t>
      </w:r>
    </w:p>
    <w:p>
      <w:pPr>
        <w:pStyle w:val="1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pPr>
        <w:pStyle w:val="14"/>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pPr>
        <w:pStyle w:val="14"/>
        <w:spacing w:line="360" w:lineRule="auto"/>
        <w:ind w:firstLine="360" w:firstLineChars="200"/>
        <w:rPr>
          <w:rFonts w:hAnsi="宋体"/>
          <w:sz w:val="18"/>
          <w:szCs w:val="18"/>
        </w:rPr>
      </w:pPr>
      <w:r>
        <w:rPr>
          <w:rFonts w:hint="eastAsia" w:hAnsi="宋体"/>
          <w:sz w:val="18"/>
          <w:szCs w:val="18"/>
        </w:rPr>
        <w:t>（2）</w:t>
      </w:r>
      <w:r>
        <w:rPr>
          <w:rFonts w:hint="eastAsia" w:ascii="黑体" w:hAnsi="黑体" w:eastAsia="黑体" w:cs="仿宋_GB2312"/>
          <w:bCs/>
          <w:color w:val="auto"/>
          <w:sz w:val="18"/>
          <w:szCs w:val="18"/>
        </w:rPr>
        <w:t>★</w:t>
      </w:r>
      <w:r>
        <w:rPr>
          <w:rFonts w:hint="eastAsia" w:hAnsi="宋体"/>
          <w:sz w:val="18"/>
          <w:szCs w:val="18"/>
        </w:rPr>
        <w:t>销售服务费：指因理财产品销售行为产生的费用。</w:t>
      </w:r>
    </w:p>
    <w:p>
      <w:pPr>
        <w:pStyle w:val="14"/>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pPr>
        <w:pStyle w:val="14"/>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pPr>
        <w:pStyle w:val="14"/>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pPr>
        <w:pStyle w:val="1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）国家金融监督管理总局：为免歧义，原中国银行业监督管理委员会、原中国银行保险监督管理委员会与国家金融监督管理总局均统称为“国家金融监督管理总局”。</w:t>
      </w:r>
    </w:p>
    <w:p>
      <w:pPr>
        <w:spacing w:line="360" w:lineRule="auto"/>
        <w:ind w:firstLine="360" w:firstLineChars="200"/>
        <w:rPr>
          <w:rFonts w:ascii="宋体" w:hAnsi="宋体"/>
          <w:color w:val="000000"/>
          <w:kern w:val="0"/>
          <w:sz w:val="28"/>
          <w:szCs w:val="2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r>
        <w:rPr>
          <w:rFonts w:hAnsi="宋体"/>
          <w:sz w:val="28"/>
          <w:szCs w:val="28"/>
        </w:rPr>
        <w:br w:type="page"/>
      </w:r>
    </w:p>
    <w:p>
      <w:pPr>
        <w:pStyle w:val="2"/>
        <w:spacing w:before="0" w:after="0" w:line="360" w:lineRule="auto"/>
        <w:jc w:val="center"/>
        <w:rPr>
          <w:rFonts w:hAnsi="宋体"/>
          <w:sz w:val="28"/>
          <w:szCs w:val="28"/>
        </w:rPr>
      </w:pPr>
      <w:bookmarkStart w:id="63" w:name="_Toc79154665"/>
      <w:bookmarkStart w:id="64" w:name="_Toc116649650"/>
      <w:r>
        <w:rPr>
          <w:rFonts w:hint="eastAsia" w:hAnsi="宋体"/>
          <w:sz w:val="28"/>
          <w:szCs w:val="28"/>
        </w:rPr>
        <w:t>第二条  理财产品基本情况</w:t>
      </w:r>
      <w:bookmarkEnd w:id="63"/>
      <w:r>
        <w:rPr>
          <w:rFonts w:hint="eastAsia" w:hAnsi="宋体"/>
          <w:sz w:val="28"/>
          <w:szCs w:val="28"/>
        </w:rPr>
        <w:t xml:space="preserve"> </w:t>
      </w:r>
      <w:bookmarkEnd w:id="64"/>
    </w:p>
    <w:tbl>
      <w:tblPr>
        <w:tblStyle w:val="7"/>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70"/>
        <w:gridCol w:w="767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1"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7674" w:type="dxa"/>
            <w:shd w:val="solid" w:color="FFFFFF" w:fill="FFFFFF"/>
          </w:tcPr>
          <w:p>
            <w:pPr>
              <w:spacing w:line="360" w:lineRule="auto"/>
              <w:rPr>
                <w:rFonts w:ascii="宋体" w:hAnsi="宋体"/>
                <w:bCs/>
                <w:sz w:val="18"/>
                <w:szCs w:val="18"/>
              </w:rPr>
            </w:pPr>
            <w:r>
              <w:rPr>
                <w:rFonts w:hint="eastAsia" w:ascii="宋体" w:hAnsi="宋体"/>
                <w:bCs/>
                <w:sz w:val="18"/>
                <w:szCs w:val="18"/>
              </w:rPr>
              <w:t>【兴银理财稳利安盈封闭式2024年</w:t>
            </w:r>
            <w:r>
              <w:rPr>
                <w:rFonts w:hint="eastAsia" w:ascii="宋体" w:hAnsi="宋体"/>
                <w:bCs/>
                <w:sz w:val="18"/>
                <w:szCs w:val="18"/>
                <w:lang w:val="en-US" w:eastAsia="zh-CN"/>
              </w:rPr>
              <w:t>12</w:t>
            </w:r>
            <w:r>
              <w:rPr>
                <w:rFonts w:hint="eastAsia" w:ascii="宋体" w:hAnsi="宋体"/>
                <w:bCs/>
                <w:sz w:val="18"/>
                <w:szCs w:val="18"/>
              </w:rPr>
              <w:t>期固收类理财产品】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3"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674" w:type="dxa"/>
            <w:shd w:val="solid" w:color="FFFFFF" w:fill="FFFFFF"/>
          </w:tcPr>
          <w:p>
            <w:pPr>
              <w:spacing w:line="360" w:lineRule="auto"/>
              <w:rPr>
                <w:rFonts w:hint="eastAsia" w:ascii="宋体" w:hAnsi="宋体"/>
                <w:bCs/>
                <w:sz w:val="18"/>
                <w:szCs w:val="18"/>
              </w:rPr>
            </w:pPr>
            <w:r>
              <w:rPr>
                <w:rFonts w:hint="eastAsia" w:ascii="宋体" w:hAnsi="宋体"/>
                <w:bCs/>
                <w:sz w:val="18"/>
                <w:szCs w:val="18"/>
              </w:rPr>
              <w:t>【稳利安盈2024年</w:t>
            </w:r>
            <w:r>
              <w:rPr>
                <w:rFonts w:hint="eastAsia" w:ascii="宋体" w:hAnsi="宋体"/>
                <w:bCs/>
                <w:sz w:val="18"/>
                <w:szCs w:val="18"/>
                <w:lang w:val="en-US" w:eastAsia="zh-CN"/>
              </w:rPr>
              <w:t>12</w:t>
            </w:r>
            <w:r>
              <w:rPr>
                <w:rFonts w:hint="eastAsia" w:ascii="宋体" w:hAnsi="宋体"/>
                <w:bCs/>
                <w:sz w:val="18"/>
                <w:szCs w:val="18"/>
              </w:rPr>
              <w:t>期</w:t>
            </w:r>
            <w:r>
              <w:rPr>
                <w:rFonts w:hint="eastAsia" w:ascii="宋体" w:hAnsi="宋体"/>
                <w:bCs/>
                <w:sz w:val="18"/>
                <w:szCs w:val="18"/>
                <w:lang w:val="en-US" w:eastAsia="zh-CN"/>
              </w:rPr>
              <w:t>A</w:t>
            </w:r>
            <w:r>
              <w:rPr>
                <w:rFonts w:hint="eastAsia" w:ascii="宋体" w:hAnsi="宋体"/>
                <w:bCs/>
                <w:sz w:val="18"/>
                <w:szCs w:val="18"/>
              </w:rPr>
              <w:t>（季季兴）】（适用【A】类份额）</w:t>
            </w:r>
          </w:p>
          <w:p>
            <w:pPr>
              <w:spacing w:line="360" w:lineRule="auto"/>
              <w:rPr>
                <w:rFonts w:hint="eastAsia" w:ascii="宋体" w:hAnsi="宋体"/>
                <w:bCs/>
                <w:sz w:val="18"/>
                <w:szCs w:val="18"/>
              </w:rPr>
            </w:pPr>
            <w:r>
              <w:rPr>
                <w:rFonts w:hint="eastAsia" w:ascii="宋体" w:hAnsi="宋体"/>
                <w:bCs/>
                <w:sz w:val="18"/>
                <w:szCs w:val="18"/>
              </w:rPr>
              <w:t>【稳利安盈2024年</w:t>
            </w:r>
            <w:r>
              <w:rPr>
                <w:rFonts w:hint="eastAsia" w:ascii="宋体" w:hAnsi="宋体"/>
                <w:bCs/>
                <w:sz w:val="18"/>
                <w:szCs w:val="18"/>
                <w:lang w:val="en-US" w:eastAsia="zh-CN"/>
              </w:rPr>
              <w:t>12</w:t>
            </w:r>
            <w:r>
              <w:rPr>
                <w:rFonts w:hint="eastAsia" w:ascii="宋体" w:hAnsi="宋体"/>
                <w:bCs/>
                <w:sz w:val="18"/>
                <w:szCs w:val="18"/>
              </w:rPr>
              <w:t>期</w:t>
            </w:r>
            <w:r>
              <w:rPr>
                <w:rFonts w:hint="eastAsia" w:ascii="宋体" w:hAnsi="宋体"/>
                <w:bCs/>
                <w:sz w:val="18"/>
                <w:szCs w:val="18"/>
                <w:lang w:val="en-US" w:eastAsia="zh-CN"/>
              </w:rPr>
              <w:t>B</w:t>
            </w:r>
            <w:r>
              <w:rPr>
                <w:rFonts w:hint="eastAsia" w:ascii="宋体" w:hAnsi="宋体"/>
                <w:bCs/>
                <w:sz w:val="18"/>
                <w:szCs w:val="18"/>
              </w:rPr>
              <w:t>（季季兴）】（适用【B】类份额）</w:t>
            </w:r>
          </w:p>
          <w:p>
            <w:pPr>
              <w:spacing w:line="360" w:lineRule="auto"/>
              <w:rPr>
                <w:rFonts w:hint="eastAsia" w:ascii="宋体" w:hAnsi="宋体"/>
                <w:bCs/>
                <w:sz w:val="18"/>
                <w:szCs w:val="18"/>
              </w:rPr>
            </w:pPr>
            <w:r>
              <w:rPr>
                <w:rFonts w:hint="eastAsia" w:ascii="宋体" w:hAnsi="宋体"/>
                <w:bCs/>
                <w:sz w:val="18"/>
                <w:szCs w:val="18"/>
              </w:rPr>
              <w:t>【稳利安盈2024年</w:t>
            </w:r>
            <w:r>
              <w:rPr>
                <w:rFonts w:hint="eastAsia" w:ascii="宋体" w:hAnsi="宋体"/>
                <w:bCs/>
                <w:sz w:val="18"/>
                <w:szCs w:val="18"/>
                <w:lang w:val="en-US" w:eastAsia="zh-CN"/>
              </w:rPr>
              <w:t>12</w:t>
            </w:r>
            <w:r>
              <w:rPr>
                <w:rFonts w:hint="eastAsia" w:ascii="宋体" w:hAnsi="宋体"/>
                <w:bCs/>
                <w:sz w:val="18"/>
                <w:szCs w:val="18"/>
              </w:rPr>
              <w:t>期</w:t>
            </w:r>
            <w:r>
              <w:rPr>
                <w:rFonts w:hint="eastAsia" w:ascii="宋体" w:hAnsi="宋体"/>
                <w:bCs/>
                <w:sz w:val="18"/>
                <w:szCs w:val="18"/>
                <w:lang w:val="en-US" w:eastAsia="zh-CN"/>
              </w:rPr>
              <w:t>C</w:t>
            </w:r>
            <w:r>
              <w:rPr>
                <w:rFonts w:hint="eastAsia" w:ascii="宋体" w:hAnsi="宋体"/>
                <w:bCs/>
                <w:sz w:val="18"/>
                <w:szCs w:val="18"/>
              </w:rPr>
              <w:t>（季季兴）】（适用【C】类份额）</w:t>
            </w:r>
          </w:p>
          <w:p>
            <w:pPr>
              <w:spacing w:line="360" w:lineRule="auto"/>
              <w:rPr>
                <w:rFonts w:hint="eastAsia" w:ascii="宋体" w:hAnsi="宋体"/>
                <w:bCs/>
                <w:sz w:val="18"/>
                <w:szCs w:val="18"/>
              </w:rPr>
            </w:pPr>
            <w:r>
              <w:rPr>
                <w:rFonts w:hint="eastAsia" w:ascii="宋体" w:hAnsi="宋体"/>
                <w:bCs/>
                <w:sz w:val="18"/>
                <w:szCs w:val="18"/>
              </w:rPr>
              <w:t>【稳利安盈2024年</w:t>
            </w:r>
            <w:r>
              <w:rPr>
                <w:rFonts w:hint="eastAsia" w:ascii="宋体" w:hAnsi="宋体"/>
                <w:bCs/>
                <w:sz w:val="18"/>
                <w:szCs w:val="18"/>
                <w:lang w:val="en-US" w:eastAsia="zh-CN"/>
              </w:rPr>
              <w:t>12</w:t>
            </w:r>
            <w:r>
              <w:rPr>
                <w:rFonts w:hint="eastAsia" w:ascii="宋体" w:hAnsi="宋体"/>
                <w:bCs/>
                <w:sz w:val="18"/>
                <w:szCs w:val="18"/>
              </w:rPr>
              <w:t>期</w:t>
            </w:r>
            <w:r>
              <w:rPr>
                <w:rFonts w:hint="eastAsia" w:ascii="宋体" w:hAnsi="宋体"/>
                <w:bCs/>
                <w:sz w:val="18"/>
                <w:szCs w:val="18"/>
                <w:lang w:val="en-US" w:eastAsia="zh-CN"/>
              </w:rPr>
              <w:t>D</w:t>
            </w:r>
            <w:r>
              <w:rPr>
                <w:rFonts w:hint="eastAsia" w:ascii="宋体" w:hAnsi="宋体"/>
                <w:bCs/>
                <w:sz w:val="18"/>
                <w:szCs w:val="18"/>
              </w:rPr>
              <w:t>（季季兴）】（适用【D】类份额）</w:t>
            </w:r>
          </w:p>
          <w:p>
            <w:pPr>
              <w:spacing w:line="360" w:lineRule="auto"/>
              <w:rPr>
                <w:rFonts w:hint="eastAsia" w:ascii="宋体" w:hAnsi="宋体"/>
                <w:bCs/>
                <w:sz w:val="18"/>
                <w:szCs w:val="18"/>
              </w:rPr>
            </w:pPr>
            <w:r>
              <w:rPr>
                <w:rFonts w:hint="eastAsia" w:ascii="宋体" w:hAnsi="宋体"/>
                <w:bCs/>
                <w:sz w:val="18"/>
                <w:szCs w:val="18"/>
              </w:rPr>
              <w:t>【稳利安盈2024年</w:t>
            </w:r>
            <w:r>
              <w:rPr>
                <w:rFonts w:hint="eastAsia" w:ascii="宋体" w:hAnsi="宋体"/>
                <w:bCs/>
                <w:sz w:val="18"/>
                <w:szCs w:val="18"/>
                <w:lang w:val="en-US" w:eastAsia="zh-CN"/>
              </w:rPr>
              <w:t>12</w:t>
            </w:r>
            <w:r>
              <w:rPr>
                <w:rFonts w:hint="eastAsia" w:ascii="宋体" w:hAnsi="宋体"/>
                <w:bCs/>
                <w:sz w:val="18"/>
                <w:szCs w:val="18"/>
              </w:rPr>
              <w:t>期</w:t>
            </w:r>
            <w:r>
              <w:rPr>
                <w:rFonts w:hint="eastAsia" w:ascii="宋体" w:hAnsi="宋体"/>
                <w:bCs/>
                <w:sz w:val="18"/>
                <w:szCs w:val="18"/>
                <w:lang w:val="en-US" w:eastAsia="zh-CN"/>
              </w:rPr>
              <w:t>E</w:t>
            </w:r>
            <w:r>
              <w:rPr>
                <w:rFonts w:hint="eastAsia" w:ascii="宋体" w:hAnsi="宋体"/>
                <w:bCs/>
                <w:sz w:val="18"/>
                <w:szCs w:val="18"/>
              </w:rPr>
              <w:t>（季季兴）】（适用【</w:t>
            </w:r>
            <w:r>
              <w:rPr>
                <w:rFonts w:hint="eastAsia" w:ascii="宋体" w:hAnsi="宋体"/>
                <w:bCs/>
                <w:sz w:val="18"/>
                <w:szCs w:val="18"/>
                <w:lang w:val="en-US" w:eastAsia="zh-CN"/>
              </w:rPr>
              <w:t>E</w:t>
            </w:r>
            <w:r>
              <w:rPr>
                <w:rFonts w:hint="eastAsia" w:ascii="宋体" w:hAnsi="宋体"/>
                <w:bCs/>
                <w:sz w:val="18"/>
                <w:szCs w:val="18"/>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674" w:type="dxa"/>
            <w:shd w:val="solid" w:color="FFFFFF" w:fill="FFFFFF"/>
          </w:tcPr>
          <w:p>
            <w:pPr>
              <w:spacing w:line="360" w:lineRule="auto"/>
              <w:rPr>
                <w:rFonts w:ascii="宋体" w:hAnsi="宋体"/>
                <w:b/>
                <w:sz w:val="18"/>
                <w:szCs w:val="18"/>
              </w:rPr>
            </w:pPr>
            <w:r>
              <w:rPr>
                <w:rFonts w:hint="eastAsia" w:asciiTheme="minorEastAsia" w:hAnsiTheme="minorEastAsia"/>
                <w:sz w:val="18"/>
                <w:szCs w:val="18"/>
              </w:rPr>
              <w:t>【</w:t>
            </w:r>
            <w:r>
              <w:rPr>
                <w:rFonts w:hint="eastAsia" w:asciiTheme="minorEastAsia" w:hAnsiTheme="minorEastAsia"/>
                <w:sz w:val="18"/>
                <w:szCs w:val="18"/>
                <w:lang w:val="en-US" w:eastAsia="zh-CN"/>
              </w:rPr>
              <w:t>Z7002024000296</w:t>
            </w:r>
            <w:r>
              <w:rPr>
                <w:rFonts w:hint="eastAsia" w:asciiTheme="minorEastAsia" w:hAnsiTheme="minorEastAsia"/>
                <w:sz w:val="18"/>
                <w:szCs w:val="18"/>
              </w:rPr>
              <w:t>】</w:t>
            </w:r>
            <w:r>
              <w:rPr>
                <w:rFonts w:hint="eastAsia" w:asciiTheme="majorEastAsia" w:hAnsiTheme="majorEastAsia" w:eastAsiaTheme="majorEastAsia"/>
                <w:sz w:val="18"/>
                <w:szCs w:val="18"/>
              </w:rPr>
              <w:t>投资者可依据理财产品登记编码在中国理财网</w:t>
            </w:r>
            <w:r>
              <w:rPr>
                <w:rFonts w:asciiTheme="majorEastAsia" w:hAnsiTheme="majorEastAsia" w:eastAsiaTheme="majorEastAsia"/>
                <w:sz w:val="18"/>
                <w:szCs w:val="18"/>
              </w:rPr>
              <w:t>(</w:t>
            </w:r>
            <w:r>
              <w:fldChar w:fldCharType="begin"/>
            </w:r>
            <w:r>
              <w:instrText xml:space="preserve"> HYPERLINK "http://www.chinawealth.com.cn" </w:instrText>
            </w:r>
            <w:r>
              <w:fldChar w:fldCharType="separate"/>
            </w:r>
            <w:r>
              <w:rPr>
                <w:rFonts w:asciiTheme="majorEastAsia" w:hAnsiTheme="majorEastAsia" w:eastAsiaTheme="majorEastAsia"/>
                <w:sz w:val="18"/>
                <w:szCs w:val="18"/>
              </w:rPr>
              <w:t>www.chinawealth.com.cn</w:t>
            </w:r>
            <w:r>
              <w:rPr>
                <w:rFonts w:asciiTheme="majorEastAsia" w:hAnsiTheme="majorEastAsia" w:eastAsiaTheme="majorEastAsia"/>
                <w:sz w:val="18"/>
                <w:szCs w:val="18"/>
              </w:rPr>
              <w:fldChar w:fldCharType="end"/>
            </w:r>
            <w:r>
              <w:rPr>
                <w:rFonts w:asciiTheme="majorEastAsia" w:hAnsiTheme="majorEastAsia" w:eastAsiaTheme="majorEastAsia"/>
                <w:sz w:val="18"/>
                <w:szCs w:val="18"/>
              </w:rPr>
              <w:t>）</w:t>
            </w:r>
            <w:r>
              <w:rPr>
                <w:rFonts w:hint="eastAsia" w:asciiTheme="majorEastAsia" w:hAnsiTheme="majorEastAsia" w:eastAsiaTheme="majorEastAsia"/>
                <w:sz w:val="18"/>
                <w:szCs w:val="18"/>
              </w:rPr>
              <w:t>查询产品信息。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51"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674" w:type="dxa"/>
            <w:shd w:val="solid" w:color="FFFFFF" w:fill="FFFFFF"/>
            <w:vAlign w:val="center"/>
          </w:tcPr>
          <w:p>
            <w:pPr>
              <w:spacing w:line="360" w:lineRule="auto"/>
              <w:rPr>
                <w:rFonts w:ascii="宋体" w:hAnsi="宋体"/>
                <w:bCs/>
                <w:sz w:val="18"/>
                <w:szCs w:val="18"/>
              </w:rPr>
            </w:pPr>
            <w:r>
              <w:rPr>
                <w:rFonts w:ascii="宋体" w:hAnsi="宋体"/>
                <w:bCs/>
                <w:sz w:val="18"/>
                <w:szCs w:val="18"/>
              </w:rPr>
              <w:t>【</w:t>
            </w:r>
            <w:r>
              <w:rPr>
                <w:rFonts w:ascii="宋体" w:hAnsi="宋体"/>
                <w:bCs/>
                <w:color w:val="000000" w:themeColor="text1"/>
                <w:sz w:val="18"/>
                <w:szCs w:val="18"/>
                <w14:textFill>
                  <w14:solidFill>
                    <w14:schemeClr w14:val="tx1"/>
                  </w14:solidFill>
                </w14:textFill>
              </w:rPr>
              <w:t>9A240</w:t>
            </w:r>
            <w:r>
              <w:rPr>
                <w:rFonts w:hint="eastAsia" w:ascii="宋体" w:hAnsi="宋体"/>
                <w:bCs/>
                <w:color w:val="000000" w:themeColor="text1"/>
                <w:sz w:val="18"/>
                <w:szCs w:val="18"/>
                <w:lang w:val="en-US" w:eastAsia="zh-CN"/>
                <w14:textFill>
                  <w14:solidFill>
                    <w14:schemeClr w14:val="tx1"/>
                  </w14:solidFill>
                </w14:textFill>
              </w:rPr>
              <w:t>12</w:t>
            </w:r>
            <w:r>
              <w:rPr>
                <w:rFonts w:ascii="宋体" w:hAnsi="宋体"/>
                <w:bCs/>
                <w:color w:val="000000" w:themeColor="text1"/>
                <w:sz w:val="18"/>
                <w:szCs w:val="18"/>
                <w14:textFill>
                  <w14:solidFill>
                    <w14:schemeClr w14:val="tx1"/>
                  </w14:solidFill>
                </w14:textFill>
              </w:rPr>
              <w:t>0</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tcPr>
          <w:p>
            <w:pPr>
              <w:spacing w:line="360" w:lineRule="auto"/>
              <w:jc w:val="left"/>
              <w:rPr>
                <w:rFonts w:hAnsi="宋体"/>
                <w:b/>
                <w:sz w:val="18"/>
                <w:szCs w:val="18"/>
              </w:rPr>
            </w:pPr>
            <w:r>
              <w:rPr>
                <w:rFonts w:hint="eastAsia" w:hAnsi="宋体"/>
                <w:b/>
                <w:sz w:val="18"/>
                <w:szCs w:val="18"/>
              </w:rPr>
              <w:t>★销售代码</w:t>
            </w:r>
          </w:p>
        </w:tc>
        <w:tc>
          <w:tcPr>
            <w:tcW w:w="7674" w:type="dxa"/>
            <w:shd w:val="solid" w:color="FFFFFF" w:fill="FFFFFF"/>
          </w:tcPr>
          <w:p>
            <w:pPr>
              <w:spacing w:line="360" w:lineRule="auto"/>
              <w:rPr>
                <w:rFonts w:ascii="宋体" w:hAnsi="宋体"/>
                <w:sz w:val="18"/>
                <w:szCs w:val="18"/>
              </w:rPr>
            </w:pPr>
            <w:r>
              <w:rPr>
                <w:rFonts w:hint="eastAsia" w:ascii="宋体" w:hAnsi="宋体"/>
                <w:sz w:val="18"/>
                <w:szCs w:val="18"/>
              </w:rPr>
              <w:t>【</w:t>
            </w:r>
            <w:r>
              <w:rPr>
                <w:rFonts w:ascii="宋体" w:hAnsi="宋体"/>
                <w:sz w:val="18"/>
                <w:szCs w:val="18"/>
              </w:rPr>
              <w:t>9A240</w:t>
            </w:r>
            <w:r>
              <w:rPr>
                <w:rFonts w:hint="eastAsia" w:ascii="宋体" w:hAnsi="宋体"/>
                <w:sz w:val="18"/>
                <w:szCs w:val="18"/>
                <w:lang w:val="en-US" w:eastAsia="zh-CN"/>
              </w:rPr>
              <w:t>12</w:t>
            </w:r>
            <w:r>
              <w:rPr>
                <w:rFonts w:ascii="宋体" w:hAnsi="宋体"/>
                <w:sz w:val="18"/>
                <w:szCs w:val="18"/>
              </w:rPr>
              <w:t>A</w:t>
            </w:r>
            <w:r>
              <w:rPr>
                <w:rFonts w:hint="eastAsia" w:ascii="宋体" w:hAnsi="宋体"/>
                <w:sz w:val="18"/>
                <w:szCs w:val="18"/>
              </w:rPr>
              <w:t>】（适用【</w:t>
            </w:r>
            <w:r>
              <w:rPr>
                <w:rFonts w:ascii="宋体" w:hAnsi="宋体"/>
                <w:sz w:val="18"/>
                <w:szCs w:val="18"/>
              </w:rPr>
              <w:t>A</w:t>
            </w:r>
            <w:r>
              <w:rPr>
                <w:rFonts w:hint="eastAsia" w:ascii="宋体" w:hAnsi="宋体"/>
                <w:sz w:val="18"/>
                <w:szCs w:val="18"/>
              </w:rPr>
              <w:t>】类份额）</w:t>
            </w:r>
          </w:p>
          <w:p>
            <w:pPr>
              <w:spacing w:line="360" w:lineRule="auto"/>
              <w:rPr>
                <w:rFonts w:ascii="宋体" w:hAnsi="宋体"/>
                <w:sz w:val="18"/>
                <w:szCs w:val="18"/>
              </w:rPr>
            </w:pPr>
            <w:r>
              <w:rPr>
                <w:rFonts w:hint="eastAsia" w:ascii="宋体" w:hAnsi="宋体"/>
                <w:sz w:val="18"/>
                <w:szCs w:val="18"/>
              </w:rPr>
              <w:t>【</w:t>
            </w:r>
            <w:r>
              <w:rPr>
                <w:rFonts w:ascii="宋体" w:hAnsi="宋体"/>
                <w:sz w:val="18"/>
                <w:szCs w:val="18"/>
              </w:rPr>
              <w:t>9A240</w:t>
            </w:r>
            <w:r>
              <w:rPr>
                <w:rFonts w:hint="eastAsia" w:ascii="宋体" w:hAnsi="宋体"/>
                <w:sz w:val="18"/>
                <w:szCs w:val="18"/>
                <w:lang w:val="en-US" w:eastAsia="zh-CN"/>
              </w:rPr>
              <w:t>12</w:t>
            </w:r>
            <w:r>
              <w:rPr>
                <w:rFonts w:ascii="宋体" w:hAnsi="宋体"/>
                <w:sz w:val="18"/>
                <w:szCs w:val="18"/>
              </w:rPr>
              <w:t>B</w:t>
            </w:r>
            <w:r>
              <w:rPr>
                <w:rFonts w:hint="eastAsia" w:ascii="宋体" w:hAnsi="宋体"/>
                <w:sz w:val="18"/>
                <w:szCs w:val="18"/>
              </w:rPr>
              <w:t>】（适用【</w:t>
            </w:r>
            <w:r>
              <w:rPr>
                <w:rFonts w:ascii="宋体" w:hAnsi="宋体"/>
                <w:sz w:val="18"/>
                <w:szCs w:val="18"/>
              </w:rPr>
              <w:t>B</w:t>
            </w:r>
            <w:r>
              <w:rPr>
                <w:rFonts w:hint="eastAsia" w:ascii="宋体" w:hAnsi="宋体"/>
                <w:sz w:val="18"/>
                <w:szCs w:val="18"/>
              </w:rPr>
              <w:t>】类份额）</w:t>
            </w:r>
          </w:p>
          <w:p>
            <w:pPr>
              <w:spacing w:line="360" w:lineRule="auto"/>
              <w:rPr>
                <w:rFonts w:ascii="宋体" w:hAnsi="宋体"/>
                <w:sz w:val="18"/>
                <w:szCs w:val="18"/>
              </w:rPr>
            </w:pPr>
            <w:r>
              <w:rPr>
                <w:rFonts w:hint="eastAsia" w:ascii="宋体" w:hAnsi="宋体"/>
                <w:sz w:val="18"/>
                <w:szCs w:val="18"/>
              </w:rPr>
              <w:t>【</w:t>
            </w:r>
            <w:r>
              <w:rPr>
                <w:rFonts w:ascii="宋体" w:hAnsi="宋体"/>
                <w:sz w:val="18"/>
                <w:szCs w:val="18"/>
              </w:rPr>
              <w:t>9A240</w:t>
            </w:r>
            <w:r>
              <w:rPr>
                <w:rFonts w:hint="eastAsia" w:ascii="宋体" w:hAnsi="宋体"/>
                <w:sz w:val="18"/>
                <w:szCs w:val="18"/>
                <w:lang w:val="en-US" w:eastAsia="zh-CN"/>
              </w:rPr>
              <w:t>12</w:t>
            </w:r>
            <w:r>
              <w:rPr>
                <w:rFonts w:ascii="宋体" w:hAnsi="宋体"/>
                <w:sz w:val="18"/>
                <w:szCs w:val="18"/>
              </w:rPr>
              <w:t>C</w:t>
            </w:r>
            <w:r>
              <w:rPr>
                <w:rFonts w:hint="eastAsia" w:ascii="宋体" w:hAnsi="宋体"/>
                <w:sz w:val="18"/>
                <w:szCs w:val="18"/>
              </w:rPr>
              <w:t>】（适用【</w:t>
            </w:r>
            <w:r>
              <w:rPr>
                <w:rFonts w:ascii="宋体" w:hAnsi="宋体"/>
                <w:sz w:val="18"/>
                <w:szCs w:val="18"/>
              </w:rPr>
              <w:t>C</w:t>
            </w:r>
            <w:r>
              <w:rPr>
                <w:rFonts w:hint="eastAsia" w:ascii="宋体" w:hAnsi="宋体"/>
                <w:sz w:val="18"/>
                <w:szCs w:val="18"/>
              </w:rPr>
              <w:t>】类份额）</w:t>
            </w:r>
          </w:p>
          <w:p>
            <w:pPr>
              <w:spacing w:line="360" w:lineRule="auto"/>
              <w:rPr>
                <w:rFonts w:hint="eastAsia" w:ascii="宋体" w:hAnsi="宋体"/>
                <w:sz w:val="18"/>
                <w:szCs w:val="18"/>
              </w:rPr>
            </w:pPr>
            <w:r>
              <w:rPr>
                <w:rFonts w:hint="eastAsia" w:ascii="宋体" w:hAnsi="宋体"/>
                <w:sz w:val="18"/>
                <w:szCs w:val="18"/>
              </w:rPr>
              <w:t>【</w:t>
            </w:r>
            <w:r>
              <w:rPr>
                <w:rFonts w:ascii="宋体" w:hAnsi="宋体"/>
                <w:sz w:val="18"/>
                <w:szCs w:val="18"/>
              </w:rPr>
              <w:t>9A240</w:t>
            </w:r>
            <w:r>
              <w:rPr>
                <w:rFonts w:hint="eastAsia" w:ascii="宋体" w:hAnsi="宋体"/>
                <w:sz w:val="18"/>
                <w:szCs w:val="18"/>
                <w:lang w:val="en-US" w:eastAsia="zh-CN"/>
              </w:rPr>
              <w:t>12</w:t>
            </w:r>
            <w:r>
              <w:rPr>
                <w:rFonts w:ascii="宋体" w:hAnsi="宋体"/>
                <w:sz w:val="18"/>
                <w:szCs w:val="18"/>
              </w:rPr>
              <w:t>D</w:t>
            </w:r>
            <w:r>
              <w:rPr>
                <w:rFonts w:hint="eastAsia" w:ascii="宋体" w:hAnsi="宋体"/>
                <w:sz w:val="18"/>
                <w:szCs w:val="18"/>
              </w:rPr>
              <w:t>】（适用【</w:t>
            </w:r>
            <w:r>
              <w:rPr>
                <w:rFonts w:ascii="宋体" w:hAnsi="宋体"/>
                <w:sz w:val="18"/>
                <w:szCs w:val="18"/>
              </w:rPr>
              <w:t>D</w:t>
            </w:r>
            <w:r>
              <w:rPr>
                <w:rFonts w:hint="eastAsia" w:ascii="宋体" w:hAnsi="宋体"/>
                <w:sz w:val="18"/>
                <w:szCs w:val="18"/>
              </w:rPr>
              <w:t>】类份额）</w:t>
            </w:r>
          </w:p>
          <w:p>
            <w:pPr>
              <w:spacing w:line="360" w:lineRule="auto"/>
              <w:rPr>
                <w:rFonts w:hint="eastAsia" w:ascii="宋体" w:hAnsi="宋体"/>
                <w:sz w:val="18"/>
                <w:szCs w:val="18"/>
              </w:rPr>
            </w:pPr>
            <w:r>
              <w:rPr>
                <w:rFonts w:hint="eastAsia" w:ascii="宋体" w:hAnsi="宋体"/>
                <w:sz w:val="18"/>
                <w:szCs w:val="18"/>
              </w:rPr>
              <w:t>【</w:t>
            </w:r>
            <w:r>
              <w:rPr>
                <w:rFonts w:ascii="宋体" w:hAnsi="宋体"/>
                <w:sz w:val="18"/>
                <w:szCs w:val="18"/>
              </w:rPr>
              <w:t>9A240</w:t>
            </w:r>
            <w:r>
              <w:rPr>
                <w:rFonts w:hint="eastAsia" w:ascii="宋体" w:hAnsi="宋体"/>
                <w:sz w:val="18"/>
                <w:szCs w:val="18"/>
                <w:lang w:val="en-US" w:eastAsia="zh-CN"/>
              </w:rPr>
              <w:t>12E</w:t>
            </w:r>
            <w:r>
              <w:rPr>
                <w:rFonts w:hint="eastAsia" w:ascii="宋体" w:hAnsi="宋体"/>
                <w:sz w:val="18"/>
                <w:szCs w:val="18"/>
              </w:rPr>
              <w:t>】（适用【</w:t>
            </w:r>
            <w:r>
              <w:rPr>
                <w:rFonts w:hint="eastAsia" w:ascii="宋体" w:hAnsi="宋体"/>
                <w:sz w:val="18"/>
                <w:szCs w:val="18"/>
                <w:lang w:val="en-US" w:eastAsia="zh-CN"/>
              </w:rPr>
              <w:t>E</w:t>
            </w:r>
            <w:r>
              <w:rPr>
                <w:rFonts w:hint="eastAsia" w:ascii="宋体" w:hAnsi="宋体"/>
                <w:sz w:val="18"/>
                <w:szCs w:val="18"/>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674" w:type="dxa"/>
            <w:shd w:val="solid" w:color="FFFFFF" w:fill="FFFFFF"/>
            <w:vAlign w:val="center"/>
          </w:tcPr>
          <w:p>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w:t>
            </w:r>
            <w:r>
              <w:rPr>
                <w:rFonts w:ascii="宋体" w:hAnsi="宋体"/>
                <w:bCs/>
                <w:sz w:val="18"/>
                <w:szCs w:val="18"/>
              </w:rPr>
              <w:t>可能</w:t>
            </w:r>
            <w:r>
              <w:rPr>
                <w:rFonts w:hint="eastAsia" w:ascii="宋体" w:hAnsi="宋体"/>
                <w:bCs/>
                <w:sz w:val="18"/>
                <w:szCs w:val="18"/>
              </w:rPr>
              <w:t>单独设置：</w:t>
            </w:r>
          </w:p>
          <w:p>
            <w:pPr>
              <w:spacing w:line="360" w:lineRule="auto"/>
              <w:rPr>
                <w:rFonts w:ascii="宋体" w:hAnsi="宋体"/>
                <w:bCs/>
                <w:sz w:val="18"/>
                <w:szCs w:val="18"/>
              </w:rPr>
            </w:pPr>
            <w:r>
              <w:rPr>
                <w:rFonts w:hint="eastAsia" w:ascii="宋体" w:hAnsi="宋体"/>
                <w:bCs/>
                <w:sz w:val="18"/>
                <w:szCs w:val="18"/>
              </w:rPr>
              <w:t>（1）销售名称</w:t>
            </w:r>
          </w:p>
          <w:p>
            <w:pPr>
              <w:spacing w:line="360" w:lineRule="auto"/>
              <w:rPr>
                <w:rFonts w:ascii="宋体" w:hAnsi="宋体"/>
                <w:bCs/>
                <w:sz w:val="18"/>
                <w:szCs w:val="18"/>
              </w:rPr>
            </w:pPr>
            <w:r>
              <w:rPr>
                <w:rFonts w:hint="eastAsia" w:ascii="宋体" w:hAnsi="宋体"/>
                <w:bCs/>
                <w:sz w:val="18"/>
                <w:szCs w:val="18"/>
              </w:rPr>
              <w:t>（2）收费方式</w:t>
            </w:r>
          </w:p>
          <w:p>
            <w:pPr>
              <w:spacing w:line="360" w:lineRule="auto"/>
              <w:rPr>
                <w:rFonts w:ascii="宋体" w:hAnsi="宋体"/>
                <w:bCs/>
                <w:sz w:val="18"/>
                <w:szCs w:val="18"/>
              </w:rPr>
            </w:pPr>
            <w:r>
              <w:rPr>
                <w:rFonts w:hint="eastAsia" w:ascii="宋体" w:hAnsi="宋体"/>
                <w:bCs/>
                <w:sz w:val="18"/>
                <w:szCs w:val="18"/>
              </w:rPr>
              <w:t>（3）销售服务费</w:t>
            </w:r>
          </w:p>
          <w:p>
            <w:pPr>
              <w:spacing w:line="360" w:lineRule="auto"/>
              <w:rPr>
                <w:rFonts w:ascii="宋体" w:hAnsi="宋体"/>
                <w:bCs/>
                <w:sz w:val="18"/>
                <w:szCs w:val="18"/>
              </w:rPr>
            </w:pPr>
            <w:r>
              <w:rPr>
                <w:rFonts w:hint="eastAsia" w:ascii="宋体" w:hAnsi="宋体"/>
                <w:bCs/>
                <w:sz w:val="18"/>
                <w:szCs w:val="18"/>
              </w:rPr>
              <w:t>（4）销售代码</w:t>
            </w:r>
          </w:p>
          <w:p>
            <w:pPr>
              <w:spacing w:line="360" w:lineRule="auto"/>
              <w:rPr>
                <w:rFonts w:ascii="宋体" w:hAnsi="宋体"/>
                <w:bCs/>
                <w:sz w:val="18"/>
                <w:szCs w:val="18"/>
              </w:rPr>
            </w:pPr>
            <w:r>
              <w:rPr>
                <w:rFonts w:hint="eastAsia" w:ascii="宋体" w:hAnsi="宋体"/>
                <w:bCs/>
                <w:sz w:val="18"/>
                <w:szCs w:val="18"/>
              </w:rPr>
              <w:t>（5）销售对象</w:t>
            </w:r>
          </w:p>
          <w:p>
            <w:pPr>
              <w:spacing w:line="360" w:lineRule="auto"/>
              <w:rPr>
                <w:rFonts w:ascii="宋体" w:hAnsi="宋体"/>
                <w:bCs/>
                <w:sz w:val="18"/>
                <w:szCs w:val="18"/>
              </w:rPr>
            </w:pPr>
            <w:r>
              <w:rPr>
                <w:rFonts w:hint="eastAsia" w:ascii="宋体" w:hAnsi="宋体"/>
                <w:bCs/>
                <w:sz w:val="18"/>
                <w:szCs w:val="18"/>
              </w:rPr>
              <w:t>（6）销售起点金额（认购、申购的起点金额）</w:t>
            </w:r>
          </w:p>
          <w:p>
            <w:pPr>
              <w:spacing w:line="360" w:lineRule="auto"/>
              <w:rPr>
                <w:rFonts w:ascii="宋体" w:hAnsi="宋体"/>
                <w:bCs/>
                <w:sz w:val="18"/>
                <w:szCs w:val="18"/>
              </w:rPr>
            </w:pPr>
            <w:r>
              <w:rPr>
                <w:rFonts w:hint="eastAsia" w:ascii="宋体" w:hAnsi="宋体"/>
                <w:bCs/>
                <w:sz w:val="18"/>
                <w:szCs w:val="18"/>
              </w:rPr>
              <w:t>（7）投资者认购、申购和赎回的数量限制</w:t>
            </w:r>
          </w:p>
          <w:p>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pPr>
              <w:spacing w:line="360" w:lineRule="auto"/>
              <w:rPr>
                <w:rFonts w:ascii="宋体" w:hAnsi="宋体"/>
                <w:bCs/>
                <w:sz w:val="18"/>
                <w:szCs w:val="18"/>
              </w:rPr>
            </w:pPr>
            <w:r>
              <w:rPr>
                <w:rFonts w:hint="eastAsia" w:ascii="宋体" w:hAnsi="宋体"/>
                <w:bCs/>
                <w:sz w:val="18"/>
                <w:szCs w:val="18"/>
              </w:rPr>
              <w:t>（9）分别计算和公告产品份额净值</w:t>
            </w:r>
          </w:p>
          <w:p>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pPr>
              <w:spacing w:line="360" w:lineRule="auto"/>
              <w:rPr>
                <w:rFonts w:ascii="宋体" w:hAnsi="宋体"/>
                <w:b/>
                <w:bCs/>
                <w:sz w:val="18"/>
                <w:szCs w:val="18"/>
              </w:rPr>
            </w:pPr>
            <w:r>
              <w:rPr>
                <w:rFonts w:hint="eastAsia" w:ascii="黑体" w:hAnsi="黑体" w:eastAsia="黑体"/>
                <w:sz w:val="18"/>
                <w:szCs w:val="18"/>
              </w:rPr>
              <w:t>注：本产品说明书所列示产品份额类别仅为本产品项下某一类产品份额。其他类别的产品份额情况以产品管理人披露为准。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公募</w:t>
            </w:r>
            <w:r>
              <w:rPr>
                <w:rFonts w:hint="eastAsia" w:ascii="宋体" w:hAnsi="宋体"/>
                <w:bCs/>
                <w:sz w:val="18"/>
                <w:szCs w:val="18"/>
              </w:rPr>
              <w:t>、封闭式、固定</w:t>
            </w:r>
            <w:r>
              <w:rPr>
                <w:rFonts w:ascii="宋体" w:hAnsi="宋体"/>
                <w:bCs/>
                <w:sz w:val="18"/>
                <w:szCs w:val="18"/>
              </w:rPr>
              <w:t>收益</w:t>
            </w:r>
            <w:r>
              <w:rPr>
                <w:rFonts w:hint="eastAsia" w:ascii="宋体" w:hAnsi="宋体"/>
                <w:bCs/>
                <w:sz w:val="18"/>
                <w:szCs w:val="18"/>
              </w:rPr>
              <w:t>类、非保本浮动</w:t>
            </w:r>
            <w:r>
              <w:rPr>
                <w:rFonts w:ascii="宋体" w:hAnsi="宋体"/>
                <w:bCs/>
                <w:sz w:val="18"/>
                <w:szCs w:val="18"/>
              </w:rPr>
              <w:t>收益</w:t>
            </w:r>
            <w:r>
              <w:rPr>
                <w:rFonts w:hint="eastAsia" w:ascii="宋体" w:hAnsi="宋体"/>
                <w:bCs/>
                <w:sz w:val="18"/>
                <w:szCs w:val="18"/>
              </w:rPr>
              <w:t>、净值型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公募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674" w:type="dxa"/>
            <w:shd w:val="solid" w:color="FFFFFF" w:fill="FFFFFF"/>
            <w:vAlign w:val="center"/>
          </w:tcPr>
          <w:p>
            <w:pPr>
              <w:spacing w:line="360" w:lineRule="auto"/>
              <w:rPr>
                <w:rFonts w:ascii="宋体" w:hAnsi="宋体"/>
                <w:bCs/>
                <w:sz w:val="18"/>
                <w:szCs w:val="18"/>
              </w:rPr>
            </w:pPr>
            <w:r>
              <w:rPr>
                <w:rFonts w:hint="eastAsia" w:ascii="宋体" w:hAnsi="宋体"/>
                <w:bCs/>
                <w:sz w:val="18"/>
                <w:szCs w:val="18"/>
              </w:rPr>
              <w:t>封闭式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产品投资性质</w:t>
            </w:r>
          </w:p>
        </w:tc>
        <w:tc>
          <w:tcPr>
            <w:tcW w:w="7674" w:type="dxa"/>
            <w:shd w:val="solid" w:color="FFFFFF" w:fill="FFFFFF"/>
            <w:vAlign w:val="center"/>
          </w:tcPr>
          <w:p>
            <w:pPr>
              <w:adjustRightInd w:val="0"/>
              <w:snapToGrid w:val="0"/>
              <w:spacing w:line="360" w:lineRule="auto"/>
              <w:rPr>
                <w:rFonts w:asciiTheme="majorEastAsia" w:hAnsiTheme="majorEastAsia" w:eastAsiaTheme="majorEastAsia"/>
                <w:b/>
                <w:color w:val="000000" w:themeColor="text1"/>
                <w:sz w:val="18"/>
                <w:szCs w:val="18"/>
                <w14:textFill>
                  <w14:solidFill>
                    <w14:schemeClr w14:val="tx1"/>
                  </w14:solidFill>
                </w14:textFill>
              </w:rPr>
            </w:pPr>
            <w:r>
              <w:rPr>
                <w:rFonts w:hint="eastAsia" w:asciiTheme="majorEastAsia" w:hAnsiTheme="majorEastAsia" w:eastAsiaTheme="majorEastAsia"/>
                <w:b/>
                <w:color w:val="000000" w:themeColor="text1"/>
                <w:sz w:val="18"/>
                <w:szCs w:val="18"/>
                <w14:textFill>
                  <w14:solidFill>
                    <w14:schemeClr w14:val="tx1"/>
                  </w14:solidFill>
                </w14:textFill>
              </w:rPr>
              <w:t>固定收益类</w:t>
            </w:r>
          </w:p>
          <w:p>
            <w:pPr>
              <w:adjustRightInd w:val="0"/>
              <w:snapToGrid w:val="0"/>
              <w:spacing w:line="360" w:lineRule="auto"/>
              <w:rPr>
                <w:rFonts w:ascii="宋体" w:hAnsi="宋体"/>
                <w:bCs/>
                <w:sz w:val="18"/>
                <w:szCs w:val="18"/>
              </w:rPr>
            </w:pPr>
            <w:r>
              <w:rPr>
                <w:rFonts w:hint="eastAsia" w:asciiTheme="majorEastAsia" w:hAnsiTheme="majorEastAsia" w:eastAsiaTheme="majorEastAsia"/>
                <w:sz w:val="18"/>
                <w:szCs w:val="18"/>
              </w:rPr>
              <w:t>固定</w:t>
            </w:r>
            <w:r>
              <w:rPr>
                <w:rFonts w:asciiTheme="majorEastAsia" w:hAnsiTheme="majorEastAsia" w:eastAsiaTheme="majorEastAsia"/>
                <w:sz w:val="18"/>
                <w:szCs w:val="18"/>
              </w:rPr>
              <w:t>收益</w:t>
            </w:r>
            <w:r>
              <w:rPr>
                <w:rFonts w:hint="eastAsia" w:asciiTheme="majorEastAsia" w:hAnsiTheme="majorEastAsia" w:eastAsiaTheme="majorEastAsia"/>
                <w:sz w:val="18"/>
                <w:szCs w:val="18"/>
              </w:rPr>
              <w:t>类</w:t>
            </w:r>
            <w:r>
              <w:rPr>
                <w:rFonts w:asciiTheme="majorEastAsia" w:hAnsiTheme="majorEastAsia" w:eastAsiaTheme="majorEastAsia"/>
                <w:sz w:val="18"/>
                <w:szCs w:val="18"/>
              </w:rPr>
              <w:t>产品是指根据监管</w:t>
            </w:r>
            <w:r>
              <w:rPr>
                <w:rFonts w:hint="eastAsia" w:asciiTheme="majorEastAsia" w:hAnsiTheme="majorEastAsia" w:eastAsiaTheme="majorEastAsia"/>
                <w:sz w:val="18"/>
                <w:szCs w:val="18"/>
              </w:rPr>
              <w:t>相关规定</w:t>
            </w:r>
            <w:r>
              <w:rPr>
                <w:rFonts w:asciiTheme="majorEastAsia" w:hAnsiTheme="majorEastAsia" w:eastAsiaTheme="majorEastAsia"/>
                <w:sz w:val="18"/>
                <w:szCs w:val="18"/>
              </w:rPr>
              <w:t>，投资于</w:t>
            </w:r>
            <w:r>
              <w:rPr>
                <w:rFonts w:hint="eastAsia" w:asciiTheme="majorEastAsia" w:hAnsiTheme="majorEastAsia" w:eastAsiaTheme="majorEastAsia"/>
                <w:sz w:val="18"/>
                <w:szCs w:val="18"/>
              </w:rPr>
              <w:t>存款</w:t>
            </w:r>
            <w:r>
              <w:rPr>
                <w:rFonts w:asciiTheme="majorEastAsia" w:hAnsiTheme="majorEastAsia" w:eastAsiaTheme="majorEastAsia"/>
                <w:sz w:val="18"/>
                <w:szCs w:val="18"/>
              </w:rPr>
              <w:t>、债券等债权类资产的</w:t>
            </w:r>
            <w:r>
              <w:rPr>
                <w:rFonts w:hint="eastAsia" w:asciiTheme="majorEastAsia" w:hAnsiTheme="majorEastAsia" w:eastAsiaTheme="majorEastAsia"/>
                <w:sz w:val="18"/>
                <w:szCs w:val="18"/>
              </w:rPr>
              <w:t>比例</w:t>
            </w:r>
            <w:r>
              <w:rPr>
                <w:rFonts w:asciiTheme="majorEastAsia" w:hAnsiTheme="majorEastAsia" w:eastAsiaTheme="majorEastAsia"/>
                <w:sz w:val="18"/>
                <w:szCs w:val="18"/>
              </w:rPr>
              <w:t>不低于80%的产品</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674" w:type="dxa"/>
            <w:shd w:val="solid" w:color="FFFFFF" w:fill="FFFFFF"/>
            <w:vAlign w:val="center"/>
          </w:tcPr>
          <w:p>
            <w:pPr>
              <w:adjustRightInd w:val="0"/>
              <w:snapToGrid w:val="0"/>
              <w:spacing w:line="360" w:lineRule="auto"/>
              <w:rPr>
                <w:rFonts w:asciiTheme="majorEastAsia" w:hAnsiTheme="majorEastAsia" w:eastAsiaTheme="majorEastAsia"/>
                <w:b/>
                <w:sz w:val="18"/>
                <w:szCs w:val="18"/>
              </w:rPr>
            </w:pPr>
            <w:r>
              <w:rPr>
                <w:rFonts w:hint="eastAsia" w:asciiTheme="majorEastAsia" w:hAnsiTheme="majorEastAsia" w:eastAsiaTheme="majorEastAsia"/>
                <w:b/>
                <w:sz w:val="18"/>
                <w:szCs w:val="18"/>
              </w:rPr>
              <w:t>非保本浮动收益</w:t>
            </w:r>
          </w:p>
          <w:p>
            <w:pPr>
              <w:adjustRightInd w:val="0"/>
              <w:snapToGrid w:val="0"/>
              <w:spacing w:line="360" w:lineRule="auto"/>
              <w:rPr>
                <w:rFonts w:asciiTheme="majorEastAsia" w:hAnsiTheme="majorEastAsia" w:eastAsiaTheme="majorEastAsia"/>
                <w:sz w:val="18"/>
                <w:szCs w:val="18"/>
              </w:rPr>
            </w:pPr>
            <w:r>
              <w:rPr>
                <w:rFonts w:hint="eastAsia" w:asciiTheme="majorEastAsia" w:hAnsiTheme="majorEastAsia" w:eastAsiaTheme="majorEastAsia"/>
                <w:sz w:val="18"/>
                <w:szCs w:val="18"/>
              </w:rPr>
              <w:t>本产品不保证本金且不保证收益。本产品的收益随投资收益浮动，投资者可能会因市场变动而蒙受损失。</w:t>
            </w:r>
          </w:p>
          <w:p>
            <w:pPr>
              <w:adjustRightInd w:val="0"/>
              <w:snapToGrid w:val="0"/>
              <w:spacing w:line="360" w:lineRule="auto"/>
              <w:rPr>
                <w:rFonts w:asciiTheme="majorEastAsia" w:hAnsiTheme="majorEastAsia" w:eastAsiaTheme="majorEastAsia"/>
                <w:b/>
                <w:color w:val="000000" w:themeColor="text1"/>
                <w:sz w:val="18"/>
                <w:szCs w:val="18"/>
                <w14:textFill>
                  <w14:solidFill>
                    <w14:schemeClr w14:val="tx1"/>
                  </w14:solidFill>
                </w14:textFill>
              </w:rPr>
            </w:pPr>
            <w:r>
              <w:rPr>
                <w:rFonts w:hint="eastAsia" w:ascii="宋体" w:hAnsi="宋体"/>
                <w:b/>
                <w:sz w:val="18"/>
                <w:szCs w:val="18"/>
              </w:rPr>
              <w:t>产品管理人对本产品的本金并不提供保证，也不承诺任何固定收益。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674" w:type="dxa"/>
            <w:shd w:val="solid" w:color="FFFFFF" w:fill="FFFFFF"/>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 xml:space="preserve">本产品属于【■ </w:t>
            </w:r>
            <w:r>
              <w:rPr>
                <w:rFonts w:asciiTheme="majorEastAsia" w:hAnsiTheme="majorEastAsia" w:eastAsiaTheme="majorEastAsia"/>
                <w:bCs/>
                <w:sz w:val="18"/>
                <w:szCs w:val="18"/>
              </w:rPr>
              <w:t>R1、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R5】理财产品</w:t>
            </w:r>
            <w:r>
              <w:rPr>
                <w:rFonts w:hint="eastAsia" w:asciiTheme="majorEastAsia" w:hAnsiTheme="majorEastAsia" w:eastAsiaTheme="majorEastAsia"/>
                <w:bCs/>
                <w:sz w:val="18"/>
                <w:szCs w:val="18"/>
              </w:rPr>
              <w:t>。</w:t>
            </w:r>
          </w:p>
          <w:p>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pPr>
              <w:spacing w:line="360" w:lineRule="auto"/>
              <w:rPr>
                <w:rFonts w:ascii="宋体" w:hAnsi="宋体"/>
                <w:b/>
                <w:bCs/>
                <w:sz w:val="18"/>
                <w:szCs w:val="18"/>
              </w:rPr>
            </w:pPr>
            <w:r>
              <w:rPr>
                <w:rFonts w:hint="eastAsia" w:ascii="黑体" w:hAnsi="黑体" w:eastAsia="黑体"/>
                <w:bCs/>
                <w:sz w:val="18"/>
                <w:szCs w:val="18"/>
              </w:rPr>
              <w:t>注</w:t>
            </w:r>
            <w:r>
              <w:rPr>
                <w:rFonts w:ascii="黑体" w:hAnsi="黑体" w:eastAsia="黑体"/>
                <w:bCs/>
                <w:sz w:val="18"/>
                <w:szCs w:val="18"/>
              </w:rPr>
              <w:t>：</w:t>
            </w:r>
            <w:r>
              <w:rPr>
                <w:rFonts w:hint="eastAsia" w:ascii="黑体" w:hAnsi="黑体" w:eastAsia="黑体"/>
                <w:bCs/>
                <w:sz w:val="18"/>
                <w:szCs w:val="18"/>
              </w:rPr>
              <w:t>若本</w:t>
            </w:r>
            <w:r>
              <w:rPr>
                <w:rFonts w:ascii="黑体" w:hAnsi="黑体" w:eastAsia="黑体"/>
                <w:bCs/>
                <w:sz w:val="18"/>
                <w:szCs w:val="18"/>
              </w:rPr>
              <w:t>产品通过代理销售机构销售的，</w:t>
            </w:r>
            <w:r>
              <w:rPr>
                <w:rFonts w:hint="eastAsia" w:ascii="黑体" w:hAnsi="黑体" w:eastAsia="黑体"/>
                <w:bCs/>
                <w:sz w:val="18"/>
                <w:szCs w:val="18"/>
              </w:rPr>
              <w:t>理财产品</w:t>
            </w:r>
            <w:r>
              <w:rPr>
                <w:rFonts w:ascii="黑体" w:hAnsi="黑体" w:eastAsia="黑体"/>
                <w:bCs/>
                <w:sz w:val="18"/>
                <w:szCs w:val="18"/>
              </w:rPr>
              <w:t>评级</w:t>
            </w:r>
            <w:r>
              <w:rPr>
                <w:rFonts w:hint="eastAsia" w:ascii="黑体" w:hAnsi="黑体" w:eastAsia="黑体"/>
                <w:bCs/>
                <w:sz w:val="18"/>
                <w:szCs w:val="18"/>
              </w:rPr>
              <w:t>以</w:t>
            </w:r>
            <w:r>
              <w:rPr>
                <w:rFonts w:ascii="黑体" w:hAnsi="黑体" w:eastAsia="黑体"/>
                <w:bCs/>
                <w:sz w:val="18"/>
                <w:szCs w:val="18"/>
              </w:rPr>
              <w:t>代理销售机构最终披露的评级结果为准。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674" w:type="dxa"/>
            <w:shd w:val="solid" w:color="FFFFFF" w:fill="FFFFFF"/>
            <w:vAlign w:val="bottom"/>
          </w:tcPr>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asciiTheme="majorEastAsia" w:hAnsiTheme="majorEastAsia" w:eastAsiaTheme="majorEastAsia"/>
                <w:bCs/>
                <w:color w:val="000000" w:themeColor="text1"/>
                <w:sz w:val="18"/>
                <w:szCs w:val="18"/>
                <w14:textFill>
                  <w14:solidFill>
                    <w14:schemeClr w14:val="tx1"/>
                  </w14:solidFill>
                </w14:textFill>
              </w:rPr>
              <w:t>本产品适合以下类型投资者：</w:t>
            </w:r>
          </w:p>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□机构投资者：□一般</w:t>
            </w:r>
            <w:r>
              <w:rPr>
                <w:rFonts w:asciiTheme="majorEastAsia" w:hAnsiTheme="majorEastAsia" w:eastAsiaTheme="majorEastAsia"/>
                <w:bCs/>
                <w:color w:val="000000" w:themeColor="text1"/>
                <w:sz w:val="18"/>
                <w:szCs w:val="18"/>
                <w14:textFill>
                  <w14:solidFill>
                    <w14:schemeClr w14:val="tx1"/>
                  </w14:solidFill>
                </w14:textFill>
              </w:rPr>
              <w:t>机构</w:t>
            </w:r>
            <w:r>
              <w:rPr>
                <w:rFonts w:hint="eastAsia" w:asciiTheme="majorEastAsia" w:hAnsiTheme="majorEastAsia" w:eastAsiaTheme="majorEastAsia"/>
                <w:bCs/>
                <w:color w:val="000000" w:themeColor="text1"/>
                <w:sz w:val="18"/>
                <w:szCs w:val="18"/>
                <w14:textFill>
                  <w14:solidFill>
                    <w14:schemeClr w14:val="tx1"/>
                  </w14:solidFill>
                </w14:textFill>
              </w:rPr>
              <w:t xml:space="preserve">客户 </w:t>
            </w:r>
            <w:r>
              <w:rPr>
                <w:rFonts w:asciiTheme="majorEastAsia" w:hAnsiTheme="majorEastAsia" w:eastAsiaTheme="majorEastAsia"/>
                <w:bCs/>
                <w:color w:val="000000" w:themeColor="text1"/>
                <w:sz w:val="18"/>
                <w:szCs w:val="18"/>
                <w14:textFill>
                  <w14:solidFill>
                    <w14:schemeClr w14:val="tx1"/>
                  </w14:solidFill>
                </w14:textFill>
              </w:rPr>
              <w:t xml:space="preserve">  </w:t>
            </w:r>
            <w:r>
              <w:rPr>
                <w:rFonts w:hint="eastAsia" w:asciiTheme="majorEastAsia" w:hAnsiTheme="majorEastAsia" w:eastAsiaTheme="majorEastAsia"/>
                <w:bCs/>
                <w:color w:val="000000" w:themeColor="text1"/>
                <w:sz w:val="18"/>
                <w:szCs w:val="18"/>
                <w14:textFill>
                  <w14:solidFill>
                    <w14:schemeClr w14:val="tx1"/>
                  </w14:solidFill>
                </w14:textFill>
              </w:rPr>
              <w:t>□金融同业客户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pPr>
              <w:spacing w:line="360" w:lineRule="auto"/>
              <w:rPr>
                <w:rFonts w:asciiTheme="majorEastAsia" w:hAnsiTheme="majorEastAsia" w:eastAsiaTheme="majorEastAsia"/>
                <w:b/>
                <w:bCs/>
                <w:color w:val="000000" w:themeColor="text1"/>
                <w:sz w:val="18"/>
                <w:szCs w:val="18"/>
                <w14:textFill>
                  <w14:solidFill>
                    <w14:schemeClr w14:val="tx1"/>
                  </w14:solidFill>
                </w14:textFill>
              </w:rPr>
            </w:pPr>
            <w:r>
              <w:rPr>
                <w:rFonts w:hint="eastAsia" w:ascii="黑体" w:hAnsi="黑体" w:eastAsia="黑体" w:cs="黑体"/>
                <w:sz w:val="18"/>
                <w:szCs w:val="18"/>
              </w:rPr>
              <w:t>★特别提示：当销售机构销售产品风险评级为R4及以上的理财产品时，可在销售机构的营业网点进行，也可依据销售机构的政策在营业网点之外的其他场景进行（具体政策以销售机构公布执行的为准）。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 直销适用</w:t>
            </w:r>
          </w:p>
          <w:p>
            <w:pPr>
              <w:spacing w:line="360" w:lineRule="auto"/>
              <w:jc w:val="left"/>
              <w:rPr>
                <w:rFonts w:ascii="宋体" w:hAnsi="宋体"/>
                <w:sz w:val="18"/>
                <w:szCs w:val="18"/>
              </w:rPr>
            </w:pPr>
            <w:r>
              <w:rPr>
                <w:rFonts w:hint="eastAsia" w:ascii="宋体" w:hAnsi="宋体"/>
                <w:sz w:val="18"/>
                <w:szCs w:val="18"/>
              </w:rPr>
              <w:t>本产品由产品管理人销售。</w:t>
            </w:r>
          </w:p>
          <w:p>
            <w:pPr>
              <w:spacing w:line="360" w:lineRule="auto"/>
              <w:jc w:val="left"/>
              <w:rPr>
                <w:rFonts w:ascii="宋体" w:hAnsi="宋体"/>
                <w:sz w:val="18"/>
                <w:szCs w:val="18"/>
              </w:rPr>
            </w:pPr>
            <w:r>
              <w:rPr>
                <w:rFonts w:hint="eastAsia" w:asciiTheme="majorEastAsia" w:hAnsiTheme="majorEastAsia" w:eastAsiaTheme="majorEastAsia"/>
                <w:bCs/>
                <w:sz w:val="18"/>
                <w:szCs w:val="18"/>
              </w:rPr>
              <w:t>■</w:t>
            </w:r>
            <w:r>
              <w:rPr>
                <w:rFonts w:hint="eastAsia" w:ascii="宋体" w:hAnsi="宋体"/>
                <w:sz w:val="18"/>
                <w:szCs w:val="18"/>
              </w:rPr>
              <w:t xml:space="preserve"> 代销适用</w:t>
            </w:r>
          </w:p>
          <w:p>
            <w:pPr>
              <w:spacing w:line="360" w:lineRule="auto"/>
              <w:jc w:val="left"/>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理财产品托管人</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兴业银行股份有限公司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1.本产品计划初始</w:t>
            </w:r>
            <w:r>
              <w:rPr>
                <w:rFonts w:asciiTheme="majorEastAsia" w:hAnsiTheme="majorEastAsia" w:eastAsiaTheme="majorEastAsia"/>
                <w:bCs/>
                <w:sz w:val="18"/>
                <w:szCs w:val="18"/>
              </w:rPr>
              <w:t>募集</w:t>
            </w:r>
            <w:r>
              <w:rPr>
                <w:rFonts w:hint="eastAsia" w:asciiTheme="majorEastAsia" w:hAnsiTheme="majorEastAsia" w:eastAsiaTheme="majorEastAsia"/>
                <w:bCs/>
                <w:sz w:val="18"/>
                <w:szCs w:val="18"/>
              </w:rPr>
              <w:t>规模为【</w:t>
            </w:r>
            <w:r>
              <w:rPr>
                <w:rFonts w:asciiTheme="majorEastAsia" w:hAnsiTheme="majorEastAsia" w:eastAsiaTheme="majorEastAsia"/>
                <w:bCs/>
                <w:sz w:val="18"/>
                <w:szCs w:val="18"/>
              </w:rPr>
              <w:t>15</w:t>
            </w:r>
            <w:r>
              <w:rPr>
                <w:rFonts w:hint="eastAsia" w:asciiTheme="majorEastAsia" w:hAnsiTheme="majorEastAsia" w:eastAsiaTheme="majorEastAsia"/>
                <w:bCs/>
                <w:sz w:val="18"/>
                <w:szCs w:val="18"/>
              </w:rPr>
              <w:t>】亿元，最小成立规模为【/】亿元。</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asciiTheme="majorEastAsia" w:hAnsiTheme="majorEastAsia" w:eastAsiaTheme="majorEastAsia"/>
                <w:bCs/>
                <w:sz w:val="18"/>
                <w:szCs w:val="18"/>
              </w:rPr>
              <w:t>额为准。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■有固定期限：【</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lang w:val="en-US" w:eastAsia="zh-CN"/>
              </w:rPr>
              <w:t>40</w:t>
            </w:r>
            <w:r>
              <w:rPr>
                <w:rFonts w:asciiTheme="majorEastAsia" w:hAnsiTheme="majorEastAsia" w:eastAsiaTheme="majorEastAsia"/>
                <w:bCs/>
                <w:sz w:val="18"/>
                <w:szCs w:val="18"/>
              </w:rPr>
              <w:t>天</w:t>
            </w:r>
            <w:r>
              <w:rPr>
                <w:rFonts w:hint="eastAsia" w:asciiTheme="majorEastAsia" w:hAnsiTheme="majorEastAsia" w:eastAsiaTheme="majorEastAsia"/>
                <w:bCs/>
                <w:sz w:val="18"/>
                <w:szCs w:val="18"/>
              </w:rPr>
              <w:t>】</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□无固定期限</w:t>
            </w:r>
          </w:p>
          <w:p>
            <w:pPr>
              <w:spacing w:line="360" w:lineRule="auto"/>
              <w:rPr>
                <w:rFonts w:asciiTheme="majorEastAsia" w:hAnsiTheme="majorEastAsia" w:eastAsiaTheme="majorEastAsia"/>
                <w:bCs/>
                <w:sz w:val="18"/>
                <w:szCs w:val="18"/>
              </w:rPr>
            </w:pPr>
            <w:r>
              <w:rPr>
                <w:rFonts w:hint="eastAsia" w:ascii="黑体" w:hAnsi="黑体" w:eastAsia="黑体"/>
                <w:bCs/>
                <w:sz w:val="18"/>
                <w:szCs w:val="18"/>
              </w:rPr>
              <w:t>注：本产品的实际期限受制于本理财产品销售文件“提前终止”及“延期终止”情形。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r>
              <w:rPr>
                <w:rFonts w:hint="eastAsia" w:cs="Times New Roman" w:asciiTheme="minorEastAsia" w:hAnsiTheme="minorEastAsia"/>
                <w:sz w:val="18"/>
                <w:szCs w:val="18"/>
              </w:rPr>
              <w:t>【</w:t>
            </w:r>
            <w:r>
              <w:rPr>
                <w:rFonts w:cs="Times New Roman" w:asciiTheme="minorEastAsia" w:hAnsiTheme="minorEastAsia"/>
                <w:sz w:val="18"/>
                <w:szCs w:val="18"/>
              </w:rPr>
              <w:t>2024】年【03</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27</w:t>
            </w:r>
            <w:r>
              <w:rPr>
                <w:rFonts w:hint="eastAsia" w:cs="Times New Roman" w:asciiTheme="minorEastAsia" w:hAnsiTheme="minorEastAsia"/>
                <w:sz w:val="18"/>
                <w:szCs w:val="18"/>
              </w:rPr>
              <w:t>】日【</w:t>
            </w:r>
            <w:r>
              <w:rPr>
                <w:rFonts w:cs="Times New Roman" w:asciiTheme="minorEastAsia" w:hAnsiTheme="minorEastAsia"/>
                <w:sz w:val="18"/>
                <w:szCs w:val="18"/>
              </w:rPr>
              <w:t>9:</w:t>
            </w:r>
            <w:r>
              <w:rPr>
                <w:rFonts w:hint="eastAsia" w:cs="Times New Roman" w:asciiTheme="minorEastAsia" w:hAnsiTheme="minorEastAsia"/>
                <w:sz w:val="18"/>
                <w:szCs w:val="18"/>
              </w:rPr>
              <w:t>0</w:t>
            </w:r>
            <w:r>
              <w:rPr>
                <w:rFonts w:cs="Times New Roman" w:asciiTheme="minorEastAsia" w:hAnsiTheme="minorEastAsia"/>
                <w:sz w:val="18"/>
                <w:szCs w:val="18"/>
              </w:rPr>
              <w:t>0</w:t>
            </w:r>
            <w:r>
              <w:rPr>
                <w:rFonts w:hint="eastAsia" w:cs="Times New Roman" w:asciiTheme="minorEastAsia" w:hAnsiTheme="minorEastAsia"/>
                <w:sz w:val="18"/>
                <w:szCs w:val="18"/>
              </w:rPr>
              <w:t>】</w:t>
            </w:r>
            <w:r>
              <w:rPr>
                <w:rFonts w:hint="eastAsia" w:cs="仿宋_GB2312" w:asciiTheme="minorEastAsia" w:hAnsiTheme="minorEastAsia"/>
                <w:sz w:val="18"/>
                <w:szCs w:val="18"/>
              </w:rPr>
              <w:t>至</w:t>
            </w:r>
            <w:r>
              <w:rPr>
                <w:rFonts w:hint="eastAsia" w:cs="Times New Roman" w:asciiTheme="minorEastAsia" w:hAnsiTheme="minorEastAsia"/>
                <w:sz w:val="18"/>
                <w:szCs w:val="18"/>
              </w:rPr>
              <w:t>【2</w:t>
            </w:r>
            <w:r>
              <w:rPr>
                <w:rFonts w:cs="Times New Roman" w:asciiTheme="minorEastAsia" w:hAnsiTheme="minorEastAsia"/>
                <w:sz w:val="18"/>
                <w:szCs w:val="18"/>
              </w:rPr>
              <w:t>024】年【</w:t>
            </w:r>
            <w:r>
              <w:rPr>
                <w:rFonts w:hint="eastAsia" w:cs="Times New Roman" w:asciiTheme="minorEastAsia" w:hAnsiTheme="minorEastAsia"/>
                <w:sz w:val="18"/>
                <w:szCs w:val="18"/>
                <w:lang w:val="en-US" w:eastAsia="zh-CN"/>
              </w:rPr>
              <w:t>04</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01</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【1</w:t>
            </w:r>
            <w:r>
              <w:rPr>
                <w:rFonts w:asciiTheme="majorEastAsia" w:hAnsiTheme="majorEastAsia" w:eastAsiaTheme="majorEastAsia"/>
                <w:sz w:val="18"/>
                <w:szCs w:val="18"/>
              </w:rPr>
              <w:t>7:</w:t>
            </w:r>
            <w:r>
              <w:rPr>
                <w:rFonts w:hint="eastAsia" w:asciiTheme="majorEastAsia" w:hAnsiTheme="majorEastAsia" w:eastAsiaTheme="majorEastAsia"/>
                <w:sz w:val="18"/>
                <w:szCs w:val="18"/>
              </w:rPr>
              <w:t>0</w:t>
            </w:r>
            <w:r>
              <w:rPr>
                <w:rFonts w:asciiTheme="majorEastAsia" w:hAnsiTheme="majorEastAsia" w:eastAsiaTheme="majorEastAsia"/>
                <w:sz w:val="18"/>
                <w:szCs w:val="18"/>
              </w:rPr>
              <w:t>0</w:t>
            </w:r>
            <w:r>
              <w:rPr>
                <w:rFonts w:hint="eastAsia" w:asciiTheme="majorEastAsia" w:hAnsiTheme="majorEastAsia" w:eastAsiaTheme="majorEastAsia"/>
                <w:sz w:val="18"/>
                <w:szCs w:val="18"/>
              </w:rPr>
              <w:t>】</w:t>
            </w:r>
            <w:r>
              <w:rPr>
                <w:rFonts w:asciiTheme="majorEastAsia" w:hAnsiTheme="majorEastAsia" w:eastAsiaTheme="majorEastAsia"/>
                <w:sz w:val="18"/>
                <w:szCs w:val="18"/>
              </w:rPr>
              <w:t>。</w:t>
            </w:r>
          </w:p>
          <w:p>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pPr>
              <w:spacing w:line="360" w:lineRule="auto"/>
              <w:rPr>
                <w:rFonts w:ascii="宋体" w:hAnsi="宋体"/>
                <w:sz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认购期/募集期内资金产生的利息不计入认购资金</w:t>
            </w:r>
            <w:r>
              <w:rPr>
                <w:rFonts w:hint="eastAsia" w:ascii="宋体" w:hAnsi="宋体"/>
                <w:sz w:val="18"/>
              </w:rPr>
              <w:t>。</w:t>
            </w:r>
          </w:p>
          <w:p>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注：关于代理销售机构的实际工作服务时段的提示</w:t>
            </w:r>
          </w:p>
          <w:p>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①为本产品办理相关交易的实际工作服务时段，因代理销售机构的不同可能存在差异（可能晚于销售文件约定的起始时点开始或早于销售文件约定的终止时点结束），投资者应当以代理销售机构的展示为准。</w:t>
            </w:r>
          </w:p>
          <w:p>
            <w:pPr>
              <w:spacing w:line="360" w:lineRule="auto"/>
              <w:rPr>
                <w:rFonts w:asciiTheme="majorEastAsia" w:hAnsiTheme="majorEastAsia" w:eastAsiaTheme="majorEastAsia"/>
                <w:bCs/>
                <w:sz w:val="18"/>
                <w:szCs w:val="18"/>
              </w:rPr>
            </w:pPr>
            <w:r>
              <w:rPr>
                <w:rFonts w:hint="eastAsia" w:ascii="黑体" w:hAnsi="黑体" w:eastAsia="黑体" w:cs="黑体"/>
                <w:bCs/>
                <w:color w:val="000000" w:themeColor="text1"/>
                <w:sz w:val="18"/>
                <w:szCs w:val="18"/>
                <w14:textFill>
                  <w14:solidFill>
                    <w14:schemeClr w14:val="tx1"/>
                  </w14:solidFill>
                </w14:textFill>
              </w:rPr>
              <w:t>②代理销售机构的实际工作服务时段，最早不得早于销售文件约定的起始时点、最晚不得晚于销售文件约定的终止时点。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.本产品的计划成立日为</w:t>
            </w:r>
            <w:r>
              <w:rPr>
                <w:rFonts w:asciiTheme="minorEastAsia" w:hAnsiTheme="minorEastAsia"/>
                <w:bCs/>
                <w:sz w:val="18"/>
                <w:szCs w:val="18"/>
              </w:rPr>
              <w:t>：</w:t>
            </w:r>
            <w:r>
              <w:rPr>
                <w:rFonts w:hint="eastAsia" w:cs="Times New Roman" w:asciiTheme="minorEastAsia" w:hAnsiTheme="minorEastAsia"/>
                <w:sz w:val="18"/>
                <w:szCs w:val="18"/>
              </w:rPr>
              <w:t>【2</w:t>
            </w:r>
            <w:r>
              <w:rPr>
                <w:rFonts w:cs="Times New Roman" w:asciiTheme="minorEastAsia" w:hAnsiTheme="minorEastAsia"/>
                <w:sz w:val="18"/>
                <w:szCs w:val="18"/>
              </w:rPr>
              <w:t>024】年【</w:t>
            </w:r>
            <w:r>
              <w:rPr>
                <w:rFonts w:hint="eastAsia" w:cs="Times New Roman" w:asciiTheme="minorEastAsia" w:hAnsiTheme="minorEastAsia"/>
                <w:sz w:val="18"/>
                <w:szCs w:val="18"/>
                <w:lang w:val="en-US" w:eastAsia="zh-CN"/>
              </w:rPr>
              <w:t>04</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02</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ajorEastAsia" w:hAnsiTheme="majorEastAsia" w:eastAsiaTheme="majorEastAsia"/>
                <w:bCs/>
                <w:sz w:val="18"/>
                <w:szCs w:val="18"/>
              </w:rPr>
            </w:pPr>
            <w:r>
              <w:rPr>
                <w:rFonts w:asciiTheme="minorEastAsia" w:hAnsiTheme="minorEastAsia"/>
                <w:bCs/>
                <w:sz w:val="18"/>
                <w:szCs w:val="18"/>
              </w:rPr>
              <w:t>2</w:t>
            </w:r>
            <w:r>
              <w:rPr>
                <w:rFonts w:hint="eastAsia" w:asciiTheme="minorEastAsia" w:hAnsiTheme="minor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hint="eastAsia" w:asciiTheme="minorEastAsia" w:hAnsiTheme="minorEastAsia"/>
                <w:bCs/>
                <w:sz w:val="18"/>
                <w:szCs w:val="18"/>
              </w:rPr>
              <w:t>，</w:t>
            </w:r>
            <w:r>
              <w:rPr>
                <w:rFonts w:asciiTheme="minorEastAsia" w:hAnsiTheme="minorEastAsia"/>
                <w:bCs/>
                <w:sz w:val="18"/>
                <w:szCs w:val="18"/>
              </w:rPr>
              <w:t>将依约</w:t>
            </w:r>
            <w:r>
              <w:rPr>
                <w:rFonts w:hint="eastAsia" w:asciiTheme="minorEastAsia" w:hAnsiTheme="minorEastAsia"/>
                <w:bCs/>
                <w:sz w:val="18"/>
                <w:szCs w:val="18"/>
              </w:rPr>
              <w:t>定进行公告。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inorEastAsia" w:hAnsiTheme="minorEastAsia"/>
                <w:b/>
                <w:bCs/>
                <w:sz w:val="18"/>
                <w:szCs w:val="18"/>
              </w:rPr>
              <w:t>终止日</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.本产品的计划终止日为</w:t>
            </w:r>
            <w:r>
              <w:rPr>
                <w:rFonts w:asciiTheme="minorEastAsia" w:hAnsiTheme="minorEastAsia"/>
                <w:bCs/>
                <w:sz w:val="18"/>
                <w:szCs w:val="18"/>
              </w:rPr>
              <w:t>：</w:t>
            </w:r>
            <w:r>
              <w:rPr>
                <w:rFonts w:hint="eastAsia" w:cs="Times New Roman" w:asciiTheme="minorEastAsia" w:hAnsiTheme="minorEastAsia"/>
                <w:sz w:val="18"/>
                <w:szCs w:val="18"/>
              </w:rPr>
              <w:t>【2</w:t>
            </w:r>
            <w:r>
              <w:rPr>
                <w:rFonts w:cs="Times New Roman" w:asciiTheme="minorEastAsia" w:hAnsiTheme="minorEastAsia"/>
                <w:sz w:val="18"/>
                <w:szCs w:val="18"/>
              </w:rPr>
              <w:t>024】年【</w:t>
            </w:r>
            <w:r>
              <w:rPr>
                <w:rFonts w:hint="eastAsia" w:cs="Times New Roman" w:asciiTheme="minorEastAsia" w:hAnsiTheme="minorEastAsia"/>
                <w:sz w:val="18"/>
                <w:szCs w:val="18"/>
                <w:lang w:val="en-US" w:eastAsia="zh-CN"/>
              </w:rPr>
              <w:t>08</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20</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cs="Times New Roman" w:asciiTheme="minorEastAsia" w:hAnsiTheme="minorEastAsia"/>
                <w:sz w:val="18"/>
                <w:szCs w:val="18"/>
              </w:rPr>
            </w:pPr>
            <w:r>
              <w:rPr>
                <w:rFonts w:hint="eastAsia" w:ascii="宋体" w:hAnsi="宋体"/>
                <w:bCs/>
                <w:sz w:val="18"/>
                <w:szCs w:val="18"/>
              </w:rPr>
              <w:t>2.本产品的实际终止日受制于本理财产品销售文件“提前终止”及“延期终止”情形。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asciiTheme="majorEastAsia" w:hAnsiTheme="majorEastAsia" w:eastAsiaTheme="majorEastAsia"/>
                <w:b/>
                <w:bCs/>
                <w:sz w:val="18"/>
                <w:szCs w:val="18"/>
              </w:rPr>
              <w:t>递增金额</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sz w:val="18"/>
                <w:szCs w:val="18"/>
              </w:rPr>
              <w:t>每笔购买起点金额为【1】元；超出起点金额的部分以【0.01】元的整数倍递增。（适用【A/B/C/D</w:t>
            </w:r>
            <w:r>
              <w:rPr>
                <w:rFonts w:hint="eastAsia" w:asciiTheme="majorEastAsia" w:hAnsiTheme="majorEastAsia" w:eastAsiaTheme="majorEastAsia"/>
                <w:sz w:val="18"/>
                <w:szCs w:val="18"/>
                <w:lang w:val="en-US" w:eastAsia="zh-CN"/>
              </w:rPr>
              <w:t>/E】</w:t>
            </w:r>
            <w:r>
              <w:rPr>
                <w:rFonts w:hint="eastAsia" w:asciiTheme="majorEastAsia" w:hAnsiTheme="majorEastAsia" w:eastAsiaTheme="majorEastAsia"/>
                <w:sz w:val="18"/>
                <w:szCs w:val="18"/>
              </w:rPr>
              <w:t>类份额）</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关于代理销售机构的实际销售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的提示</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ascii="黑体" w:hAnsi="黑体" w:eastAsia="黑体"/>
                <w:color w:val="000000" w:themeColor="text1"/>
                <w:sz w:val="18"/>
                <w:szCs w:val="18"/>
                <w14:textFill>
                  <w14:solidFill>
                    <w14:schemeClr w14:val="tx1"/>
                  </w14:solidFill>
                </w14:textFill>
              </w:rPr>
              <w:t>以</w:t>
            </w:r>
            <w:r>
              <w:rPr>
                <w:rFonts w:hint="eastAsia" w:ascii="黑体" w:hAnsi="黑体" w:eastAsia="黑体"/>
                <w:color w:val="000000" w:themeColor="text1"/>
                <w:sz w:val="18"/>
                <w:szCs w:val="18"/>
                <w14:textFill>
                  <w14:solidFill>
                    <w14:schemeClr w14:val="tx1"/>
                  </w14:solidFill>
                </w14:textFill>
              </w:rPr>
              <w:t>代理销售机构展示</w:t>
            </w:r>
            <w:r>
              <w:rPr>
                <w:rFonts w:ascii="黑体" w:hAnsi="黑体" w:eastAsia="黑体"/>
                <w:color w:val="000000" w:themeColor="text1"/>
                <w:sz w:val="18"/>
                <w:szCs w:val="18"/>
                <w14:textFill>
                  <w14:solidFill>
                    <w14:schemeClr w14:val="tx1"/>
                  </w14:solidFill>
                </w14:textFill>
              </w:rPr>
              <w:t>为准</w:t>
            </w:r>
            <w:r>
              <w:rPr>
                <w:rFonts w:hint="eastAsia" w:ascii="黑体" w:hAnsi="黑体" w:eastAsia="黑体"/>
                <w:color w:val="000000" w:themeColor="text1"/>
                <w:sz w:val="18"/>
                <w:szCs w:val="18"/>
                <w14:textFill>
                  <w14:solidFill>
                    <w14:schemeClr w14:val="tx1"/>
                  </w14:solidFill>
                </w14:textFill>
              </w:rPr>
              <w:t>。</w:t>
            </w:r>
          </w:p>
          <w:p>
            <w:pPr>
              <w:spacing w:line="360" w:lineRule="auto"/>
              <w:jc w:val="left"/>
              <w:rPr>
                <w:rFonts w:cs="Times New Roman" w:asciiTheme="minorEastAsia" w:hAnsiTheme="minorEastAsia"/>
                <w:sz w:val="18"/>
                <w:szCs w:val="18"/>
              </w:rPr>
            </w:pPr>
            <w:r>
              <w:rPr>
                <w:rFonts w:hint="eastAsia" w:ascii="黑体" w:hAnsi="黑体" w:eastAsia="黑体"/>
                <w:color w:val="000000" w:themeColor="text1"/>
                <w:sz w:val="18"/>
                <w:szCs w:val="18"/>
                <w14:textFill>
                  <w14:solidFill>
                    <w14:schemeClr w14:val="tx1"/>
                  </w14:solidFill>
                </w14:textFill>
              </w:rPr>
              <w:t>②代理销售机构的实际销售起点金额，</w:t>
            </w:r>
            <w:r>
              <w:rPr>
                <w:rFonts w:ascii="黑体" w:hAnsi="黑体" w:eastAsia="黑体"/>
                <w:color w:val="000000" w:themeColor="text1"/>
                <w:sz w:val="18"/>
                <w:szCs w:val="18"/>
                <w14:textFill>
                  <w14:solidFill>
                    <w14:schemeClr w14:val="tx1"/>
                  </w14:solidFill>
                </w14:textFill>
              </w:rPr>
              <w:t>不得低于</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文件约定的</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b/>
                <w:sz w:val="18"/>
                <w:szCs w:val="18"/>
              </w:rPr>
              <w:t>★认购的数量限制</w:t>
            </w:r>
          </w:p>
        </w:tc>
        <w:tc>
          <w:tcPr>
            <w:tcW w:w="7674" w:type="dxa"/>
            <w:shd w:val="solid" w:color="FFFFFF" w:fill="FFFFFF"/>
            <w:vAlign w:val="center"/>
          </w:tcPr>
          <w:p>
            <w:pPr>
              <w:pStyle w:val="14"/>
              <w:spacing w:line="360" w:lineRule="auto"/>
              <w:rPr>
                <w:rFonts w:hAnsi="宋体"/>
                <w:bCs/>
                <w:sz w:val="18"/>
                <w:szCs w:val="18"/>
              </w:rPr>
            </w:pPr>
            <w:r>
              <w:rPr>
                <w:rFonts w:hint="eastAsia" w:hAnsi="宋体"/>
                <w:bCs/>
                <w:sz w:val="18"/>
                <w:szCs w:val="18"/>
              </w:rPr>
              <w:t>（适用【</w:t>
            </w:r>
            <w:r>
              <w:rPr>
                <w:rFonts w:hint="eastAsia" w:asciiTheme="majorEastAsia" w:hAnsiTheme="majorEastAsia" w:eastAsiaTheme="majorEastAsia"/>
                <w:sz w:val="18"/>
                <w:szCs w:val="18"/>
              </w:rPr>
              <w:t>A/B/C/D</w:t>
            </w:r>
            <w:r>
              <w:rPr>
                <w:rFonts w:hint="eastAsia" w:asciiTheme="majorEastAsia" w:hAnsiTheme="majorEastAsia" w:eastAsiaTheme="majorEastAsia"/>
                <w:sz w:val="18"/>
                <w:szCs w:val="18"/>
                <w:lang w:val="en-US" w:eastAsia="zh-CN"/>
              </w:rPr>
              <w:t>/E</w:t>
            </w:r>
            <w:r>
              <w:rPr>
                <w:rFonts w:hint="eastAsia" w:hAnsi="宋体"/>
                <w:bCs/>
                <w:sz w:val="18"/>
                <w:szCs w:val="18"/>
              </w:rPr>
              <w:t>】类</w:t>
            </w:r>
            <w:r>
              <w:rPr>
                <w:rFonts w:hAnsi="宋体"/>
                <w:bCs/>
                <w:sz w:val="18"/>
                <w:szCs w:val="18"/>
              </w:rPr>
              <w:t>份额</w:t>
            </w:r>
            <w:r>
              <w:rPr>
                <w:rFonts w:hint="eastAsia" w:hAnsi="宋体"/>
                <w:bCs/>
                <w:sz w:val="18"/>
                <w:szCs w:val="18"/>
              </w:rPr>
              <w:t>）</w:t>
            </w:r>
          </w:p>
          <w:p>
            <w:pPr>
              <w:pStyle w:val="1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认购的数量限制</w:t>
            </w:r>
          </w:p>
          <w:p>
            <w:pPr>
              <w:pStyle w:val="1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（1）单一投资者认购上限为【/】。</w:t>
            </w:r>
          </w:p>
          <w:p>
            <w:pPr>
              <w:pStyle w:val="1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（2）产品</w:t>
            </w:r>
            <w:r>
              <w:rPr>
                <w:rFonts w:asciiTheme="minorEastAsia" w:hAnsiTheme="minorEastAsia" w:eastAsiaTheme="minorEastAsia"/>
                <w:color w:val="auto"/>
                <w:sz w:val="18"/>
                <w:szCs w:val="18"/>
              </w:rPr>
              <w:t>存续期间，</w:t>
            </w:r>
            <w:r>
              <w:rPr>
                <w:rFonts w:hint="eastAsia" w:asciiTheme="minorEastAsia" w:hAnsiTheme="minorEastAsia" w:eastAsiaTheme="minorEastAsia"/>
                <w:color w:val="auto"/>
                <w:sz w:val="18"/>
                <w:szCs w:val="18"/>
              </w:rPr>
              <w:t>单一投资者</w:t>
            </w:r>
            <w:r>
              <w:rPr>
                <w:rFonts w:asciiTheme="minorEastAsia" w:hAnsiTheme="minorEastAsia" w:eastAsiaTheme="minorEastAsia"/>
                <w:color w:val="auto"/>
                <w:sz w:val="18"/>
                <w:szCs w:val="18"/>
              </w:rPr>
              <w:t>最高</w:t>
            </w:r>
            <w:r>
              <w:rPr>
                <w:rFonts w:hint="eastAsia" w:asciiTheme="minorEastAsia" w:hAnsiTheme="minorEastAsia" w:eastAsiaTheme="minorEastAsia"/>
                <w:color w:val="auto"/>
                <w:sz w:val="18"/>
                <w:szCs w:val="18"/>
              </w:rPr>
              <w:t>持有</w:t>
            </w:r>
            <w:r>
              <w:rPr>
                <w:rFonts w:asciiTheme="minorEastAsia" w:hAnsiTheme="minorEastAsia" w:eastAsiaTheme="minorEastAsia"/>
                <w:color w:val="auto"/>
                <w:sz w:val="18"/>
                <w:szCs w:val="18"/>
              </w:rPr>
              <w:t>份额上限为</w:t>
            </w:r>
            <w:r>
              <w:rPr>
                <w:rFonts w:hint="eastAsia" w:asciiTheme="minorEastAsia" w:hAnsiTheme="minorEastAsia" w:eastAsiaTheme="minorEastAsia"/>
                <w:color w:val="auto"/>
                <w:sz w:val="18"/>
                <w:szCs w:val="18"/>
              </w:rPr>
              <w:t>【/】份，符合产品管理人流动性管理的稳定资金除外。</w:t>
            </w:r>
          </w:p>
          <w:p>
            <w:pPr>
              <w:pStyle w:val="1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pPr>
              <w:pStyle w:val="1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本产品单一投资者持有份额不得超过产品总份额</w:t>
            </w:r>
            <w:r>
              <w:rPr>
                <w:rFonts w:ascii="黑体" w:hAnsi="黑体" w:eastAsia="黑体"/>
                <w:color w:val="000000" w:themeColor="text1"/>
                <w:sz w:val="18"/>
                <w:szCs w:val="18"/>
                <w14:textFill>
                  <w14:solidFill>
                    <w14:schemeClr w14:val="tx1"/>
                  </w14:solidFill>
                </w14:textFill>
              </w:rPr>
              <w:t>50%。</w:t>
            </w:r>
          </w:p>
          <w:p>
            <w:pPr>
              <w:pStyle w:val="1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w:t>
            </w:r>
            <w:r>
              <w:rPr>
                <w:rFonts w:ascii="黑体" w:hAnsi="黑体" w:eastAsia="黑体"/>
                <w:color w:val="000000" w:themeColor="text1"/>
                <w:sz w:val="18"/>
                <w:szCs w:val="18"/>
                <w14:textFill>
                  <w14:solidFill>
                    <w14:schemeClr w14:val="tx1"/>
                  </w14:solidFill>
                </w14:textFill>
              </w:rPr>
              <w:t>1）投资者认购或申购确认后可能导致其持有份额超过产品总份额50%的，管理人有权拒绝或暂停认购、申购。</w:t>
            </w:r>
          </w:p>
          <w:p>
            <w:pPr>
              <w:spacing w:line="360" w:lineRule="auto"/>
              <w:rPr>
                <w:rFonts w:asciiTheme="majorEastAsia" w:hAnsiTheme="majorEastAsia" w:eastAsiaTheme="majorEastAsia"/>
                <w:sz w:val="18"/>
                <w:szCs w:val="18"/>
              </w:rPr>
            </w:pPr>
            <w:r>
              <w:rPr>
                <w:rFonts w:hint="eastAsia" w:ascii="黑体" w:hAnsi="黑体" w:eastAsia="黑体"/>
                <w:color w:val="000000" w:themeColor="text1"/>
                <w:sz w:val="18"/>
                <w:szCs w:val="18"/>
                <w14:textFill>
                  <w14:solidFill>
                    <w14:schemeClr w14:val="tx1"/>
                  </w14:solidFill>
                </w14:textFill>
              </w:rPr>
              <w:t>（</w:t>
            </w:r>
            <w:r>
              <w:rPr>
                <w:rFonts w:ascii="黑体" w:hAnsi="黑体" w:eastAsia="黑体"/>
                <w:color w:val="000000" w:themeColor="text1"/>
                <w:sz w:val="18"/>
                <w:szCs w:val="18"/>
                <w14:textFill>
                  <w14:solidFill>
                    <w14:schemeClr w14:val="tx1"/>
                  </w14:solidFill>
                </w14:textFill>
              </w:rPr>
              <w:t>2）非因管理人主观因素导致突破该比例限制的，在单一投资者持有比例降至50%以下之前，管理人不再接受该投资者对本产品的认购、申购申请。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674" w:type="dxa"/>
            <w:shd w:val="solid" w:color="FFFFFF" w:fill="FFFFFF"/>
            <w:vAlign w:val="center"/>
          </w:tcPr>
          <w:p>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674" w:type="dxa"/>
            <w:shd w:val="solid" w:color="FFFFFF" w:fill="FFFFFF"/>
            <w:vAlign w:val="center"/>
          </w:tcPr>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w:t>
            </w:r>
            <w:r>
              <w:rPr>
                <w:rFonts w:asciiTheme="majorEastAsia" w:hAnsiTheme="majorEastAsia" w:eastAsiaTheme="majorEastAsia"/>
                <w:color w:val="000000" w:themeColor="text1"/>
                <w:sz w:val="18"/>
                <w:szCs w:val="18"/>
                <w14:textFill>
                  <w14:solidFill>
                    <w14:schemeClr w14:val="tx1"/>
                  </w14:solidFill>
                </w14:textFill>
              </w:rPr>
              <w:t>.</w:t>
            </w:r>
            <w:r>
              <w:rPr>
                <w:rFonts w:asciiTheme="majorEastAsia" w:hAnsiTheme="majorEastAsia" w:eastAsiaTheme="majorEastAsia"/>
                <w:bCs/>
                <w:sz w:val="18"/>
                <w:szCs w:val="18"/>
              </w:rPr>
              <w:t>若产品投资资产运作出现损失的，产品份额净值下降，投资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分配所得可能小于投资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初始投资资金。投资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分配所得以实际到账金额为准。</w:t>
            </w:r>
          </w:p>
          <w:p>
            <w:pPr>
              <w:spacing w:line="360" w:lineRule="auto"/>
              <w:rPr>
                <w:rFonts w:asciiTheme="majorEastAsia" w:hAnsiTheme="majorEastAsia" w:eastAsiaTheme="majorEastAsia"/>
                <w:bCs/>
                <w:sz w:val="18"/>
                <w:szCs w:val="18"/>
              </w:rPr>
            </w:pPr>
            <w:r>
              <w:rPr>
                <w:rFonts w:asciiTheme="majorEastAsia" w:hAnsiTheme="majorEastAsia" w:eastAsiaTheme="majorEastAsia"/>
                <w:bCs/>
                <w:sz w:val="18"/>
                <w:szCs w:val="18"/>
              </w:rPr>
              <w:t>2．产品实际</w:t>
            </w:r>
            <w:r>
              <w:rPr>
                <w:rFonts w:hint="eastAsia" w:asciiTheme="majorEastAsia" w:hAnsiTheme="majorEastAsia" w:eastAsiaTheme="majorEastAsia"/>
                <w:bCs/>
                <w:sz w:val="18"/>
                <w:szCs w:val="18"/>
              </w:rPr>
              <w:t>终止</w:t>
            </w:r>
            <w:r>
              <w:rPr>
                <w:rFonts w:asciiTheme="majorEastAsia" w:hAnsiTheme="majorEastAsia" w:eastAsiaTheme="majorEastAsia"/>
                <w:bCs/>
                <w:sz w:val="18"/>
                <w:szCs w:val="18"/>
              </w:rPr>
              <w:t>日之前的估值日公布的产品份额净值已扣除</w:t>
            </w:r>
            <w:r>
              <w:rPr>
                <w:rFonts w:hint="eastAsia" w:asciiTheme="majorEastAsia" w:hAnsiTheme="majorEastAsia" w:eastAsiaTheme="majorEastAsia"/>
                <w:bCs/>
                <w:sz w:val="18"/>
                <w:szCs w:val="18"/>
              </w:rPr>
              <w:t>理财产品</w:t>
            </w:r>
            <w:r>
              <w:rPr>
                <w:rFonts w:asciiTheme="majorEastAsia" w:hAnsiTheme="majorEastAsia" w:eastAsiaTheme="majorEastAsia"/>
                <w:bCs/>
                <w:sz w:val="18"/>
                <w:szCs w:val="18"/>
              </w:rPr>
              <w:t>的费用和税收。</w:t>
            </w:r>
          </w:p>
          <w:p>
            <w:pPr>
              <w:spacing w:line="360" w:lineRule="auto"/>
              <w:jc w:val="left"/>
              <w:rPr>
                <w:rFonts w:cs="Times New Roman" w:asciiTheme="minorEastAsia" w:hAnsiTheme="minorEastAsia"/>
                <w:sz w:val="18"/>
                <w:szCs w:val="18"/>
              </w:rPr>
            </w:pPr>
            <w:r>
              <w:rPr>
                <w:rFonts w:asciiTheme="majorEastAsia" w:hAnsiTheme="majorEastAsia" w:eastAsiaTheme="majorEastAsia"/>
                <w:bCs/>
                <w:sz w:val="18"/>
                <w:szCs w:val="18"/>
              </w:rPr>
              <w:t>3．产品管理人依约定公布产品份额净值</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以</w:t>
            </w:r>
            <w:r>
              <w:rPr>
                <w:rFonts w:hint="eastAsia" w:asciiTheme="majorEastAsia" w:hAnsiTheme="majorEastAsia" w:eastAsiaTheme="majorEastAsia"/>
                <w:bCs/>
                <w:sz w:val="18"/>
                <w:szCs w:val="18"/>
              </w:rPr>
              <w:t>产品终止日</w:t>
            </w:r>
            <w:r>
              <w:rPr>
                <w:rFonts w:asciiTheme="majorEastAsia" w:hAnsiTheme="majorEastAsia" w:eastAsiaTheme="majorEastAsia"/>
                <w:bCs/>
                <w:sz w:val="18"/>
                <w:szCs w:val="18"/>
              </w:rPr>
              <w:t>产品份额净值为基础进行利益分配。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674" w:type="dxa"/>
            <w:shd w:val="solid" w:color="FFFFFF" w:fill="FFFFFF"/>
            <w:vAlign w:val="center"/>
          </w:tcPr>
          <w:p>
            <w:pPr>
              <w:autoSpaceDE w:val="0"/>
              <w:autoSpaceDN w:val="0"/>
              <w:adjustRightInd w:val="0"/>
              <w:spacing w:line="360" w:lineRule="auto"/>
              <w:jc w:val="left"/>
              <w:rPr>
                <w:rFonts w:hAnsi="宋体"/>
                <w:b/>
                <w:sz w:val="18"/>
                <w:szCs w:val="18"/>
              </w:rPr>
            </w:pPr>
            <w:r>
              <w:rPr>
                <w:rFonts w:hAnsi="宋体"/>
                <w:b/>
                <w:sz w:val="18"/>
                <w:szCs w:val="18"/>
              </w:rPr>
              <w:t>1.业绩比较基准的设置</w:t>
            </w:r>
          </w:p>
          <w:p>
            <w:pPr>
              <w:autoSpaceDE w:val="0"/>
              <w:autoSpaceDN w:val="0"/>
              <w:adjustRightInd w:val="0"/>
              <w:spacing w:line="360" w:lineRule="auto"/>
              <w:jc w:val="left"/>
              <w:rPr>
                <w:rFonts w:asciiTheme="majorEastAsia" w:hAnsiTheme="majorEastAsia" w:eastAsiaTheme="majorEastAsia"/>
                <w:b/>
                <w:kern w:val="0"/>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
                <w:kern w:val="0"/>
                <w:sz w:val="18"/>
                <w:szCs w:val="18"/>
              </w:rPr>
              <w:t xml:space="preserve"> </w:t>
            </w:r>
            <w:r>
              <w:rPr>
                <w:rFonts w:hint="eastAsia" w:asciiTheme="majorEastAsia" w:hAnsiTheme="majorEastAsia" w:eastAsiaTheme="majorEastAsia"/>
                <w:b/>
                <w:kern w:val="0"/>
                <w:sz w:val="18"/>
                <w:szCs w:val="18"/>
              </w:rPr>
              <w:t>产品管理人设置业绩比较基准。</w:t>
            </w:r>
          </w:p>
          <w:p>
            <w:pPr>
              <w:spacing w:line="360" w:lineRule="auto"/>
              <w:jc w:val="left"/>
              <w:rPr>
                <w:rFonts w:ascii="宋体" w:hAnsi="宋体"/>
                <w:bCs/>
                <w:sz w:val="18"/>
                <w:szCs w:val="18"/>
              </w:rPr>
            </w:pPr>
            <w:r>
              <w:rPr>
                <w:rFonts w:hint="eastAsia" w:ascii="宋体" w:hAnsi="宋体"/>
                <w:bCs/>
                <w:sz w:val="18"/>
                <w:szCs w:val="18"/>
              </w:rPr>
              <w:t>（1）业绩比较基准的说明：【产品投资债权类资产不低于80%，根据当前市场环境下大类资产合理配置比例及大类资产收益情况，考虑杠杆和费率等因素，并结合产品投资策略，设定业绩比较基准】。</w:t>
            </w:r>
          </w:p>
          <w:p>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2）业绩比较基准的设定：</w:t>
            </w:r>
            <w:r>
              <w:rPr>
                <w:rFonts w:hint="eastAsia" w:asciiTheme="majorEastAsia" w:hAnsiTheme="majorEastAsia"/>
                <w:sz w:val="18"/>
              </w:rPr>
              <w:t>管理人对</w:t>
            </w:r>
            <w:r>
              <w:rPr>
                <w:rFonts w:asciiTheme="majorEastAsia" w:hAnsiTheme="majorEastAsia"/>
                <w:sz w:val="18"/>
              </w:rPr>
              <w:t>本产品设定</w:t>
            </w:r>
            <w:r>
              <w:rPr>
                <w:rFonts w:hint="eastAsia" w:asciiTheme="majorEastAsia" w:hAnsiTheme="majorEastAsia"/>
                <w:sz w:val="18"/>
              </w:rPr>
              <w:t>业绩比较基准：</w:t>
            </w:r>
          </w:p>
          <w:p>
            <w:pPr>
              <w:spacing w:line="360" w:lineRule="auto"/>
              <w:rPr>
                <w:rFonts w:ascii="宋体" w:hAnsi="宋体"/>
                <w:bCs/>
                <w:sz w:val="18"/>
                <w:szCs w:val="18"/>
              </w:rPr>
            </w:pPr>
            <w:r>
              <w:rPr>
                <w:rFonts w:hint="eastAsia" w:asciiTheme="majorEastAsia" w:hAnsiTheme="majorEastAsia"/>
                <w:sz w:val="18"/>
              </w:rPr>
              <w:t>A类份额：年化</w:t>
            </w:r>
            <w:r>
              <w:rPr>
                <w:rFonts w:hint="eastAsia" w:ascii="宋体" w:hAnsi="宋体"/>
                <w:bCs/>
                <w:sz w:val="18"/>
                <w:szCs w:val="18"/>
              </w:rPr>
              <w:t>【2.</w:t>
            </w:r>
            <w:r>
              <w:rPr>
                <w:rFonts w:hint="eastAsia" w:ascii="宋体" w:hAnsi="宋体"/>
                <w:bCs/>
                <w:sz w:val="18"/>
                <w:szCs w:val="18"/>
                <w:lang w:val="en-US" w:eastAsia="zh-CN"/>
              </w:rPr>
              <w:t>80%</w:t>
            </w:r>
            <w:r>
              <w:rPr>
                <w:rFonts w:ascii="宋体" w:hAnsi="宋体"/>
                <w:bCs/>
                <w:sz w:val="18"/>
                <w:szCs w:val="18"/>
              </w:rPr>
              <w:t>】；</w:t>
            </w:r>
          </w:p>
          <w:p>
            <w:pPr>
              <w:spacing w:line="360" w:lineRule="auto"/>
              <w:rPr>
                <w:rFonts w:ascii="宋体" w:hAnsi="宋体"/>
                <w:bCs/>
                <w:sz w:val="18"/>
                <w:szCs w:val="18"/>
              </w:rPr>
            </w:pPr>
            <w:r>
              <w:rPr>
                <w:rFonts w:asciiTheme="majorEastAsia" w:hAnsiTheme="majorEastAsia"/>
                <w:sz w:val="18"/>
              </w:rPr>
              <w:t>B</w:t>
            </w:r>
            <w:r>
              <w:rPr>
                <w:rFonts w:hint="eastAsia" w:asciiTheme="majorEastAsia" w:hAnsiTheme="majorEastAsia"/>
                <w:sz w:val="18"/>
              </w:rPr>
              <w:t>类份额：年化</w:t>
            </w:r>
            <w:r>
              <w:rPr>
                <w:rFonts w:hint="eastAsia" w:ascii="宋体" w:hAnsi="宋体"/>
                <w:bCs/>
                <w:sz w:val="18"/>
                <w:szCs w:val="18"/>
              </w:rPr>
              <w:t>【2</w:t>
            </w:r>
            <w:r>
              <w:rPr>
                <w:rFonts w:hint="eastAsia" w:ascii="宋体" w:hAnsi="宋体"/>
                <w:bCs/>
                <w:sz w:val="18"/>
                <w:szCs w:val="18"/>
                <w:lang w:val="en-US" w:eastAsia="zh-CN"/>
              </w:rPr>
              <w:t>.76</w:t>
            </w:r>
            <w:r>
              <w:rPr>
                <w:rFonts w:hint="eastAsia" w:ascii="宋体" w:hAnsi="宋体"/>
                <w:bCs/>
                <w:sz w:val="18"/>
                <w:szCs w:val="18"/>
              </w:rPr>
              <w:t>%</w:t>
            </w:r>
            <w:r>
              <w:rPr>
                <w:rFonts w:ascii="宋体" w:hAnsi="宋体"/>
                <w:bCs/>
                <w:sz w:val="18"/>
                <w:szCs w:val="18"/>
              </w:rPr>
              <w:t>】；</w:t>
            </w:r>
          </w:p>
          <w:p>
            <w:pPr>
              <w:spacing w:line="360" w:lineRule="auto"/>
              <w:rPr>
                <w:rFonts w:ascii="宋体" w:hAnsi="宋体"/>
                <w:bCs/>
                <w:sz w:val="18"/>
                <w:szCs w:val="18"/>
              </w:rPr>
            </w:pPr>
            <w:r>
              <w:rPr>
                <w:rFonts w:asciiTheme="majorEastAsia" w:hAnsiTheme="majorEastAsia"/>
                <w:sz w:val="18"/>
              </w:rPr>
              <w:t>C</w:t>
            </w:r>
            <w:r>
              <w:rPr>
                <w:rFonts w:hint="eastAsia" w:asciiTheme="majorEastAsia" w:hAnsiTheme="majorEastAsia"/>
                <w:sz w:val="18"/>
              </w:rPr>
              <w:t>类份额：年化</w:t>
            </w:r>
            <w:r>
              <w:rPr>
                <w:rFonts w:hint="eastAsia" w:ascii="宋体" w:hAnsi="宋体"/>
                <w:bCs/>
                <w:sz w:val="18"/>
                <w:szCs w:val="18"/>
              </w:rPr>
              <w:t>【2.7</w:t>
            </w:r>
            <w:r>
              <w:rPr>
                <w:rFonts w:ascii="宋体" w:hAnsi="宋体"/>
                <w:bCs/>
                <w:sz w:val="18"/>
                <w:szCs w:val="18"/>
              </w:rPr>
              <w:t>1</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spacing w:line="360" w:lineRule="auto"/>
              <w:rPr>
                <w:rFonts w:hint="eastAsia" w:ascii="宋体" w:hAnsi="宋体"/>
                <w:bCs/>
                <w:sz w:val="18"/>
                <w:szCs w:val="18"/>
                <w:lang w:eastAsia="zh-CN"/>
              </w:rPr>
            </w:pPr>
            <w:r>
              <w:rPr>
                <w:rFonts w:asciiTheme="majorEastAsia" w:hAnsiTheme="majorEastAsia"/>
                <w:sz w:val="18"/>
              </w:rPr>
              <w:t>D</w:t>
            </w:r>
            <w:r>
              <w:rPr>
                <w:rFonts w:hint="eastAsia" w:asciiTheme="majorEastAsia" w:hAnsiTheme="majorEastAsia"/>
                <w:sz w:val="18"/>
              </w:rPr>
              <w:t>类份额：年化</w:t>
            </w:r>
            <w:r>
              <w:rPr>
                <w:rFonts w:hint="eastAsia" w:ascii="宋体" w:hAnsi="宋体"/>
                <w:bCs/>
                <w:sz w:val="18"/>
                <w:szCs w:val="18"/>
              </w:rPr>
              <w:t>【2.</w:t>
            </w:r>
            <w:r>
              <w:rPr>
                <w:rFonts w:hint="eastAsia" w:ascii="宋体" w:hAnsi="宋体"/>
                <w:bCs/>
                <w:sz w:val="18"/>
                <w:szCs w:val="18"/>
                <w:lang w:val="en-US" w:eastAsia="zh-CN"/>
              </w:rPr>
              <w:t>66</w:t>
            </w:r>
            <w:r>
              <w:rPr>
                <w:rFonts w:hint="eastAsia" w:ascii="宋体" w:hAnsi="宋体"/>
                <w:bCs/>
                <w:sz w:val="18"/>
                <w:szCs w:val="18"/>
              </w:rPr>
              <w:t>%</w:t>
            </w:r>
            <w:r>
              <w:rPr>
                <w:rFonts w:ascii="宋体" w:hAnsi="宋体"/>
                <w:bCs/>
                <w:sz w:val="18"/>
                <w:szCs w:val="18"/>
              </w:rPr>
              <w:t>】</w:t>
            </w:r>
            <w:r>
              <w:rPr>
                <w:rFonts w:hint="eastAsia" w:ascii="宋体" w:hAnsi="宋体"/>
                <w:bCs/>
                <w:sz w:val="18"/>
                <w:szCs w:val="18"/>
                <w:lang w:eastAsia="zh-CN"/>
              </w:rPr>
              <w:t>；</w:t>
            </w:r>
          </w:p>
          <w:p>
            <w:pPr>
              <w:spacing w:line="360" w:lineRule="auto"/>
              <w:rPr>
                <w:rFonts w:ascii="宋体" w:hAnsi="宋体"/>
                <w:bCs/>
                <w:sz w:val="18"/>
                <w:szCs w:val="18"/>
              </w:rPr>
            </w:pPr>
            <w:r>
              <w:rPr>
                <w:rFonts w:hint="eastAsia" w:asciiTheme="majorEastAsia" w:hAnsiTheme="majorEastAsia"/>
                <w:sz w:val="18"/>
                <w:lang w:val="en-US" w:eastAsia="zh-CN"/>
              </w:rPr>
              <w:t>E</w:t>
            </w:r>
            <w:r>
              <w:rPr>
                <w:rFonts w:hint="eastAsia" w:asciiTheme="majorEastAsia" w:hAnsiTheme="majorEastAsia"/>
                <w:sz w:val="18"/>
              </w:rPr>
              <w:t>类份额：年化</w:t>
            </w:r>
            <w:r>
              <w:rPr>
                <w:rFonts w:hint="eastAsia" w:ascii="宋体" w:hAnsi="宋体"/>
                <w:bCs/>
                <w:sz w:val="18"/>
                <w:szCs w:val="18"/>
              </w:rPr>
              <w:t>【2.</w:t>
            </w:r>
            <w:r>
              <w:rPr>
                <w:rFonts w:hint="eastAsia" w:ascii="宋体" w:hAnsi="宋体"/>
                <w:bCs/>
                <w:sz w:val="18"/>
                <w:szCs w:val="18"/>
                <w:lang w:val="en-US" w:eastAsia="zh-CN"/>
              </w:rPr>
              <w:t>51</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autoSpaceDE w:val="0"/>
              <w:autoSpaceDN w:val="0"/>
              <w:adjustRightInd w:val="0"/>
              <w:spacing w:line="360" w:lineRule="auto"/>
              <w:jc w:val="left"/>
              <w:rPr>
                <w:rFonts w:asciiTheme="majorEastAsia" w:hAnsiTheme="majorEastAsia" w:eastAsiaTheme="majorEastAsia"/>
                <w:b/>
                <w:kern w:val="0"/>
                <w:sz w:val="18"/>
                <w:szCs w:val="18"/>
              </w:rPr>
            </w:pPr>
            <w:r>
              <w:rPr>
                <w:rFonts w:hint="eastAsia" w:asciiTheme="majorEastAsia" w:hAnsiTheme="majorEastAsia" w:eastAsiaTheme="majorEastAsia"/>
                <w:b/>
                <w:kern w:val="0"/>
                <w:sz w:val="18"/>
                <w:szCs w:val="18"/>
              </w:rPr>
              <w:t>□</w:t>
            </w:r>
            <w:r>
              <w:rPr>
                <w:rFonts w:asciiTheme="majorEastAsia" w:hAnsiTheme="majorEastAsia" w:eastAsiaTheme="majorEastAsia"/>
                <w:b/>
                <w:kern w:val="0"/>
                <w:sz w:val="18"/>
                <w:szCs w:val="18"/>
              </w:rPr>
              <w:t xml:space="preserve"> </w:t>
            </w:r>
            <w:r>
              <w:rPr>
                <w:rFonts w:hint="eastAsia" w:asciiTheme="majorEastAsia" w:hAnsiTheme="majorEastAsia" w:eastAsiaTheme="majorEastAsia"/>
                <w:b/>
                <w:kern w:val="0"/>
                <w:sz w:val="18"/>
                <w:szCs w:val="18"/>
              </w:rPr>
              <w:t>产品管理人不设置业绩比较基准。</w:t>
            </w:r>
          </w:p>
          <w:p>
            <w:pPr>
              <w:spacing w:line="360" w:lineRule="auto"/>
              <w:jc w:val="left"/>
              <w:rPr>
                <w:rFonts w:asciiTheme="majorEastAsia" w:hAnsiTheme="majorEastAsia" w:eastAsiaTheme="majorEastAsia"/>
                <w:b/>
                <w:bCs/>
                <w:sz w:val="18"/>
                <w:szCs w:val="18"/>
              </w:rPr>
            </w:pPr>
            <w:r>
              <w:rPr>
                <w:rFonts w:asciiTheme="majorEastAsia" w:hAnsiTheme="majorEastAsia" w:eastAsiaTheme="majorEastAsia"/>
                <w:b/>
                <w:bCs/>
                <w:sz w:val="18"/>
                <w:szCs w:val="18"/>
              </w:rPr>
              <w:t>2.业绩比较基准的提示：</w:t>
            </w:r>
          </w:p>
          <w:p>
            <w:pPr>
              <w:spacing w:line="360" w:lineRule="auto"/>
              <w:jc w:val="left"/>
              <w:rPr>
                <w:rFonts w:asciiTheme="majorEastAsia" w:hAnsiTheme="majorEastAsia"/>
                <w:b/>
                <w:sz w:val="18"/>
              </w:rPr>
            </w:pPr>
            <w:r>
              <w:rPr>
                <w:rFonts w:hint="eastAsia" w:asciiTheme="majorEastAsia" w:hAnsiTheme="majorEastAsia"/>
                <w:b/>
                <w:sz w:val="18"/>
              </w:rPr>
              <w:t>（1）</w:t>
            </w:r>
            <w:r>
              <w:rPr>
                <w:rFonts w:hint="eastAsia"/>
                <w:sz w:val="18"/>
                <w:szCs w:val="18"/>
              </w:rPr>
              <w:t>★</w:t>
            </w:r>
            <w:r>
              <w:rPr>
                <w:rFonts w:hint="eastAsia"/>
                <w:b/>
                <w:sz w:val="18"/>
              </w:rPr>
              <w:t>业绩比较基准</w:t>
            </w:r>
            <w:r>
              <w:rPr>
                <w:rFonts w:hint="eastAsia"/>
                <w:b/>
                <w:bCs/>
                <w:sz w:val="18"/>
                <w:szCs w:val="18"/>
              </w:rPr>
              <w:t>不是预期收益率，</w:t>
            </w:r>
            <w:r>
              <w:rPr>
                <w:rFonts w:hint="eastAsia"/>
                <w:b/>
                <w:sz w:val="18"/>
              </w:rPr>
              <w:t>不代表产品</w:t>
            </w:r>
            <w:r>
              <w:rPr>
                <w:rFonts w:hint="eastAsia"/>
                <w:b/>
                <w:bCs/>
                <w:sz w:val="18"/>
                <w:szCs w:val="18"/>
              </w:rPr>
              <w:t>的</w:t>
            </w:r>
            <w:r>
              <w:rPr>
                <w:rFonts w:hint="eastAsia"/>
                <w:b/>
                <w:sz w:val="18"/>
              </w:rPr>
              <w:t>未来表现</w:t>
            </w:r>
            <w:r>
              <w:rPr>
                <w:rFonts w:hint="eastAsia"/>
                <w:b/>
                <w:bCs/>
                <w:sz w:val="18"/>
                <w:szCs w:val="18"/>
              </w:rPr>
              <w:t>和</w:t>
            </w:r>
            <w:r>
              <w:rPr>
                <w:rFonts w:hint="eastAsia"/>
                <w:b/>
                <w:sz w:val="18"/>
              </w:rPr>
              <w:t>实际收益，不</w:t>
            </w:r>
            <w:r>
              <w:rPr>
                <w:rFonts w:hint="eastAsia"/>
                <w:b/>
                <w:bCs/>
                <w:sz w:val="18"/>
                <w:szCs w:val="18"/>
              </w:rPr>
              <w:t>构成对</w:t>
            </w:r>
            <w:r>
              <w:rPr>
                <w:rFonts w:hint="eastAsia"/>
                <w:b/>
                <w:sz w:val="18"/>
              </w:rPr>
              <w:t>产品收益的</w:t>
            </w:r>
            <w:r>
              <w:rPr>
                <w:rFonts w:hint="eastAsia"/>
                <w:b/>
                <w:bCs/>
                <w:sz w:val="18"/>
                <w:szCs w:val="18"/>
              </w:rPr>
              <w:t>承诺</w:t>
            </w:r>
            <w:r>
              <w:rPr>
                <w:rFonts w:hint="eastAsia"/>
                <w:b/>
                <w:sz w:val="18"/>
              </w:rPr>
              <w:t>，投资须谨慎。</w:t>
            </w:r>
          </w:p>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sz w:val="18"/>
                <w:szCs w:val="18"/>
              </w:rPr>
            </w:pPr>
            <w:r>
              <w:rPr>
                <w:rFonts w:hint="eastAsia"/>
                <w:sz w:val="18"/>
                <w:szCs w:val="18"/>
              </w:rPr>
              <w:t>★</w:t>
            </w:r>
            <w:r>
              <w:rPr>
                <w:rFonts w:hint="eastAsia"/>
                <w:b/>
                <w:sz w:val="18"/>
                <w:szCs w:val="18"/>
              </w:rPr>
              <w:t>业绩报酬计提</w:t>
            </w:r>
            <w:r>
              <w:rPr>
                <w:rFonts w:ascii="宋体" w:hAnsi="宋体"/>
                <w:b/>
                <w:sz w:val="18"/>
                <w:szCs w:val="18"/>
              </w:rPr>
              <w:t>基准</w:t>
            </w:r>
          </w:p>
        </w:tc>
        <w:tc>
          <w:tcPr>
            <w:tcW w:w="7674" w:type="dxa"/>
            <w:shd w:val="solid" w:color="FFFFFF" w:fill="FFFFFF"/>
            <w:vAlign w:val="center"/>
          </w:tcPr>
          <w:p>
            <w:pPr>
              <w:spacing w:line="360" w:lineRule="auto"/>
              <w:jc w:val="left"/>
              <w:rPr>
                <w:rFonts w:hAnsi="宋体"/>
                <w:bCs/>
                <w:sz w:val="18"/>
                <w:szCs w:val="18"/>
              </w:rPr>
            </w:pPr>
            <w:r>
              <w:rPr>
                <w:rFonts w:hint="eastAsia" w:hAnsi="宋体"/>
                <w:bCs/>
                <w:sz w:val="18"/>
                <w:szCs w:val="18"/>
              </w:rPr>
              <w:t>（适用【</w:t>
            </w:r>
            <w:r>
              <w:rPr>
                <w:rFonts w:hint="eastAsia" w:asciiTheme="majorEastAsia" w:hAnsiTheme="majorEastAsia" w:eastAsiaTheme="majorEastAsia"/>
                <w:sz w:val="18"/>
                <w:szCs w:val="18"/>
              </w:rPr>
              <w:t>A/B/C/D</w:t>
            </w:r>
            <w:r>
              <w:rPr>
                <w:rFonts w:hint="eastAsia" w:asciiTheme="majorEastAsia" w:hAnsiTheme="majorEastAsia" w:eastAsiaTheme="majorEastAsia"/>
                <w:sz w:val="18"/>
                <w:szCs w:val="18"/>
                <w:lang w:val="en-US" w:eastAsia="zh-CN"/>
              </w:rPr>
              <w:t>/E</w:t>
            </w:r>
            <w:r>
              <w:rPr>
                <w:rFonts w:hint="eastAsia" w:hAnsi="宋体"/>
                <w:bCs/>
                <w:sz w:val="18"/>
                <w:szCs w:val="18"/>
              </w:rPr>
              <w:t>】类</w:t>
            </w:r>
            <w:r>
              <w:rPr>
                <w:rFonts w:hAnsi="宋体"/>
                <w:bCs/>
                <w:sz w:val="18"/>
                <w:szCs w:val="18"/>
              </w:rPr>
              <w:t>份额</w:t>
            </w:r>
            <w:r>
              <w:rPr>
                <w:rFonts w:hint="eastAsia" w:hAnsi="宋体"/>
                <w:bCs/>
                <w:sz w:val="18"/>
                <w:szCs w:val="18"/>
              </w:rPr>
              <w:t>）</w:t>
            </w:r>
          </w:p>
          <w:p>
            <w:pPr>
              <w:spacing w:line="360" w:lineRule="auto"/>
              <w:jc w:val="left"/>
              <w:rPr>
                <w:rFonts w:hAnsi="宋体"/>
                <w:b/>
                <w:bCs/>
                <w:sz w:val="18"/>
                <w:szCs w:val="18"/>
              </w:rPr>
            </w:pPr>
            <w:r>
              <w:rPr>
                <w:rFonts w:hAnsi="宋体"/>
                <w:b/>
                <w:bCs/>
                <w:sz w:val="18"/>
                <w:szCs w:val="18"/>
              </w:rPr>
              <w:t>1.业绩报酬计提基准的设置</w:t>
            </w:r>
          </w:p>
          <w:p>
            <w:pPr>
              <w:autoSpaceDE w:val="0"/>
              <w:autoSpaceDN w:val="0"/>
              <w:adjustRightInd w:val="0"/>
              <w:spacing w:line="360" w:lineRule="auto"/>
              <w:jc w:val="left"/>
              <w:rPr>
                <w:rFonts w:asciiTheme="majorEastAsia" w:hAnsiTheme="majorEastAsia" w:eastAsiaTheme="majorEastAsia"/>
                <w:b/>
                <w:kern w:val="0"/>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
                <w:kern w:val="0"/>
                <w:sz w:val="18"/>
                <w:szCs w:val="18"/>
              </w:rPr>
              <w:t xml:space="preserve"> </w:t>
            </w:r>
            <w:r>
              <w:rPr>
                <w:rFonts w:hint="eastAsia" w:asciiTheme="majorEastAsia" w:hAnsiTheme="majorEastAsia" w:eastAsiaTheme="majorEastAsia"/>
                <w:b/>
                <w:kern w:val="0"/>
                <w:sz w:val="18"/>
                <w:szCs w:val="18"/>
              </w:rPr>
              <w:t>产品管理人设置业绩报酬计提基准。</w:t>
            </w:r>
          </w:p>
          <w:p>
            <w:pPr>
              <w:spacing w:line="360" w:lineRule="auto"/>
              <w:jc w:val="left"/>
              <w:rPr>
                <w:rFonts w:ascii="宋体" w:hAnsi="宋体"/>
                <w:bCs/>
                <w:sz w:val="18"/>
                <w:szCs w:val="18"/>
              </w:rPr>
            </w:pPr>
            <w:r>
              <w:rPr>
                <w:rFonts w:ascii="宋体" w:hAnsi="宋体"/>
                <w:bCs/>
                <w:sz w:val="18"/>
                <w:szCs w:val="18"/>
              </w:rPr>
              <w:t>业绩报酬计提基准的设定</w:t>
            </w:r>
            <w:r>
              <w:rPr>
                <w:rFonts w:hint="eastAsia" w:ascii="宋体" w:hAnsi="宋体"/>
                <w:bCs/>
                <w:sz w:val="18"/>
                <w:szCs w:val="18"/>
              </w:rPr>
              <w:t>：管理人</w:t>
            </w:r>
            <w:r>
              <w:rPr>
                <w:rFonts w:ascii="宋体" w:hAnsi="宋体"/>
                <w:bCs/>
                <w:sz w:val="18"/>
                <w:szCs w:val="18"/>
              </w:rPr>
              <w:t>对本产品设定</w:t>
            </w:r>
            <w:r>
              <w:rPr>
                <w:rFonts w:hint="eastAsia" w:ascii="宋体" w:hAnsi="宋体"/>
                <w:bCs/>
                <w:sz w:val="18"/>
                <w:szCs w:val="18"/>
              </w:rPr>
              <w:t>业绩报酬计提基准：【业绩比较基准】。</w:t>
            </w:r>
          </w:p>
          <w:p>
            <w:pPr>
              <w:spacing w:line="360" w:lineRule="auto"/>
              <w:jc w:val="left"/>
              <w:rPr>
                <w:rFonts w:ascii="宋体" w:hAnsi="宋体"/>
                <w:bCs/>
                <w:sz w:val="18"/>
                <w:szCs w:val="18"/>
              </w:rPr>
            </w:pPr>
            <w:r>
              <w:rPr>
                <w:rFonts w:hint="eastAsia" w:asciiTheme="majorEastAsia" w:hAnsiTheme="majorEastAsia" w:eastAsiaTheme="majorEastAsia"/>
                <w:b/>
                <w:kern w:val="0"/>
                <w:sz w:val="18"/>
                <w:szCs w:val="18"/>
              </w:rPr>
              <w:t>□ 产品管理人不设置业绩报酬计提基准。</w:t>
            </w:r>
          </w:p>
          <w:p>
            <w:pPr>
              <w:spacing w:line="360" w:lineRule="auto"/>
              <w:jc w:val="left"/>
              <w:rPr>
                <w:rFonts w:ascii="宋体" w:hAnsi="宋体"/>
                <w:b/>
                <w:bCs/>
                <w:sz w:val="18"/>
                <w:szCs w:val="18"/>
              </w:rPr>
            </w:pPr>
            <w:r>
              <w:rPr>
                <w:rFonts w:hint="eastAsia" w:ascii="宋体" w:hAnsi="宋体"/>
                <w:b/>
                <w:bCs/>
                <w:sz w:val="18"/>
                <w:szCs w:val="18"/>
              </w:rPr>
              <w:t>2</w:t>
            </w:r>
            <w:r>
              <w:rPr>
                <w:rFonts w:ascii="宋体" w:hAnsi="宋体"/>
                <w:b/>
                <w:bCs/>
                <w:sz w:val="18"/>
                <w:szCs w:val="18"/>
              </w:rPr>
              <w:t>.业绩报酬计提基准的提示</w:t>
            </w:r>
            <w:r>
              <w:rPr>
                <w:rFonts w:hint="eastAsia" w:ascii="宋体" w:hAnsi="宋体"/>
                <w:b/>
                <w:bCs/>
                <w:sz w:val="18"/>
                <w:szCs w:val="18"/>
              </w:rPr>
              <w:t>：</w:t>
            </w:r>
          </w:p>
          <w:p>
            <w:pPr>
              <w:autoSpaceDE w:val="0"/>
              <w:autoSpaceDN w:val="0"/>
              <w:adjustRightInd w:val="0"/>
              <w:spacing w:line="360" w:lineRule="auto"/>
              <w:jc w:val="left"/>
              <w:rPr>
                <w:rFonts w:ascii="宋体" w:hAnsi="宋体"/>
                <w:b/>
                <w:sz w:val="18"/>
              </w:rPr>
            </w:pPr>
            <w:r>
              <w:rPr>
                <w:rFonts w:hint="eastAsia" w:ascii="宋体" w:hAnsi="宋体"/>
                <w:b/>
                <w:sz w:val="18"/>
              </w:rPr>
              <w:t>（1）</w:t>
            </w:r>
            <w:r>
              <w:rPr>
                <w:rFonts w:hint="eastAsia"/>
                <w:sz w:val="18"/>
                <w:szCs w:val="18"/>
              </w:rPr>
              <w:t>★</w:t>
            </w:r>
            <w:r>
              <w:rPr>
                <w:rFonts w:hint="eastAsia" w:ascii="宋体" w:hAnsi="宋体"/>
                <w:b/>
                <w:sz w:val="18"/>
              </w:rPr>
              <w:t>业绩报酬计提基准仅作为管理人计算超额业绩报酬的参照标准</w:t>
            </w:r>
            <w:r>
              <w:rPr>
                <w:rFonts w:hint="eastAsia" w:ascii="宋体" w:hAnsi="宋体"/>
                <w:b/>
                <w:bCs/>
                <w:sz w:val="18"/>
                <w:szCs w:val="18"/>
              </w:rPr>
              <w:t>。业绩报酬计提基准不是预期收益率</w:t>
            </w:r>
            <w:r>
              <w:rPr>
                <w:rFonts w:hint="eastAsia" w:ascii="宋体" w:hAnsi="宋体"/>
                <w:b/>
                <w:sz w:val="18"/>
              </w:rPr>
              <w:t>，不代表产品</w:t>
            </w:r>
            <w:r>
              <w:rPr>
                <w:rFonts w:hint="eastAsia" w:ascii="宋体" w:hAnsi="宋体"/>
                <w:b/>
                <w:bCs/>
                <w:sz w:val="18"/>
                <w:szCs w:val="18"/>
              </w:rPr>
              <w:t>的</w:t>
            </w:r>
            <w:r>
              <w:rPr>
                <w:rFonts w:hint="eastAsia" w:ascii="宋体" w:hAnsi="宋体"/>
                <w:b/>
                <w:sz w:val="18"/>
              </w:rPr>
              <w:t>未来表现</w:t>
            </w:r>
            <w:r>
              <w:rPr>
                <w:rFonts w:hint="eastAsia" w:ascii="宋体" w:hAnsi="宋体"/>
                <w:b/>
                <w:bCs/>
                <w:sz w:val="18"/>
                <w:szCs w:val="18"/>
              </w:rPr>
              <w:t>和</w:t>
            </w:r>
            <w:r>
              <w:rPr>
                <w:rFonts w:hint="eastAsia" w:ascii="宋体" w:hAnsi="宋体"/>
                <w:b/>
                <w:sz w:val="18"/>
              </w:rPr>
              <w:t>实际收益，不</w:t>
            </w:r>
            <w:r>
              <w:rPr>
                <w:rFonts w:hint="eastAsia" w:ascii="宋体" w:hAnsi="宋体"/>
                <w:b/>
                <w:bCs/>
                <w:sz w:val="18"/>
                <w:szCs w:val="18"/>
              </w:rPr>
              <w:t>构成对</w:t>
            </w:r>
            <w:r>
              <w:rPr>
                <w:rFonts w:hint="eastAsia" w:ascii="宋体" w:hAnsi="宋体"/>
                <w:b/>
                <w:sz w:val="18"/>
              </w:rPr>
              <w:t>产品收益的</w:t>
            </w:r>
            <w:r>
              <w:rPr>
                <w:rFonts w:hint="eastAsia" w:ascii="宋体" w:hAnsi="宋体"/>
                <w:b/>
                <w:bCs/>
                <w:sz w:val="18"/>
                <w:szCs w:val="18"/>
              </w:rPr>
              <w:t>承诺</w:t>
            </w:r>
            <w:r>
              <w:rPr>
                <w:rFonts w:hint="eastAsia" w:ascii="宋体" w:hAnsi="宋体"/>
                <w:b/>
                <w:sz w:val="18"/>
              </w:rPr>
              <w:t>，投资须谨慎。</w:t>
            </w:r>
          </w:p>
          <w:p>
            <w:pPr>
              <w:spacing w:line="360" w:lineRule="auto"/>
              <w:jc w:val="left"/>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如果今后法律法规发生变化，或者有其他代表性更强、更科学客观的业绩报酬计提基准适用于本产品时，经产品管理人和产品托管人协商一致后，本产品可以变更业绩报酬计提基准并及时公告。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674" w:type="dxa"/>
            <w:shd w:val="solid" w:color="FFFFFF" w:fill="FFFFFF"/>
            <w:vAlign w:val="center"/>
          </w:tcPr>
          <w:p>
            <w:pPr>
              <w:spacing w:line="360" w:lineRule="auto"/>
              <w:jc w:val="left"/>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理财产品存续期间，产品管理人有权视理财产品收益情况进行主动分配，相应分配基准日、分配方案由管理人及时披露。</w:t>
            </w:r>
          </w:p>
          <w:p>
            <w:pPr>
              <w:spacing w:line="360" w:lineRule="auto"/>
              <w:jc w:val="left"/>
              <w:rPr>
                <w:rFonts w:hAnsi="宋体"/>
                <w:bCs/>
                <w:sz w:val="18"/>
                <w:szCs w:val="18"/>
              </w:rPr>
            </w:pPr>
            <w:r>
              <w:rPr>
                <w:rFonts w:hint="eastAsia" w:hAnsi="宋体"/>
                <w:bCs/>
                <w:sz w:val="18"/>
                <w:szCs w:val="18"/>
              </w:rPr>
              <w:t>2</w:t>
            </w:r>
            <w:r>
              <w:rPr>
                <w:rFonts w:hAnsi="宋体"/>
                <w:bCs/>
                <w:sz w:val="18"/>
                <w:szCs w:val="18"/>
              </w:rPr>
              <w:t>.具体理财产品利益分配</w:t>
            </w:r>
            <w:r>
              <w:rPr>
                <w:rFonts w:hint="eastAsia" w:hAnsi="宋体"/>
                <w:bCs/>
                <w:sz w:val="18"/>
                <w:szCs w:val="18"/>
              </w:rPr>
              <w:t>详见《产品说明书》“第八条 理财产品的利益分配”。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674" w:type="dxa"/>
            <w:shd w:val="solid" w:color="FFFFFF" w:fill="FFFFFF"/>
            <w:vAlign w:val="center"/>
          </w:tcPr>
          <w:p>
            <w:pPr>
              <w:spacing w:line="360" w:lineRule="auto"/>
              <w:rPr>
                <w:rFonts w:ascii="宋体" w:hAnsi="宋体"/>
                <w:b/>
                <w:bCs/>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1.理财产品的费率标准</w:t>
            </w:r>
          </w:p>
          <w:p>
            <w:pPr>
              <w:spacing w:line="360" w:lineRule="auto"/>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（1）认购费：</w:t>
            </w:r>
            <w:r>
              <w:rPr>
                <w:rFonts w:hint="eastAsia" w:ascii="宋体" w:hAnsi="宋体"/>
                <w:bCs/>
                <w:color w:val="000000" w:themeColor="text1"/>
                <w:sz w:val="18"/>
                <w:szCs w:val="18"/>
                <w14:textFill>
                  <w14:solidFill>
                    <w14:schemeClr w14:val="tx1"/>
                  </w14:solidFill>
                </w14:textFill>
              </w:rPr>
              <w:t>【/】。</w:t>
            </w:r>
          </w:p>
          <w:p>
            <w:pPr>
              <w:spacing w:line="360" w:lineRule="auto"/>
              <w:rPr>
                <w:rFonts w:ascii="宋体" w:hAnsi="宋体"/>
                <w:b/>
                <w:bCs/>
                <w:color w:val="000000" w:themeColor="text1"/>
                <w:sz w:val="18"/>
                <w:szCs w:val="18"/>
                <w14:textFill>
                  <w14:solidFill>
                    <w14:schemeClr w14:val="tx1"/>
                  </w14:solidFill>
                </w14:textFill>
              </w:rPr>
            </w:pPr>
            <w:r>
              <w:rPr>
                <w:rFonts w:hint="eastAsia" w:asciiTheme="majorEastAsia" w:hAnsiTheme="majorEastAsia" w:eastAsiaTheme="majorEastAsia"/>
                <w:b/>
                <w:bCs/>
                <w:color w:val="000000" w:themeColor="text1"/>
                <w:sz w:val="18"/>
                <w:szCs w:val="18"/>
                <w14:textFill>
                  <w14:solidFill>
                    <w14:schemeClr w14:val="tx1"/>
                  </w14:solidFill>
                </w14:textFill>
              </w:rPr>
              <w:t>（2）</w:t>
            </w:r>
            <w:r>
              <w:rPr>
                <w:rFonts w:asciiTheme="majorEastAsia" w:hAnsiTheme="majorEastAsia" w:eastAsiaTheme="majorEastAsia"/>
                <w:b/>
                <w:bCs/>
                <w:color w:val="000000" w:themeColor="text1"/>
                <w:sz w:val="18"/>
                <w:szCs w:val="18"/>
                <w14:textFill>
                  <w14:solidFill>
                    <w14:schemeClr w14:val="tx1"/>
                  </w14:solidFill>
                </w14:textFill>
              </w:rPr>
              <w:t>销售服</w:t>
            </w:r>
            <w:r>
              <w:rPr>
                <w:rFonts w:hint="eastAsia" w:ascii="宋体" w:hAnsi="宋体"/>
                <w:b/>
                <w:bCs/>
                <w:color w:val="000000" w:themeColor="text1"/>
                <w:sz w:val="18"/>
                <w:szCs w:val="18"/>
                <w14:textFill>
                  <w14:solidFill>
                    <w14:schemeClr w14:val="tx1"/>
                  </w14:solidFill>
                </w14:textFill>
              </w:rPr>
              <w:t>务费：</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A类份额：年化费率【0.01%】；</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B类份额：年化费率【0.05%】；</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C类份额：年化费率【0.1</w:t>
            </w:r>
            <w:r>
              <w:rPr>
                <w:rFonts w:hint="eastAsia" w:asciiTheme="majorEastAsia" w:hAnsiTheme="majorEastAsia" w:eastAsiaTheme="majorEastAsia"/>
                <w:bCs/>
                <w:sz w:val="18"/>
                <w:szCs w:val="18"/>
                <w:lang w:val="en-US" w:eastAsia="zh-CN"/>
              </w:rPr>
              <w:t>0</w:t>
            </w:r>
            <w:r>
              <w:rPr>
                <w:rFonts w:hint="eastAsia" w:asciiTheme="majorEastAsia" w:hAnsiTheme="majorEastAsia" w:eastAsiaTheme="majorEastAsia"/>
                <w:bCs/>
                <w:sz w:val="18"/>
                <w:szCs w:val="18"/>
              </w:rPr>
              <w:t>%】；</w:t>
            </w:r>
          </w:p>
          <w:p>
            <w:pPr>
              <w:spacing w:line="360" w:lineRule="auto"/>
              <w:rPr>
                <w:rFonts w:hint="eastAsia" w:asciiTheme="majorEastAsia" w:hAnsiTheme="majorEastAsia" w:eastAsiaTheme="majorEastAsia"/>
                <w:bCs/>
                <w:sz w:val="18"/>
                <w:szCs w:val="18"/>
                <w:lang w:val="en-US" w:eastAsia="zh-CN"/>
              </w:rPr>
            </w:pPr>
            <w:r>
              <w:rPr>
                <w:rFonts w:hint="eastAsia" w:asciiTheme="majorEastAsia" w:hAnsiTheme="majorEastAsia" w:eastAsiaTheme="majorEastAsia"/>
                <w:bCs/>
                <w:sz w:val="18"/>
                <w:szCs w:val="18"/>
              </w:rPr>
              <w:t>D类份额：年化费率【0.</w:t>
            </w:r>
            <w:r>
              <w:rPr>
                <w:rFonts w:hint="eastAsia" w:asciiTheme="majorEastAsia" w:hAnsiTheme="majorEastAsia" w:eastAsiaTheme="majorEastAsia"/>
                <w:bCs/>
                <w:sz w:val="18"/>
                <w:szCs w:val="18"/>
                <w:lang w:val="en-US" w:eastAsia="zh-CN"/>
              </w:rPr>
              <w:t>15</w:t>
            </w:r>
            <w:r>
              <w:rPr>
                <w:rFonts w:hint="eastAsia" w:asciiTheme="majorEastAsia" w:hAnsiTheme="majorEastAsia" w:eastAsiaTheme="majorEastAsia"/>
                <w:bCs/>
                <w:sz w:val="18"/>
                <w:szCs w:val="18"/>
              </w:rPr>
              <w:t>%】；</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lang w:val="en-US" w:eastAsia="zh-CN"/>
              </w:rPr>
              <w:t>E</w:t>
            </w:r>
            <w:r>
              <w:rPr>
                <w:rFonts w:hint="eastAsia" w:asciiTheme="majorEastAsia" w:hAnsiTheme="majorEastAsia" w:eastAsiaTheme="majorEastAsia"/>
                <w:bCs/>
                <w:sz w:val="18"/>
                <w:szCs w:val="18"/>
              </w:rPr>
              <w:t>类份额：年化费率【0.30%】。</w:t>
            </w:r>
          </w:p>
          <w:p>
            <w:pPr>
              <w:spacing w:line="360" w:lineRule="auto"/>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（3）投资管理费：</w:t>
            </w:r>
            <w:r>
              <w:rPr>
                <w:rFonts w:hint="eastAsia" w:asciiTheme="majorEastAsia" w:hAnsiTheme="majorEastAsia" w:eastAsiaTheme="majorEastAsia"/>
                <w:bCs/>
                <w:sz w:val="18"/>
                <w:szCs w:val="18"/>
              </w:rPr>
              <w:t>年化</w:t>
            </w:r>
            <w:r>
              <w:rPr>
                <w:rFonts w:asciiTheme="majorEastAsia" w:hAnsiTheme="majorEastAsia" w:eastAsiaTheme="majorEastAsia"/>
                <w:bCs/>
                <w:sz w:val="18"/>
                <w:szCs w:val="18"/>
              </w:rPr>
              <w:t>费率</w:t>
            </w:r>
            <w:r>
              <w:rPr>
                <w:rFonts w:hint="eastAsia" w:asciiTheme="majorEastAsia" w:hAnsiTheme="majorEastAsia" w:eastAsiaTheme="majorEastAsia"/>
                <w:sz w:val="18"/>
                <w:szCs w:val="18"/>
              </w:rPr>
              <w:t>【0.04%</w:t>
            </w:r>
            <w:r>
              <w:rPr>
                <w:rFonts w:asciiTheme="majorEastAsia" w:hAnsiTheme="majorEastAsia" w:eastAsiaTheme="majorEastAsia"/>
                <w:sz w:val="18"/>
                <w:szCs w:val="18"/>
              </w:rPr>
              <w:t>】</w:t>
            </w:r>
            <w:r>
              <w:rPr>
                <w:rFonts w:hint="eastAsia" w:ascii="宋体" w:hAnsi="宋体"/>
                <w:bCs/>
                <w:color w:val="000000" w:themeColor="text1"/>
                <w:sz w:val="18"/>
                <w:szCs w:val="18"/>
                <w14:textFill>
                  <w14:solidFill>
                    <w14:schemeClr w14:val="tx1"/>
                  </w14:solidFill>
                </w14:textFill>
              </w:rPr>
              <w:t>。</w:t>
            </w:r>
          </w:p>
          <w:p>
            <w:pPr>
              <w:spacing w:line="360" w:lineRule="auto"/>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（4）产品托管费：</w:t>
            </w:r>
            <w:r>
              <w:rPr>
                <w:rFonts w:hint="eastAsia" w:asciiTheme="majorEastAsia" w:hAnsiTheme="majorEastAsia" w:eastAsiaTheme="majorEastAsia"/>
                <w:bCs/>
                <w:sz w:val="18"/>
                <w:szCs w:val="18"/>
              </w:rPr>
              <w:t>年化</w:t>
            </w:r>
            <w:r>
              <w:rPr>
                <w:rFonts w:asciiTheme="majorEastAsia" w:hAnsiTheme="majorEastAsia" w:eastAsiaTheme="majorEastAsia"/>
                <w:bCs/>
                <w:sz w:val="18"/>
                <w:szCs w:val="18"/>
              </w:rPr>
              <w:t>费率</w:t>
            </w:r>
            <w:r>
              <w:rPr>
                <w:rFonts w:hint="eastAsia" w:asciiTheme="majorEastAsia" w:hAnsiTheme="majorEastAsia" w:eastAsiaTheme="majorEastAsia"/>
                <w:sz w:val="18"/>
                <w:szCs w:val="18"/>
              </w:rPr>
              <w:t>【0.0</w:t>
            </w:r>
            <w:r>
              <w:rPr>
                <w:rFonts w:asciiTheme="majorEastAsia" w:hAnsiTheme="majorEastAsia" w:eastAsiaTheme="majorEastAsia"/>
                <w:sz w:val="18"/>
                <w:szCs w:val="18"/>
              </w:rPr>
              <w:t>1</w:t>
            </w:r>
            <w:r>
              <w:rPr>
                <w:rFonts w:hint="eastAsia" w:asciiTheme="majorEastAsia" w:hAnsiTheme="majorEastAsia" w:eastAsiaTheme="majorEastAsia"/>
                <w:sz w:val="18"/>
                <w:szCs w:val="18"/>
              </w:rPr>
              <w:t>%</w:t>
            </w:r>
            <w:r>
              <w:rPr>
                <w:rFonts w:asciiTheme="majorEastAsia" w:hAnsiTheme="majorEastAsia" w:eastAsiaTheme="majorEastAsia"/>
                <w:sz w:val="18"/>
                <w:szCs w:val="18"/>
              </w:rPr>
              <w:t>】</w:t>
            </w:r>
            <w:r>
              <w:rPr>
                <w:rFonts w:hint="eastAsia" w:ascii="宋体" w:hAnsi="宋体"/>
                <w:bCs/>
                <w:color w:val="000000" w:themeColor="text1"/>
                <w:sz w:val="18"/>
                <w:szCs w:val="18"/>
                <w14:textFill>
                  <w14:solidFill>
                    <w14:schemeClr w14:val="tx1"/>
                  </w14:solidFill>
                </w14:textFill>
              </w:rPr>
              <w:t>。</w:t>
            </w:r>
          </w:p>
          <w:p>
            <w:pPr>
              <w:widowControl/>
              <w:spacing w:line="360" w:lineRule="auto"/>
              <w:jc w:val="left"/>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（5）超额业绩报酬：</w:t>
            </w:r>
          </w:p>
          <w:p>
            <w:pPr>
              <w:widowControl/>
              <w:spacing w:line="360" w:lineRule="auto"/>
              <w:jc w:val="left"/>
              <w:rPr>
                <w:rFonts w:ascii="宋体" w:hAnsi="宋体"/>
                <w:sz w:val="18"/>
                <w:szCs w:val="18"/>
              </w:rPr>
            </w:pPr>
            <w:r>
              <w:rPr>
                <w:rFonts w:hint="eastAsia" w:ascii="宋体" w:hAnsi="宋体"/>
                <w:sz w:val="18"/>
                <w:szCs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5</w:t>
            </w:r>
            <w:r>
              <w:rPr>
                <w:rFonts w:ascii="宋体" w:hAnsi="宋体"/>
                <w:sz w:val="18"/>
                <w:szCs w:val="18"/>
              </w:rPr>
              <w:t>0</w:t>
            </w:r>
            <w:r>
              <w:rPr>
                <w:rFonts w:hint="eastAsia" w:ascii="宋体" w:hAnsi="宋体"/>
                <w:sz w:val="18"/>
                <w:szCs w:val="18"/>
              </w:rPr>
              <w:t>%】作为超额业绩报酬。</w:t>
            </w:r>
          </w:p>
          <w:p>
            <w:pPr>
              <w:spacing w:line="360" w:lineRule="auto"/>
              <w:rPr>
                <w:rFonts w:ascii="黑体" w:hAnsi="黑体" w:eastAsia="黑体"/>
                <w:bCs/>
                <w:sz w:val="18"/>
                <w:szCs w:val="18"/>
              </w:rPr>
            </w:pPr>
            <w:r>
              <w:rPr>
                <w:rFonts w:ascii="宋体" w:hAnsi="宋体"/>
                <w:bCs/>
                <w:sz w:val="18"/>
                <w:szCs w:val="18"/>
              </w:rPr>
              <w:t>2</w:t>
            </w:r>
            <w:r>
              <w:rPr>
                <w:rFonts w:hint="eastAsia" w:asciiTheme="majorEastAsia" w:hAnsiTheme="majorEastAsia" w:eastAsiaTheme="majorEastAsia"/>
                <w:bCs/>
                <w:sz w:val="18"/>
                <w:szCs w:val="18"/>
              </w:rPr>
              <w:t>.</w:t>
            </w:r>
            <w:r>
              <w:rPr>
                <w:rFonts w:hint="eastAsia" w:ascii="黑体" w:hAnsi="黑体" w:eastAsia="黑体"/>
                <w:bCs/>
                <w:sz w:val="18"/>
                <w:szCs w:val="18"/>
              </w:rPr>
              <w:t>产品管理人</w:t>
            </w:r>
            <w:r>
              <w:rPr>
                <w:rFonts w:ascii="黑体" w:hAnsi="黑体" w:eastAsia="黑体"/>
                <w:bCs/>
                <w:sz w:val="18"/>
                <w:szCs w:val="18"/>
              </w:rPr>
              <w:t>保留变更</w:t>
            </w:r>
            <w:r>
              <w:rPr>
                <w:rFonts w:hint="eastAsia" w:ascii="黑体" w:hAnsi="黑体" w:eastAsia="黑体"/>
                <w:bCs/>
                <w:sz w:val="18"/>
                <w:szCs w:val="18"/>
              </w:rPr>
              <w:t>上述</w:t>
            </w:r>
            <w:r>
              <w:rPr>
                <w:rFonts w:ascii="黑体" w:hAnsi="黑体" w:eastAsia="黑体"/>
                <w:bCs/>
                <w:sz w:val="18"/>
                <w:szCs w:val="18"/>
              </w:rPr>
              <w:t>理财产品</w:t>
            </w:r>
            <w:r>
              <w:rPr>
                <w:rFonts w:hint="eastAsia" w:ascii="黑体" w:hAnsi="黑体" w:eastAsia="黑体"/>
                <w:bCs/>
                <w:sz w:val="18"/>
                <w:szCs w:val="18"/>
              </w:rPr>
              <w:t>收取</w:t>
            </w:r>
            <w:r>
              <w:rPr>
                <w:rFonts w:ascii="黑体" w:hAnsi="黑体" w:eastAsia="黑体"/>
                <w:bCs/>
                <w:sz w:val="18"/>
                <w:szCs w:val="18"/>
              </w:rPr>
              <w:t>费率</w:t>
            </w:r>
            <w:r>
              <w:rPr>
                <w:rFonts w:hint="eastAsia" w:ascii="黑体" w:hAnsi="黑体" w:eastAsia="黑体"/>
                <w:bCs/>
                <w:sz w:val="18"/>
                <w:szCs w:val="18"/>
              </w:rPr>
              <w:t>标准</w:t>
            </w:r>
            <w:r>
              <w:rPr>
                <w:rFonts w:ascii="黑体" w:hAnsi="黑体" w:eastAsia="黑体"/>
                <w:bCs/>
                <w:sz w:val="18"/>
                <w:szCs w:val="18"/>
              </w:rPr>
              <w:t>的权利</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宋体" w:hAnsi="宋体"/>
                <w:b/>
                <w:bCs/>
                <w:kern w:val="0"/>
                <w:sz w:val="18"/>
                <w:szCs w:val="18"/>
              </w:rPr>
              <w:t>税收</w:t>
            </w:r>
          </w:p>
        </w:tc>
        <w:tc>
          <w:tcPr>
            <w:tcW w:w="7674" w:type="dxa"/>
            <w:shd w:val="solid" w:color="FFFFFF" w:fill="FFFFFF"/>
            <w:vAlign w:val="center"/>
          </w:tcPr>
          <w:p>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理财产品份额的转让将依照理财产品销售文件及销售机构的业务政策执行。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理财产品份额的质押将依照理财产品销售文件及销售机构的业务政策执行。</w:t>
            </w:r>
          </w:p>
        </w:tc>
      </w:tr>
    </w:tbl>
    <w:p>
      <w:pPr>
        <w:pStyle w:val="14"/>
        <w:spacing w:line="360" w:lineRule="auto"/>
        <w:rPr>
          <w:rFonts w:hAnsi="宋体"/>
          <w:sz w:val="18"/>
          <w:szCs w:val="18"/>
        </w:rPr>
      </w:pPr>
    </w:p>
    <w:p>
      <w:pPr>
        <w:widowControl/>
        <w:spacing w:line="360" w:lineRule="auto"/>
        <w:jc w:val="left"/>
        <w:rPr>
          <w:rFonts w:ascii="宋体" w:hAnsi="宋体"/>
          <w:color w:val="000000"/>
          <w:kern w:val="0"/>
          <w:sz w:val="18"/>
          <w:szCs w:val="18"/>
        </w:rPr>
      </w:pPr>
      <w:r>
        <w:rPr>
          <w:rFonts w:hAnsi="宋体"/>
          <w:sz w:val="18"/>
          <w:szCs w:val="18"/>
        </w:rPr>
        <w:br w:type="page"/>
      </w:r>
    </w:p>
    <w:p>
      <w:pPr>
        <w:pStyle w:val="2"/>
        <w:spacing w:before="0" w:after="0" w:line="360" w:lineRule="auto"/>
        <w:jc w:val="center"/>
        <w:rPr>
          <w:rFonts w:ascii="Times New Roman"/>
          <w:sz w:val="30"/>
        </w:rPr>
      </w:pPr>
      <w:bookmarkStart w:id="65" w:name="_Toc79154666"/>
      <w:bookmarkStart w:id="66" w:name="_Toc116649651"/>
      <w:r>
        <w:rPr>
          <w:rFonts w:ascii="Times New Roman"/>
          <w:sz w:val="30"/>
        </w:rPr>
        <w:t>第</w:t>
      </w:r>
      <w:r>
        <w:rPr>
          <w:rFonts w:hint="eastAsia" w:ascii="Times New Roman"/>
          <w:sz w:val="30"/>
        </w:rPr>
        <w:t>三条</w:t>
      </w:r>
      <w:r>
        <w:rPr>
          <w:rFonts w:ascii="Times New Roman"/>
          <w:sz w:val="30"/>
        </w:rPr>
        <w:t xml:space="preserve">  </w:t>
      </w:r>
      <w:bookmarkStart w:id="67" w:name="_Toc79392573"/>
      <w:r>
        <w:rPr>
          <w:rFonts w:hint="eastAsia" w:ascii="Times New Roman"/>
          <w:sz w:val="30"/>
        </w:rPr>
        <w:t>理财产品的认购</w:t>
      </w:r>
      <w:bookmarkEnd w:id="65"/>
      <w:bookmarkEnd w:id="66"/>
    </w:p>
    <w:p>
      <w:pPr>
        <w:spacing w:line="360" w:lineRule="auto"/>
        <w:ind w:firstLine="361" w:firstLineChars="200"/>
        <w:rPr>
          <w:rFonts w:asciiTheme="minorEastAsia" w:hAnsiTheme="minorEastAsia"/>
          <w:b/>
          <w:bCs/>
          <w:sz w:val="18"/>
          <w:szCs w:val="18"/>
        </w:rPr>
      </w:pPr>
      <w:bookmarkStart w:id="68" w:name="_Hlt88031774"/>
      <w:bookmarkEnd w:id="68"/>
      <w:bookmarkStart w:id="69" w:name="_Hlt88031741"/>
      <w:r>
        <w:rPr>
          <w:rFonts w:hint="eastAsia" w:asciiTheme="minorEastAsia" w:hAnsiTheme="minorEastAsia"/>
          <w:b/>
          <w:bCs/>
          <w:sz w:val="18"/>
          <w:szCs w:val="18"/>
        </w:rPr>
        <w:t>（一）理财产品的认购</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pPr>
        <w:pStyle w:val="1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pPr>
        <w:pStyle w:val="1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pPr>
        <w:pStyle w:val="1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pPr>
        <w:pStyle w:val="14"/>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pPr>
        <w:pStyle w:val="1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8"/>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产品管理人在产品成立日对投资者的认购申请的有效性进行确认，并登记理财份额。</w:t>
            </w:r>
          </w:p>
        </w:tc>
        <w:tc>
          <w:tcPr>
            <w:tcW w:w="1610"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pPr>
        <w:pStyle w:val="1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认购期/募集期内投资者可提交认购申请。</w:t>
      </w:r>
      <w:r>
        <w:rPr>
          <w:rFonts w:hint="eastAsia" w:asciiTheme="majorEastAsia" w:hAnsiTheme="majorEastAsia" w:eastAsiaTheme="majorEastAsia"/>
          <w:sz w:val="18"/>
          <w:szCs w:val="18"/>
        </w:rPr>
        <w:t>提交</w:t>
      </w:r>
      <w:r>
        <w:rPr>
          <w:rFonts w:asciiTheme="majorEastAsia" w:hAnsiTheme="majorEastAsia" w:eastAsiaTheme="majorEastAsia"/>
          <w:sz w:val="18"/>
          <w:szCs w:val="18"/>
        </w:rPr>
        <w:t>认购</w:t>
      </w:r>
      <w:r>
        <w:rPr>
          <w:rFonts w:hint="eastAsia" w:asciiTheme="majorEastAsia" w:hAnsiTheme="majorEastAsia" w:eastAsiaTheme="majorEastAsia"/>
          <w:sz w:val="18"/>
          <w:szCs w:val="18"/>
        </w:rPr>
        <w:t>申请并不代表认购成功，产品管理人将在认购确认日确认投资者是否认购成功。</w:t>
      </w:r>
      <w:r>
        <w:rPr>
          <w:rFonts w:hint="eastAsia" w:asciiTheme="minorEastAsia" w:hAnsiTheme="minorEastAsia" w:eastAsiaTheme="minorEastAsia"/>
          <w:sz w:val="18"/>
          <w:szCs w:val="18"/>
        </w:rPr>
        <w:t>认购</w:t>
      </w:r>
      <w:r>
        <w:rPr>
          <w:rFonts w:hint="eastAsia" w:asciiTheme="majorEastAsia" w:hAnsiTheme="majorEastAsia" w:eastAsiaTheme="majorEastAsia"/>
          <w:sz w:val="18"/>
          <w:szCs w:val="18"/>
        </w:rPr>
        <w:t>是否成功以管理人的确认结果为准</w:t>
      </w:r>
      <w:r>
        <w:rPr>
          <w:rFonts w:hint="eastAsia" w:asciiTheme="minorEastAsia" w:hAnsiTheme="minorEastAsia" w:eastAsiaTheme="minorEastAsia"/>
          <w:sz w:val="18"/>
          <w:szCs w:val="18"/>
        </w:rPr>
        <w:t>。</w:t>
      </w:r>
      <w:r>
        <w:rPr>
          <w:rFonts w:hint="eastAsia" w:asciiTheme="minorEastAsia" w:hAnsiTheme="minorEastAsia" w:eastAsiaTheme="minorEastAsia"/>
          <w:bCs/>
          <w:sz w:val="18"/>
          <w:szCs w:val="18"/>
        </w:rPr>
        <w:t>投资者可以在认购确认日系统完成处理后，查询产品份额。</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pPr>
        <w:pStyle w:val="14"/>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pStyle w:val="1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r>
        <w:rPr>
          <w:rFonts w:hint="eastAsia" w:asciiTheme="minorEastAsia" w:hAnsiTheme="minorEastAsia"/>
          <w:b/>
          <w:bCs/>
          <w:sz w:val="18"/>
          <w:szCs w:val="18"/>
        </w:rPr>
        <w:t xml:space="preserve"> </w:t>
      </w:r>
    </w:p>
    <w:p>
      <w:pPr>
        <w:pStyle w:val="1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pPr>
        <w:pStyle w:val="1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pPr>
        <w:pStyle w:val="1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pPr>
        <w:pStyle w:val="1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=净认购金额/产品份额面值</w:t>
      </w:r>
    </w:p>
    <w:p>
      <w:pPr>
        <w:pStyle w:val="1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pPr>
        <w:pStyle w:val="1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pPr>
        <w:pStyle w:val="1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1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pPr>
        <w:pStyle w:val="1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pPr>
        <w:pStyle w:val="1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投资者认购资金在产品认购期内产生的利息不作为理财资金进入运作，不计算理财利益。</w:t>
      </w:r>
    </w:p>
    <w:p>
      <w:pPr>
        <w:pStyle w:val="1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pPr>
        <w:pStyle w:val="1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pPr>
        <w:pStyle w:val="1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pPr>
        <w:pStyle w:val="1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pPr>
        <w:pStyle w:val="1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1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1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pPr>
        <w:pStyle w:val="1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pPr>
        <w:pStyle w:val="1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pPr>
        <w:pStyle w:val="1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pPr>
        <w:pStyle w:val="1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pPr>
        <w:pStyle w:val="1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bookmarkEnd w:id="67"/>
    <w:bookmarkEnd w:id="69"/>
    <w:p>
      <w:pPr>
        <w:pStyle w:val="2"/>
        <w:spacing w:before="0" w:after="0" w:line="360" w:lineRule="auto"/>
        <w:jc w:val="center"/>
        <w:rPr>
          <w:rFonts w:ascii="Times New Roman"/>
          <w:sz w:val="30"/>
        </w:rPr>
      </w:pPr>
      <w:bookmarkStart w:id="70" w:name="_Toc4771"/>
      <w:bookmarkStart w:id="71" w:name="_Toc116649652"/>
      <w:bookmarkStart w:id="72" w:name="_Toc79154668"/>
      <w:bookmarkStart w:id="73" w:name="_Toc90742390"/>
      <w:bookmarkStart w:id="74" w:name="_Toc29948"/>
      <w:bookmarkStart w:id="75" w:name="_Toc16265"/>
      <w:bookmarkStart w:id="76" w:name="_Toc3266"/>
      <w:bookmarkStart w:id="77" w:name="_Toc22074"/>
      <w:bookmarkStart w:id="78" w:name="_Toc90742688"/>
      <w:bookmarkStart w:id="79" w:name="_Toc6714"/>
      <w:bookmarkStart w:id="80" w:name="_Toc15203"/>
      <w:bookmarkStart w:id="81" w:name="_Toc27226"/>
      <w:bookmarkStart w:id="82" w:name="_Toc90742321"/>
      <w:bookmarkStart w:id="83" w:name="_Toc7151"/>
      <w:bookmarkStart w:id="84" w:name="_Toc29784"/>
      <w:bookmarkStart w:id="85" w:name="_Toc74065741"/>
      <w:bookmarkStart w:id="86" w:name="_Toc27189"/>
      <w:r>
        <w:rPr>
          <w:rFonts w:ascii="Times New Roman"/>
          <w:sz w:val="30"/>
        </w:rPr>
        <w:t>第</w:t>
      </w:r>
      <w:r>
        <w:rPr>
          <w:rFonts w:hint="eastAsia" w:ascii="Times New Roman"/>
          <w:sz w:val="30"/>
        </w:rPr>
        <w:t>四条</w:t>
      </w:r>
      <w:r>
        <w:rPr>
          <w:rFonts w:ascii="Times New Roman"/>
          <w:sz w:val="30"/>
        </w:rPr>
        <w:t xml:space="preserve">  </w:t>
      </w:r>
      <w:r>
        <w:rPr>
          <w:rFonts w:hint="eastAsia" w:ascii="Times New Roman"/>
          <w:sz w:val="30"/>
        </w:rPr>
        <w:t>理财产品的申购与赎回</w:t>
      </w:r>
      <w:bookmarkEnd w:id="70"/>
      <w:bookmarkEnd w:id="71"/>
    </w:p>
    <w:p>
      <w:pPr>
        <w:pStyle w:val="1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本产品为封闭式产品，不设置申购与赎回。</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87" w:name="_Toc116649653"/>
      <w:r>
        <w:rPr>
          <w:rFonts w:ascii="Times New Roman"/>
          <w:sz w:val="30"/>
        </w:rPr>
        <w:t>第五</w:t>
      </w:r>
      <w:r>
        <w:rPr>
          <w:rFonts w:hint="eastAsia" w:ascii="Times New Roman"/>
          <w:sz w:val="30"/>
        </w:rPr>
        <w:t>条</w:t>
      </w:r>
      <w:r>
        <w:rPr>
          <w:rFonts w:ascii="Times New Roman"/>
          <w:sz w:val="30"/>
        </w:rPr>
        <w:t xml:space="preserve">  </w:t>
      </w:r>
      <w:r>
        <w:rPr>
          <w:rFonts w:hint="eastAsia" w:ascii="Times New Roman"/>
          <w:sz w:val="30"/>
        </w:rPr>
        <w:t>理财产品的投资</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Style w:val="1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pPr>
        <w:pStyle w:val="1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在严格控制组合风险的前提下，通过不断优化组合，力争实现超越业绩比较基准的收益。</w:t>
      </w:r>
    </w:p>
    <w:p>
      <w:pPr>
        <w:pStyle w:val="14"/>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本产品主要投资范围包括但不限于（实际投资范围可根据法律法规及监管规定进行调整）：</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（1）银行存款、债券逆回购、货币基金等货币市场工具及其它银行间和交易所资金融通工具；</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（2）剩余期限在397天以内（含397天）的债券、在银行间市场和证券交易所市场发行的资产支持证券；</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（3）符合监管要求的债权类资产；</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（4）国债期货、利率互换、债券借贷、信用风险缓释工具等；</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5）投资于上述资产的资产管理产品，包括资金信托，证券公司、证券公司子公司、基金管理公司、基金管理子公司、期货公司、期货公司子公司、保险资产管理机构、金融资产投资公司发行的资产管理产品等（投资于上述资产的资产管理产品的管理人可以聘请符合法律法规规定的投资顾问）；</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kern w:val="0"/>
          <w:sz w:val="18"/>
          <w:szCs w:val="18"/>
        </w:rPr>
        <w:t>（6）其他风险不高于前述资产的资产。</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2.投资组合比例</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（1）本产品投资于债权类资产的比例不低于产品总资产的80%。</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（2）以套期保值、风险对冲为目的的国债期货、利率互换、信用风险缓释工具等衍生品占产品净资产比例低于10%。</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（3）符合监管要求的非标准化债权类资产低于产品净资产的50%。</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（4）投资于同业存单及存款类资产的比例不低于产品净资产的50%。</w:t>
      </w:r>
    </w:p>
    <w:p>
      <w:pPr>
        <w:autoSpaceDE w:val="0"/>
        <w:autoSpaceDN w:val="0"/>
        <w:adjustRightInd w:val="0"/>
        <w:spacing w:line="360" w:lineRule="auto"/>
        <w:ind w:firstLine="361"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
          <w:bCs/>
          <w:kern w:val="0"/>
          <w:sz w:val="18"/>
          <w:szCs w:val="18"/>
        </w:rPr>
        <w:t>注：本产品可能投资不存在活跃交易市场，并且需要采用估值技术确定公允价值的资产，且投资上述资产的比例达到理财产品净资产50%以上。</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.如果法律法规对本</w:t>
      </w:r>
      <w:r>
        <w:rPr>
          <w:rFonts w:asciiTheme="majorEastAsia" w:hAnsiTheme="majorEastAsia" w:eastAsiaTheme="majorEastAsia"/>
          <w:bCs/>
          <w:sz w:val="18"/>
          <w:szCs w:val="18"/>
        </w:rPr>
        <w:t>销售文件</w:t>
      </w:r>
      <w:r>
        <w:rPr>
          <w:rFonts w:hint="eastAsia" w:asciiTheme="majorEastAsia" w:hAnsiTheme="majorEastAsia" w:eastAsiaTheme="majorEastAsia"/>
          <w:bCs/>
          <w:sz w:val="18"/>
          <w:szCs w:val="18"/>
        </w:rPr>
        <w:t>约定投资组合比例限制进行变更的，以变更后的规定为准。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r>
        <w:rPr>
          <w:rFonts w:ascii="黑体" w:hAnsi="黑体" w:eastAsia="黑体"/>
          <w:bCs/>
          <w:sz w:val="18"/>
          <w:szCs w:val="18"/>
        </w:rPr>
        <w:t>3】</w:t>
      </w:r>
      <w:r>
        <w:rPr>
          <w:rFonts w:hint="eastAsia" w:ascii="黑体" w:hAnsi="黑体" w:eastAsia="黑体"/>
          <w:bCs/>
          <w:sz w:val="18"/>
          <w:szCs w:val="18"/>
        </w:rPr>
        <w:t>个月内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w:t>
      </w:r>
      <w:r>
        <w:rPr>
          <w:rFonts w:asciiTheme="majorEastAsia" w:hAnsiTheme="majorEastAsia" w:eastAsiaTheme="majorEastAsia"/>
          <w:bCs/>
          <w:sz w:val="18"/>
          <w:szCs w:val="18"/>
        </w:rPr>
        <w:t>销售文件的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产品管理人应当根据市场情况调整投资范围、投资资产种类或投资比例，并进行相应公告。高风险类型的理财产品超出比例范围投资较低风险资产的，</w:t>
      </w:r>
      <w:r>
        <w:rPr>
          <w:rFonts w:ascii="黑体" w:hAnsi="黑体" w:eastAsia="黑体"/>
          <w:bCs/>
          <w:sz w:val="18"/>
          <w:szCs w:val="18"/>
        </w:rPr>
        <w:t>无需投资者</w:t>
      </w:r>
      <w:r>
        <w:rPr>
          <w:rFonts w:hint="eastAsia" w:ascii="黑体" w:hAnsi="黑体" w:eastAsia="黑体"/>
          <w:bCs/>
          <w:sz w:val="18"/>
          <w:szCs w:val="18"/>
        </w:rPr>
        <w:t>书面</w:t>
      </w:r>
      <w:r>
        <w:rPr>
          <w:rFonts w:ascii="黑体" w:hAnsi="黑体" w:eastAsia="黑体"/>
          <w:bCs/>
          <w:sz w:val="18"/>
          <w:szCs w:val="18"/>
        </w:rPr>
        <w:t>同意</w:t>
      </w:r>
      <w:r>
        <w:rPr>
          <w:rFonts w:hint="eastAsia" w:ascii="黑体" w:hAnsi="黑体" w:eastAsia="黑体"/>
          <w:bCs/>
          <w:sz w:val="18"/>
          <w:szCs w:val="18"/>
        </w:rPr>
        <w:t>。</w:t>
      </w:r>
    </w:p>
    <w:p>
      <w:pPr>
        <w:pStyle w:val="14"/>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按照本销售文件及其他相关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pPr>
        <w:pStyle w:val="14"/>
        <w:spacing w:line="360" w:lineRule="auto"/>
        <w:ind w:firstLine="271" w:firstLineChars="150"/>
      </w:pPr>
      <w:r>
        <w:rPr>
          <w:rFonts w:hint="eastAsia" w:asciiTheme="majorEastAsia" w:hAnsiTheme="majorEastAsia" w:eastAsiaTheme="majorEastAsia"/>
          <w:b/>
          <w:color w:val="auto"/>
          <w:sz w:val="18"/>
          <w:szCs w:val="18"/>
        </w:rPr>
        <w:t>（三）投资限制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（1）每只公募理财产品投资单只证券或者单只公募证券投资基金的市值不得超过该理财产品净资产的10%。</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（2）全部公募理财产品持有单只证券或单只公募证券投资基金的市值，不得超过该证券市值或该公募证券投资基金市值的30%。</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（3）全部理财产品持有单一上市公司发行的股票，不得超过该上市公司可流通股票的30%。</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（4）全部开放式公募理财产品投资单一上市公司发行的股票不得超过该上市公司可流通股票的15%。</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（5）本产品因为流动性需要可开展存单质押、债券正回购等融资业务，本产品总资产不超过净资产的200%。</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（6）本产品投资于信用债券、银行存款、非标准化债权类资产融资人的信用评级均不得低于AA+。</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其他投资限制：</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如果法律法规对本销售文件约定的投资限制进行变更的，以变更后的规定为准。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pPr>
        <w:pStyle w:val="14"/>
        <w:spacing w:line="360" w:lineRule="auto"/>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【产品采取绝对收益策略，追求资产长期稳定增值。】</w:t>
      </w:r>
    </w:p>
    <w:p>
      <w:pPr>
        <w:pStyle w:val="1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88" w:name="_Toc1823"/>
      <w:bookmarkStart w:id="89" w:name="_Toc116649654"/>
      <w:bookmarkStart w:id="90" w:name="_Toc21988"/>
      <w:bookmarkStart w:id="91" w:name="_Toc17912"/>
      <w:bookmarkStart w:id="92" w:name="_Toc7848"/>
      <w:bookmarkStart w:id="93" w:name="_Toc18329"/>
      <w:bookmarkStart w:id="94" w:name="_Toc139991735"/>
      <w:bookmarkStart w:id="95" w:name="_Toc18797"/>
      <w:bookmarkStart w:id="96" w:name="_Toc79154669"/>
      <w:bookmarkStart w:id="97" w:name="_Toc74065742"/>
      <w:bookmarkStart w:id="98" w:name="_Toc141703885"/>
      <w:bookmarkStart w:id="99" w:name="_Toc26986"/>
      <w:bookmarkStart w:id="100" w:name="_Toc4741"/>
      <w:bookmarkStart w:id="101" w:name="_Toc14893"/>
      <w:bookmarkStart w:id="102" w:name="_Toc18526"/>
      <w:r>
        <w:rPr>
          <w:rFonts w:ascii="Times New Roman"/>
          <w:sz w:val="30"/>
        </w:rPr>
        <w:t>第六</w:t>
      </w:r>
      <w:r>
        <w:rPr>
          <w:rFonts w:hint="eastAsia" w:ascii="Times New Roman"/>
          <w:sz w:val="30"/>
        </w:rPr>
        <w:t>条</w:t>
      </w:r>
      <w:r>
        <w:rPr>
          <w:rFonts w:ascii="Times New Roman"/>
          <w:sz w:val="30"/>
        </w:rPr>
        <w:t xml:space="preserve">  </w:t>
      </w:r>
      <w:r>
        <w:rPr>
          <w:rFonts w:hint="eastAsia" w:ascii="Times New Roman"/>
          <w:sz w:val="30"/>
        </w:rPr>
        <w:t>理财产品的资产</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pStyle w:val="14"/>
        <w:spacing w:line="360" w:lineRule="auto"/>
        <w:ind w:firstLine="361" w:firstLineChars="200"/>
        <w:rPr>
          <w:rFonts w:asciiTheme="majorEastAsia" w:hAnsiTheme="majorEastAsia" w:eastAsiaTheme="majorEastAsia"/>
          <w:b/>
          <w:color w:val="auto"/>
          <w:sz w:val="18"/>
          <w:szCs w:val="18"/>
        </w:rPr>
      </w:pPr>
      <w:bookmarkStart w:id="103" w:name="_Hlk490214295"/>
      <w:r>
        <w:rPr>
          <w:rFonts w:hint="eastAsia" w:asciiTheme="majorEastAsia" w:hAnsiTheme="majorEastAsia" w:eastAsiaTheme="majorEastAsia"/>
          <w:b/>
          <w:color w:val="auto"/>
          <w:sz w:val="18"/>
          <w:szCs w:val="18"/>
        </w:rPr>
        <w:t>（一）理财产品的资产的保管和处分</w:t>
      </w:r>
    </w:p>
    <w:p>
      <w:pPr>
        <w:pStyle w:val="1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pPr>
        <w:pStyle w:val="1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pPr>
        <w:pStyle w:val="1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pPr>
        <w:pStyle w:val="1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pPr>
        <w:pStyle w:val="1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pPr>
        <w:pStyle w:val="1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103"/>
    <w:p>
      <w:pPr>
        <w:pStyle w:val="2"/>
        <w:spacing w:before="0" w:after="0" w:line="360" w:lineRule="auto"/>
        <w:jc w:val="center"/>
        <w:rPr>
          <w:rFonts w:ascii="Times New Roman"/>
          <w:sz w:val="30"/>
        </w:rPr>
      </w:pPr>
      <w:bookmarkStart w:id="104" w:name="_Toc141703886"/>
      <w:bookmarkStart w:id="105" w:name="_Toc7920"/>
      <w:bookmarkStart w:id="106" w:name="_Toc98560352"/>
      <w:bookmarkStart w:id="107" w:name="_Toc1270"/>
      <w:bookmarkStart w:id="108" w:name="_Toc23261"/>
      <w:bookmarkStart w:id="109" w:name="_Toc1427"/>
      <w:bookmarkStart w:id="110" w:name="_Toc79154670"/>
      <w:bookmarkStart w:id="111" w:name="_Toc10463"/>
      <w:bookmarkStart w:id="112" w:name="_Toc123051452"/>
      <w:bookmarkStart w:id="113" w:name="_Toc79392606"/>
      <w:bookmarkStart w:id="114" w:name="_Toc20733"/>
      <w:bookmarkStart w:id="115" w:name="_Toc74065743"/>
      <w:bookmarkStart w:id="116" w:name="_Toc116649655"/>
      <w:bookmarkStart w:id="117" w:name="_Toc48649707"/>
      <w:bookmarkStart w:id="118" w:name="_Toc4003"/>
      <w:bookmarkStart w:id="119" w:name="_Toc123102453"/>
      <w:bookmarkStart w:id="120" w:name="_Toc139991736"/>
      <w:bookmarkStart w:id="121" w:name="_Toc17244"/>
      <w:bookmarkStart w:id="122" w:name="_Toc23822"/>
      <w:bookmarkStart w:id="123" w:name="_Toc123112234"/>
      <w:bookmarkStart w:id="124" w:name="_Toc610"/>
      <w:r>
        <w:rPr>
          <w:rFonts w:ascii="Times New Roman"/>
          <w:sz w:val="30"/>
        </w:rPr>
        <w:t>第七</w:t>
      </w:r>
      <w:r>
        <w:rPr>
          <w:rFonts w:hint="eastAsia" w:ascii="Times New Roman"/>
          <w:sz w:val="30"/>
        </w:rPr>
        <w:t>条</w:t>
      </w:r>
      <w:r>
        <w:rPr>
          <w:rFonts w:ascii="Times New Roman"/>
          <w:sz w:val="30"/>
        </w:rPr>
        <w:t xml:space="preserve">  </w:t>
      </w:r>
      <w:r>
        <w:rPr>
          <w:rFonts w:hint="eastAsia" w:ascii="Times New Roman"/>
          <w:sz w:val="30"/>
        </w:rPr>
        <w:t>理财产品项下资产的估值</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pStyle w:val="1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pPr>
        <w:pStyle w:val="14"/>
        <w:spacing w:line="360" w:lineRule="auto"/>
        <w:ind w:firstLine="361" w:firstLineChars="200"/>
        <w:rPr>
          <w:rFonts w:hAnsi="宋体"/>
          <w:b/>
          <w:bCs/>
          <w:sz w:val="18"/>
          <w:szCs w:val="18"/>
        </w:rPr>
      </w:pPr>
      <w:r>
        <w:rPr>
          <w:rFonts w:hint="eastAsia" w:hAnsi="宋体"/>
          <w:b/>
          <w:bCs/>
          <w:sz w:val="18"/>
          <w:szCs w:val="18"/>
        </w:rPr>
        <w:t>（一）估值目的</w:t>
      </w:r>
    </w:p>
    <w:p>
      <w:pPr>
        <w:pStyle w:val="14"/>
        <w:spacing w:line="360" w:lineRule="auto"/>
        <w:ind w:firstLine="360" w:firstLineChars="200"/>
        <w:rPr>
          <w:rFonts w:hAnsi="宋体"/>
          <w:sz w:val="18"/>
          <w:szCs w:val="18"/>
        </w:rPr>
      </w:pPr>
      <w:r>
        <w:rPr>
          <w:rFonts w:hint="eastAsia" w:hAnsi="宋体"/>
          <w:sz w:val="18"/>
          <w:szCs w:val="18"/>
        </w:rPr>
        <w:t>理财资产估值的目的是客观、准确地反映理财资产是否保值、增值。</w:t>
      </w:r>
    </w:p>
    <w:p>
      <w:pPr>
        <w:pStyle w:val="14"/>
        <w:spacing w:line="360" w:lineRule="auto"/>
        <w:ind w:firstLine="361" w:firstLineChars="200"/>
        <w:rPr>
          <w:rFonts w:hAnsi="宋体"/>
          <w:b/>
          <w:bCs/>
          <w:sz w:val="18"/>
          <w:szCs w:val="18"/>
        </w:rPr>
      </w:pPr>
      <w:r>
        <w:rPr>
          <w:rFonts w:hint="eastAsia" w:hAnsi="宋体"/>
          <w:b/>
          <w:bCs/>
          <w:sz w:val="18"/>
          <w:szCs w:val="18"/>
        </w:rPr>
        <w:t>（二）估值频率</w:t>
      </w:r>
    </w:p>
    <w:p>
      <w:pPr>
        <w:pStyle w:val="14"/>
        <w:spacing w:line="360" w:lineRule="auto"/>
        <w:ind w:firstLine="450" w:firstLineChars="250"/>
        <w:rPr>
          <w:sz w:val="18"/>
          <w:szCs w:val="18"/>
        </w:rPr>
      </w:pPr>
      <w:r>
        <w:rPr>
          <w:rFonts w:hint="eastAsia" w:hAnsi="宋体"/>
          <w:sz w:val="18"/>
          <w:szCs w:val="18"/>
        </w:rPr>
        <w:t>本产品存续期间，每【周】进行一次估值。如遇产品到期日、季度末、半年度末、年度末等时间节点管理人将增加估值日。</w:t>
      </w:r>
    </w:p>
    <w:p>
      <w:pPr>
        <w:pStyle w:val="14"/>
        <w:spacing w:line="360" w:lineRule="auto"/>
        <w:ind w:firstLine="452" w:firstLineChars="250"/>
        <w:rPr>
          <w:rFonts w:hAnsi="宋体"/>
          <w:b/>
          <w:bCs/>
          <w:sz w:val="18"/>
          <w:szCs w:val="18"/>
        </w:rPr>
      </w:pPr>
      <w:r>
        <w:rPr>
          <w:rFonts w:hint="eastAsia" w:hAnsi="宋体"/>
          <w:b/>
          <w:bCs/>
          <w:sz w:val="18"/>
          <w:szCs w:val="18"/>
        </w:rPr>
        <w:t>（三）估值对象</w:t>
      </w:r>
    </w:p>
    <w:p>
      <w:pPr>
        <w:pStyle w:val="14"/>
        <w:spacing w:line="360" w:lineRule="auto"/>
        <w:ind w:firstLine="360" w:firstLineChars="200"/>
        <w:rPr>
          <w:rFonts w:hAnsi="宋体"/>
          <w:sz w:val="18"/>
          <w:szCs w:val="18"/>
        </w:rPr>
      </w:pPr>
      <w:r>
        <w:rPr>
          <w:rFonts w:hint="eastAsia" w:hAnsi="宋体"/>
          <w:sz w:val="18"/>
          <w:szCs w:val="18"/>
        </w:rPr>
        <w:t>本产品所拥有的各类证券、资产管理产品、银行存款、应收款项、其它投资等资产及负债。</w:t>
      </w:r>
    </w:p>
    <w:p>
      <w:pPr>
        <w:pStyle w:val="14"/>
        <w:spacing w:line="360" w:lineRule="auto"/>
        <w:ind w:firstLine="452" w:firstLineChars="250"/>
        <w:rPr>
          <w:rFonts w:hAnsi="宋体"/>
          <w:b/>
          <w:bCs/>
          <w:sz w:val="18"/>
          <w:szCs w:val="18"/>
        </w:rPr>
      </w:pPr>
      <w:r>
        <w:rPr>
          <w:rFonts w:hint="eastAsia" w:hAnsi="宋体"/>
          <w:b/>
          <w:bCs/>
          <w:sz w:val="18"/>
          <w:szCs w:val="18"/>
        </w:rPr>
        <w:t>（四）估值方法</w:t>
      </w:r>
    </w:p>
    <w:p>
      <w:pPr>
        <w:pStyle w:val="14"/>
        <w:spacing w:line="360" w:lineRule="auto"/>
        <w:ind w:firstLine="361" w:firstLineChars="200"/>
        <w:rPr>
          <w:rFonts w:hAnsi="宋体"/>
          <w:b/>
          <w:bCs/>
          <w:sz w:val="18"/>
          <w:szCs w:val="18"/>
        </w:rPr>
      </w:pPr>
      <w:r>
        <w:rPr>
          <w:rFonts w:hint="eastAsia" w:hAnsi="宋体"/>
          <w:b/>
          <w:bCs/>
          <w:sz w:val="18"/>
          <w:szCs w:val="18"/>
        </w:rPr>
        <w:t>1.标准化债权类资产估值</w:t>
      </w:r>
    </w:p>
    <w:p>
      <w:pPr>
        <w:pStyle w:val="14"/>
        <w:spacing w:line="360" w:lineRule="auto"/>
        <w:ind w:firstLine="360" w:firstLineChars="200"/>
        <w:rPr>
          <w:rFonts w:hAnsi="宋体"/>
          <w:sz w:val="18"/>
          <w:szCs w:val="18"/>
        </w:rPr>
      </w:pPr>
      <w:r>
        <w:rPr>
          <w:rFonts w:hint="eastAsia" w:hAnsi="宋体"/>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pPr>
        <w:pStyle w:val="14"/>
        <w:spacing w:line="360" w:lineRule="auto"/>
        <w:ind w:firstLine="360" w:firstLineChars="200"/>
        <w:rPr>
          <w:rFonts w:hAnsi="宋体"/>
          <w:sz w:val="18"/>
          <w:szCs w:val="18"/>
        </w:rPr>
      </w:pPr>
      <w:r>
        <w:rPr>
          <w:rFonts w:hint="eastAsia" w:hAnsi="宋体"/>
          <w:sz w:val="18"/>
          <w:szCs w:val="18"/>
        </w:rPr>
        <w:t>（1）投资以收取合同现金流量为目的并持有到期的债券，可使用摊余成本计量。</w:t>
      </w:r>
    </w:p>
    <w:p>
      <w:pPr>
        <w:pStyle w:val="14"/>
        <w:spacing w:line="360" w:lineRule="auto"/>
        <w:ind w:firstLine="360" w:firstLineChars="200"/>
        <w:rPr>
          <w:rFonts w:hAnsi="宋体"/>
          <w:sz w:val="18"/>
          <w:szCs w:val="18"/>
        </w:rPr>
      </w:pPr>
      <w:r>
        <w:rPr>
          <w:rFonts w:hint="eastAsia" w:hAnsi="宋体"/>
          <w:sz w:val="18"/>
          <w:szCs w:val="18"/>
        </w:rPr>
        <w:t>（2）除（1）以外的标准化债权类资产以公允价值计量，主要依据为第三方估值机构提供的价格数据。第三方估值机构包括：中央国债登记结算公司和中证指数有限公司。</w:t>
      </w:r>
    </w:p>
    <w:p>
      <w:pPr>
        <w:pStyle w:val="14"/>
        <w:spacing w:line="360" w:lineRule="auto"/>
        <w:ind w:firstLine="360" w:firstLineChars="200"/>
        <w:rPr>
          <w:rFonts w:hAnsi="宋体"/>
          <w:sz w:val="18"/>
          <w:szCs w:val="18"/>
        </w:rPr>
      </w:pPr>
      <w:r>
        <w:rPr>
          <w:rFonts w:hint="eastAsia" w:hAnsi="宋体"/>
          <w:sz w:val="18"/>
          <w:szCs w:val="18"/>
        </w:rPr>
        <w:t>（3）在证券交易所上市的债券，如第三方估值机构提供的估值价格与市场收盘价存在差异，且管理人认为收盘价更能体现其公允价值，可与托管人协商一致后采用收盘价进行估值。</w:t>
      </w:r>
    </w:p>
    <w:p>
      <w:pPr>
        <w:pStyle w:val="14"/>
        <w:spacing w:line="360" w:lineRule="auto"/>
        <w:ind w:firstLine="360" w:firstLineChars="200"/>
        <w:rPr>
          <w:rFonts w:hAnsi="宋体"/>
          <w:sz w:val="18"/>
          <w:szCs w:val="18"/>
        </w:rPr>
      </w:pPr>
      <w:r>
        <w:rPr>
          <w:rFonts w:hint="eastAsia" w:hAnsi="宋体"/>
          <w:sz w:val="18"/>
          <w:szCs w:val="18"/>
        </w:rPr>
        <w:t>（4）对在交易所市场挂牌交易的资产支持证券和私募债券，鉴于其不存在活跃市场或未来现金流难以确定，导致第三方估值数据和市场收盘价均无法准确反映其公允价值的，可采用估值技术对其进行估值，管理人会对估值模型的有效性进行持续有效评估，并尽可能予以修正。</w:t>
      </w:r>
    </w:p>
    <w:p>
      <w:pPr>
        <w:pStyle w:val="14"/>
        <w:spacing w:line="360" w:lineRule="auto"/>
        <w:ind w:firstLine="360" w:firstLineChars="200"/>
        <w:rPr>
          <w:rFonts w:hAnsi="宋体"/>
          <w:sz w:val="18"/>
          <w:szCs w:val="18"/>
        </w:rPr>
      </w:pPr>
      <w:r>
        <w:rPr>
          <w:rFonts w:hint="eastAsia" w:hAnsi="宋体"/>
          <w:sz w:val="18"/>
          <w:szCs w:val="18"/>
        </w:rPr>
        <w:t>（5）对在银行间市场或交易所市场已发行未上市的债券，且第三方估值机构未提供估值数据，采用估值技术确定其公允价值。</w:t>
      </w:r>
    </w:p>
    <w:p>
      <w:pPr>
        <w:pStyle w:val="14"/>
        <w:spacing w:line="360" w:lineRule="auto"/>
        <w:ind w:firstLine="360" w:firstLineChars="200"/>
        <w:rPr>
          <w:rFonts w:hAnsi="宋体"/>
          <w:sz w:val="18"/>
          <w:szCs w:val="18"/>
        </w:rPr>
      </w:pPr>
      <w:r>
        <w:rPr>
          <w:rFonts w:hint="eastAsia" w:hAnsi="宋体"/>
          <w:sz w:val="18"/>
          <w:szCs w:val="18"/>
        </w:rPr>
        <w:t>（6）同一债券同时在两个或两个以上市场交易的，按债券所处的市场及相应的估值标准，分别进行估值。</w:t>
      </w:r>
    </w:p>
    <w:p>
      <w:pPr>
        <w:pStyle w:val="1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b/>
          <w:color w:val="auto"/>
          <w:sz w:val="18"/>
        </w:rPr>
        <w:t>2.</w:t>
      </w:r>
      <w:r>
        <w:rPr>
          <w:rFonts w:hint="eastAsia" w:asciiTheme="majorEastAsia" w:hAnsiTheme="majorEastAsia" w:eastAsiaTheme="majorEastAsia"/>
          <w:b/>
          <w:bCs/>
          <w:color w:val="auto"/>
          <w:sz w:val="18"/>
          <w:szCs w:val="18"/>
        </w:rPr>
        <w:t>境外债券</w:t>
      </w:r>
    </w:p>
    <w:p>
      <w:pPr>
        <w:pStyle w:val="1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对于境外发行的债券，</w:t>
      </w:r>
      <w:r>
        <w:rPr>
          <w:rFonts w:hint="eastAsia" w:hAnsi="宋体"/>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参照主要做市商或其他权威价格提供机构的报价进行估值，若估值日债券价格无法通过公开信息取得，参照最近一个交易日可取得的主要做市商或其他权威价格提供机构的报价进行估值。</w:t>
      </w:r>
    </w:p>
    <w:p>
      <w:pPr>
        <w:pStyle w:val="14"/>
        <w:spacing w:line="360" w:lineRule="auto"/>
        <w:ind w:firstLine="361" w:firstLineChars="200"/>
        <w:rPr>
          <w:rFonts w:hAnsi="宋体"/>
          <w:sz w:val="18"/>
          <w:szCs w:val="18"/>
        </w:rPr>
      </w:pPr>
      <w:r>
        <w:rPr>
          <w:rFonts w:hAnsi="宋体"/>
          <w:b/>
          <w:bCs/>
          <w:sz w:val="18"/>
          <w:szCs w:val="18"/>
        </w:rPr>
        <w:t>3</w:t>
      </w:r>
      <w:r>
        <w:rPr>
          <w:rFonts w:hint="eastAsia" w:hAnsi="宋体"/>
          <w:b/>
          <w:bCs/>
          <w:sz w:val="18"/>
          <w:szCs w:val="18"/>
        </w:rPr>
        <w:t>.非标准化债权类资产</w:t>
      </w:r>
    </w:p>
    <w:p>
      <w:pPr>
        <w:pStyle w:val="14"/>
        <w:spacing w:line="360" w:lineRule="auto"/>
        <w:ind w:firstLine="360" w:firstLineChars="200"/>
        <w:rPr>
          <w:rFonts w:hAnsi="宋体"/>
          <w:sz w:val="18"/>
          <w:szCs w:val="18"/>
        </w:rPr>
      </w:pPr>
      <w:r>
        <w:rPr>
          <w:rFonts w:hint="eastAsia" w:hAnsi="宋体"/>
          <w:sz w:val="18"/>
          <w:szCs w:val="18"/>
        </w:rPr>
        <w:t>非标准化债权类资产，是指不满足中国人民银行制定的标准化债权类资产认定标准的债权类资产。可选取第三方估值机构的价格数据或采用估值技术进行估值；若无法采用估值技术可靠计量公允价值，可按摊余成本计量。</w:t>
      </w:r>
    </w:p>
    <w:p>
      <w:pPr>
        <w:pStyle w:val="14"/>
        <w:spacing w:line="360" w:lineRule="auto"/>
        <w:ind w:firstLine="361" w:firstLineChars="200"/>
        <w:rPr>
          <w:rFonts w:hAnsi="宋体"/>
          <w:b/>
          <w:bCs/>
          <w:sz w:val="18"/>
          <w:szCs w:val="18"/>
        </w:rPr>
      </w:pPr>
      <w:r>
        <w:rPr>
          <w:rFonts w:hAnsi="宋体"/>
          <w:b/>
          <w:bCs/>
          <w:sz w:val="18"/>
          <w:szCs w:val="18"/>
        </w:rPr>
        <w:t>4</w:t>
      </w:r>
      <w:r>
        <w:rPr>
          <w:rFonts w:hint="eastAsia" w:hAnsi="宋体"/>
          <w:b/>
          <w:bCs/>
          <w:sz w:val="18"/>
          <w:szCs w:val="18"/>
        </w:rPr>
        <w:t>.上市公司股票估值</w:t>
      </w:r>
    </w:p>
    <w:p>
      <w:pPr>
        <w:pStyle w:val="14"/>
        <w:spacing w:line="360" w:lineRule="auto"/>
        <w:ind w:firstLine="360" w:firstLineChars="200"/>
        <w:rPr>
          <w:rFonts w:hAnsi="宋体"/>
          <w:sz w:val="18"/>
          <w:szCs w:val="18"/>
        </w:rPr>
      </w:pPr>
      <w:r>
        <w:rPr>
          <w:rFonts w:hint="eastAsia" w:hAnsi="宋体"/>
          <w:sz w:val="18"/>
          <w:szCs w:val="18"/>
        </w:rPr>
        <w:t>上市公司股票包括正常流通普通股、流通受限股票、长期停牌股票和新发行未上市股票。具体估值方法如下：</w:t>
      </w:r>
    </w:p>
    <w:p>
      <w:pPr>
        <w:pStyle w:val="14"/>
        <w:spacing w:line="360" w:lineRule="auto"/>
        <w:ind w:firstLine="360" w:firstLineChars="200"/>
        <w:rPr>
          <w:rFonts w:hAnsi="宋体"/>
          <w:sz w:val="18"/>
          <w:szCs w:val="18"/>
        </w:rPr>
      </w:pPr>
      <w:r>
        <w:rPr>
          <w:rFonts w:hint="eastAsia" w:hAnsi="宋体"/>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pPr>
        <w:pStyle w:val="14"/>
        <w:spacing w:line="360" w:lineRule="auto"/>
        <w:ind w:firstLine="360" w:firstLineChars="200"/>
        <w:rPr>
          <w:rFonts w:hAnsi="宋体"/>
          <w:sz w:val="18"/>
          <w:szCs w:val="18"/>
        </w:rPr>
      </w:pPr>
      <w:r>
        <w:rPr>
          <w:rFonts w:hint="eastAsia" w:hAnsi="宋体"/>
          <w:sz w:val="18"/>
          <w:szCs w:val="18"/>
        </w:rPr>
        <w:t>（2）送股、转增股、配股和公开增发新股等发行未上市的股票，按估值日在证券交易所上市的同一股票的收盘价或最近交易日的收盘价确定公允价值。</w:t>
      </w:r>
    </w:p>
    <w:p>
      <w:pPr>
        <w:pStyle w:val="14"/>
        <w:spacing w:line="360" w:lineRule="auto"/>
        <w:ind w:firstLine="360" w:firstLineChars="200"/>
        <w:rPr>
          <w:rFonts w:hAnsi="宋体"/>
          <w:sz w:val="18"/>
          <w:szCs w:val="18"/>
        </w:rPr>
      </w:pPr>
      <w:r>
        <w:rPr>
          <w:rFonts w:hint="eastAsia" w:hAnsi="宋体"/>
          <w:sz w:val="18"/>
          <w:szCs w:val="18"/>
        </w:rPr>
        <w:t>（3）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w:t>
      </w:r>
    </w:p>
    <w:p>
      <w:pPr>
        <w:pStyle w:val="14"/>
        <w:spacing w:line="360" w:lineRule="auto"/>
        <w:ind w:firstLine="360" w:firstLineChars="200"/>
        <w:rPr>
          <w:rFonts w:hAnsi="宋体"/>
          <w:sz w:val="18"/>
          <w:szCs w:val="18"/>
        </w:rPr>
      </w:pPr>
      <w:r>
        <w:rPr>
          <w:rFonts w:hint="eastAsia" w:hAnsi="宋体"/>
          <w:sz w:val="18"/>
          <w:szCs w:val="18"/>
        </w:rPr>
        <w:t>（4）长期停牌股票，根据停牌原因、停牌时间及停牌公司公告等信息，采用估值技术确定公允价值。</w:t>
      </w:r>
    </w:p>
    <w:p>
      <w:pPr>
        <w:pStyle w:val="14"/>
        <w:spacing w:line="360" w:lineRule="auto"/>
        <w:ind w:firstLine="360" w:firstLineChars="200"/>
        <w:rPr>
          <w:rFonts w:hAnsi="宋体"/>
          <w:sz w:val="18"/>
          <w:szCs w:val="18"/>
        </w:rPr>
      </w:pPr>
      <w:r>
        <w:rPr>
          <w:rFonts w:hint="eastAsia" w:hAnsi="宋体"/>
          <w:sz w:val="18"/>
          <w:szCs w:val="18"/>
        </w:rPr>
        <w:t>（5）新发行未上市股票，如果发行日后未发生影响公允价值计量的重大事件的，应采用发行价作为公允价值的最佳估计，已发生影响公允价值计量重大事件的应采用估值技术确定公允价值。</w:t>
      </w:r>
    </w:p>
    <w:p>
      <w:pPr>
        <w:pStyle w:val="14"/>
        <w:spacing w:line="360" w:lineRule="auto"/>
        <w:ind w:firstLine="361" w:firstLineChars="200"/>
        <w:rPr>
          <w:rFonts w:hAnsi="宋体"/>
          <w:b/>
          <w:bCs/>
          <w:sz w:val="18"/>
          <w:szCs w:val="18"/>
        </w:rPr>
      </w:pPr>
      <w:r>
        <w:rPr>
          <w:rFonts w:hAnsi="宋体"/>
          <w:b/>
          <w:bCs/>
          <w:sz w:val="18"/>
          <w:szCs w:val="18"/>
        </w:rPr>
        <w:t>5</w:t>
      </w:r>
      <w:r>
        <w:rPr>
          <w:rFonts w:hint="eastAsia" w:hAnsi="宋体"/>
          <w:b/>
          <w:bCs/>
          <w:sz w:val="18"/>
          <w:szCs w:val="18"/>
        </w:rPr>
        <w:t>.未上市公司股权</w:t>
      </w:r>
    </w:p>
    <w:p>
      <w:pPr>
        <w:pStyle w:val="14"/>
        <w:spacing w:line="360" w:lineRule="auto"/>
        <w:ind w:firstLine="360" w:firstLineChars="200"/>
        <w:rPr>
          <w:rFonts w:hAnsi="宋体"/>
          <w:sz w:val="18"/>
          <w:szCs w:val="18"/>
        </w:rPr>
      </w:pPr>
      <w:r>
        <w:rPr>
          <w:rFonts w:hint="eastAsia" w:hAnsi="宋体"/>
          <w:sz w:val="18"/>
          <w:szCs w:val="18"/>
        </w:rPr>
        <w:t>以公允价值计量，应综合考虑被评估企业实际情况、市场交易情况及其他可获得的信息，采用市场法、收益法、重置成本法等估值技术，结合流动性折扣等因素评估公允价值。</w:t>
      </w:r>
    </w:p>
    <w:p>
      <w:pPr>
        <w:pStyle w:val="14"/>
        <w:spacing w:line="360" w:lineRule="auto"/>
        <w:ind w:firstLine="361" w:firstLineChars="200"/>
        <w:rPr>
          <w:rFonts w:hAnsi="宋体"/>
          <w:b/>
          <w:bCs/>
          <w:sz w:val="18"/>
          <w:szCs w:val="18"/>
        </w:rPr>
      </w:pPr>
      <w:r>
        <w:rPr>
          <w:rFonts w:hAnsi="宋体"/>
          <w:b/>
          <w:bCs/>
          <w:sz w:val="18"/>
          <w:szCs w:val="18"/>
        </w:rPr>
        <w:t>6</w:t>
      </w:r>
      <w:r>
        <w:rPr>
          <w:rFonts w:hint="eastAsia" w:hAnsi="宋体"/>
          <w:b/>
          <w:bCs/>
          <w:sz w:val="18"/>
          <w:szCs w:val="18"/>
        </w:rPr>
        <w:t>.优先股</w:t>
      </w:r>
    </w:p>
    <w:p>
      <w:pPr>
        <w:pStyle w:val="14"/>
        <w:spacing w:line="360" w:lineRule="auto"/>
        <w:ind w:firstLine="360" w:firstLineChars="200"/>
        <w:rPr>
          <w:rFonts w:hAnsi="宋体"/>
          <w:sz w:val="18"/>
          <w:szCs w:val="18"/>
        </w:rPr>
      </w:pPr>
      <w:r>
        <w:rPr>
          <w:rFonts w:hint="eastAsia" w:hAnsi="宋体"/>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pPr>
        <w:pStyle w:val="14"/>
        <w:spacing w:line="360" w:lineRule="auto"/>
        <w:ind w:firstLine="361" w:firstLineChars="200"/>
        <w:rPr>
          <w:rFonts w:hAnsi="宋体"/>
          <w:b/>
          <w:bCs/>
          <w:sz w:val="18"/>
          <w:szCs w:val="18"/>
        </w:rPr>
      </w:pPr>
      <w:r>
        <w:rPr>
          <w:rFonts w:hAnsi="宋体"/>
          <w:b/>
          <w:bCs/>
          <w:sz w:val="18"/>
          <w:szCs w:val="18"/>
        </w:rPr>
        <w:t>7</w:t>
      </w:r>
      <w:r>
        <w:rPr>
          <w:rFonts w:hint="eastAsia" w:hAnsi="宋体"/>
          <w:b/>
          <w:bCs/>
          <w:sz w:val="18"/>
          <w:szCs w:val="18"/>
        </w:rPr>
        <w:t>.证券投资基金估值</w:t>
      </w:r>
    </w:p>
    <w:p>
      <w:pPr>
        <w:pStyle w:val="14"/>
        <w:spacing w:line="360" w:lineRule="auto"/>
        <w:ind w:firstLine="360" w:firstLineChars="200"/>
        <w:rPr>
          <w:rFonts w:hAnsi="宋体"/>
          <w:sz w:val="18"/>
          <w:szCs w:val="18"/>
        </w:rPr>
      </w:pPr>
      <w:r>
        <w:rPr>
          <w:rFonts w:hint="eastAsia" w:hAnsi="宋体"/>
          <w:sz w:val="18"/>
          <w:szCs w:val="18"/>
        </w:rPr>
        <w:t>（1）非上市基金估值</w:t>
      </w:r>
    </w:p>
    <w:p>
      <w:pPr>
        <w:pStyle w:val="14"/>
        <w:spacing w:line="360" w:lineRule="auto"/>
        <w:ind w:firstLine="360" w:firstLineChars="200"/>
        <w:rPr>
          <w:rFonts w:hAnsi="宋体"/>
          <w:sz w:val="18"/>
          <w:szCs w:val="18"/>
        </w:rPr>
      </w:pPr>
      <w:r>
        <w:rPr>
          <w:rFonts w:hint="eastAsia" w:hAnsi="宋体"/>
          <w:sz w:val="18"/>
          <w:szCs w:val="18"/>
        </w:rPr>
        <w:t>1)本产品投资的境内非货币市场基金，按所投资基金估值日的基金份额净值估值；估值日基金净值未公布的，以基金管理人公布的最近一个工作日基金份额净值计算。</w:t>
      </w:r>
    </w:p>
    <w:p>
      <w:pPr>
        <w:pStyle w:val="14"/>
        <w:spacing w:line="360" w:lineRule="auto"/>
        <w:ind w:firstLine="360" w:firstLineChars="200"/>
        <w:rPr>
          <w:rFonts w:hAnsi="宋体"/>
          <w:sz w:val="18"/>
          <w:szCs w:val="18"/>
        </w:rPr>
      </w:pPr>
      <w:r>
        <w:rPr>
          <w:rFonts w:hint="eastAsia" w:hAnsi="宋体"/>
          <w:sz w:val="18"/>
          <w:szCs w:val="18"/>
        </w:rPr>
        <w:t>2)本产品投资的境内货币市场基金，按所投资基金前一估值日后至估值日期间（含节假日）的万份收益计提估值日基金收益。</w:t>
      </w:r>
    </w:p>
    <w:p>
      <w:pPr>
        <w:pStyle w:val="14"/>
        <w:spacing w:line="360" w:lineRule="auto"/>
        <w:ind w:firstLine="360" w:firstLineChars="200"/>
        <w:rPr>
          <w:rFonts w:hAnsi="宋体"/>
          <w:sz w:val="18"/>
          <w:szCs w:val="18"/>
        </w:rPr>
      </w:pPr>
      <w:r>
        <w:rPr>
          <w:rFonts w:hint="eastAsia" w:hAnsi="宋体"/>
          <w:sz w:val="18"/>
          <w:szCs w:val="18"/>
        </w:rPr>
        <w:t>（2）上市基金估值</w:t>
      </w:r>
    </w:p>
    <w:p>
      <w:pPr>
        <w:pStyle w:val="14"/>
        <w:spacing w:line="360" w:lineRule="auto"/>
        <w:ind w:firstLine="360" w:firstLineChars="200"/>
        <w:rPr>
          <w:rFonts w:hAnsi="宋体"/>
          <w:sz w:val="18"/>
          <w:szCs w:val="18"/>
        </w:rPr>
      </w:pPr>
      <w:r>
        <w:rPr>
          <w:rFonts w:hint="eastAsia" w:hAnsi="宋体"/>
          <w:sz w:val="18"/>
          <w:szCs w:val="18"/>
        </w:rPr>
        <w:t>1)本产品投资的ETF基金、境内上市定期开放式基金、封闭式基金，按照所投资基金估值日的收盘价估值；估值日无交易的，以最近交易日的收盘价估值。</w:t>
      </w:r>
    </w:p>
    <w:p>
      <w:pPr>
        <w:pStyle w:val="14"/>
        <w:spacing w:line="360" w:lineRule="auto"/>
        <w:ind w:firstLine="360" w:firstLineChars="200"/>
        <w:rPr>
          <w:rFonts w:hAnsi="宋体"/>
          <w:sz w:val="18"/>
          <w:szCs w:val="18"/>
        </w:rPr>
      </w:pPr>
      <w:r>
        <w:rPr>
          <w:rFonts w:hint="eastAsia" w:hAnsi="宋体"/>
          <w:sz w:val="18"/>
          <w:szCs w:val="18"/>
        </w:rPr>
        <w:t>2)本产品投资的境内上市开放式基金（LOF），按所投资基金估值日的基金份额净值估值；估值日基金净值未公布的，以基金管理人公布的最近一个工作日基金份额净值计算。</w:t>
      </w:r>
    </w:p>
    <w:p>
      <w:pPr>
        <w:pStyle w:val="14"/>
        <w:spacing w:line="360" w:lineRule="auto"/>
        <w:ind w:firstLine="360" w:firstLineChars="200"/>
        <w:rPr>
          <w:rFonts w:hAnsi="宋体"/>
          <w:sz w:val="18"/>
          <w:szCs w:val="18"/>
        </w:rPr>
      </w:pPr>
      <w:r>
        <w:rPr>
          <w:rFonts w:hint="eastAsia" w:hAnsi="宋体"/>
          <w:sz w:val="18"/>
          <w:szCs w:val="18"/>
        </w:rPr>
        <w:t>3)本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pPr>
        <w:pStyle w:val="14"/>
        <w:spacing w:line="360" w:lineRule="auto"/>
        <w:ind w:firstLine="361" w:firstLineChars="200"/>
        <w:rPr>
          <w:rFonts w:hAnsi="宋体"/>
          <w:b/>
          <w:bCs/>
          <w:sz w:val="18"/>
          <w:szCs w:val="18"/>
        </w:rPr>
      </w:pPr>
      <w:r>
        <w:rPr>
          <w:rFonts w:hAnsi="宋体"/>
          <w:b/>
          <w:bCs/>
          <w:sz w:val="18"/>
          <w:szCs w:val="18"/>
        </w:rPr>
        <w:t>8</w:t>
      </w:r>
      <w:r>
        <w:rPr>
          <w:rFonts w:hint="eastAsia" w:hAnsi="宋体"/>
          <w:b/>
          <w:bCs/>
          <w:sz w:val="18"/>
          <w:szCs w:val="18"/>
        </w:rPr>
        <w:t>.其他资产管理产品的估值</w:t>
      </w:r>
    </w:p>
    <w:p>
      <w:pPr>
        <w:pStyle w:val="14"/>
        <w:spacing w:line="360" w:lineRule="auto"/>
        <w:ind w:firstLine="360" w:firstLineChars="200"/>
        <w:rPr>
          <w:rFonts w:hAnsi="宋体"/>
          <w:sz w:val="18"/>
          <w:szCs w:val="18"/>
        </w:rPr>
      </w:pPr>
      <w:r>
        <w:rPr>
          <w:rFonts w:hint="eastAsia" w:hAnsi="宋体"/>
          <w:sz w:val="18"/>
          <w:szCs w:val="18"/>
        </w:rPr>
        <w:t>其他资产管理产品，指理财产品投资的除证券投资基金以外的其他资产管理产品，主要包括：资金信托，证券公司、证券公司子公司、基金管理公司、基金管理子公司、期货公司、期货公司子公司、保险资产管理机构、金融资产投资公司发行的资产管理产品。其他资产管理产品以估值日资产管理人提供的单位净值进行估值，估值日产品单位净值未提供的，可参考最近可获取的净值确定公允价值。</w:t>
      </w:r>
      <w:r>
        <w:rPr>
          <w:rFonts w:hint="eastAsia" w:asciiTheme="minorEastAsia" w:hAnsiTheme="minorEastAsia" w:eastAsiaTheme="minorEastAsia"/>
          <w:bCs/>
          <w:sz w:val="18"/>
          <w:szCs w:val="18"/>
        </w:rPr>
        <w:t>若无法获取净值，产品管理人可与托管人商定后，采用在当前情况下适用的估值技术确定公允价值。</w:t>
      </w:r>
    </w:p>
    <w:p>
      <w:pPr>
        <w:pStyle w:val="14"/>
        <w:spacing w:line="360" w:lineRule="auto"/>
        <w:ind w:firstLine="361" w:firstLineChars="200"/>
        <w:rPr>
          <w:rFonts w:hAnsi="宋体"/>
          <w:b/>
          <w:bCs/>
          <w:sz w:val="18"/>
          <w:szCs w:val="18"/>
        </w:rPr>
      </w:pPr>
      <w:r>
        <w:rPr>
          <w:rFonts w:hAnsi="宋体"/>
          <w:b/>
          <w:bCs/>
          <w:sz w:val="18"/>
          <w:szCs w:val="18"/>
        </w:rPr>
        <w:t>9</w:t>
      </w:r>
      <w:r>
        <w:rPr>
          <w:rFonts w:hint="eastAsia" w:hAnsi="宋体"/>
          <w:b/>
          <w:bCs/>
          <w:sz w:val="18"/>
          <w:szCs w:val="18"/>
        </w:rPr>
        <w:t>.衍生金融工具估值</w:t>
      </w:r>
    </w:p>
    <w:p>
      <w:pPr>
        <w:pStyle w:val="14"/>
        <w:spacing w:line="360" w:lineRule="auto"/>
        <w:ind w:firstLine="360" w:firstLineChars="200"/>
        <w:rPr>
          <w:rFonts w:hAnsi="宋体"/>
          <w:sz w:val="18"/>
          <w:szCs w:val="18"/>
        </w:rPr>
      </w:pPr>
      <w:r>
        <w:rPr>
          <w:rFonts w:hint="eastAsia" w:hAnsi="宋体"/>
          <w:sz w:val="18"/>
          <w:szCs w:val="18"/>
        </w:rPr>
        <w:t xml:space="preserve">期货、互换、期权、远期、权证等衍生金融工具场内交易的，按估值日交易所公布的当日结算价估值；如估值日无交易，且最近交易日后未发生影响公允价值计量的重大事件的，按交易所最近交易日结算价进行估值。上述衍生金融工具场外交易的，按照第三方机构提供的估值数据或采取相应的衍生金融工具估值模型进行估值。 </w:t>
      </w:r>
    </w:p>
    <w:p>
      <w:pPr>
        <w:pStyle w:val="14"/>
        <w:spacing w:line="360" w:lineRule="auto"/>
        <w:ind w:firstLine="361" w:firstLineChars="200"/>
        <w:rPr>
          <w:rFonts w:hAnsi="宋体"/>
          <w:b/>
          <w:bCs/>
          <w:sz w:val="18"/>
          <w:szCs w:val="18"/>
        </w:rPr>
      </w:pPr>
      <w:r>
        <w:rPr>
          <w:rFonts w:hAnsi="宋体"/>
          <w:b/>
          <w:bCs/>
          <w:sz w:val="18"/>
          <w:szCs w:val="18"/>
        </w:rPr>
        <w:t>10</w:t>
      </w:r>
      <w:r>
        <w:rPr>
          <w:rFonts w:hint="eastAsia" w:hAnsi="宋体"/>
          <w:b/>
          <w:bCs/>
          <w:sz w:val="18"/>
          <w:szCs w:val="18"/>
        </w:rPr>
        <w:t>.存款、拆借、回购等货币市场工具的估值</w:t>
      </w:r>
    </w:p>
    <w:p>
      <w:pPr>
        <w:pStyle w:val="14"/>
        <w:spacing w:line="360" w:lineRule="auto"/>
        <w:ind w:firstLine="360" w:firstLineChars="200"/>
        <w:rPr>
          <w:rFonts w:hAnsi="宋体"/>
          <w:sz w:val="18"/>
          <w:szCs w:val="18"/>
        </w:rPr>
      </w:pPr>
      <w:r>
        <w:rPr>
          <w:rFonts w:hint="eastAsia" w:hAnsi="宋体"/>
          <w:sz w:val="18"/>
          <w:szCs w:val="18"/>
        </w:rPr>
        <w:t>以本金列示，按商定利率在实际持有期间内逐日计提利息。如有估值技术能更准确反映其公允价值的，采用估值技术进行估值。</w:t>
      </w:r>
    </w:p>
    <w:p>
      <w:pPr>
        <w:pStyle w:val="14"/>
        <w:spacing w:line="360" w:lineRule="auto"/>
        <w:ind w:firstLine="360" w:firstLineChars="200"/>
        <w:rPr>
          <w:rFonts w:hAnsi="宋体"/>
          <w:sz w:val="18"/>
          <w:szCs w:val="18"/>
        </w:rPr>
      </w:pPr>
      <w:r>
        <w:rPr>
          <w:rFonts w:hint="eastAsia" w:hAnsi="宋体"/>
          <w:sz w:val="18"/>
          <w:szCs w:val="18"/>
        </w:rPr>
        <w:t>1</w:t>
      </w:r>
      <w:r>
        <w:rPr>
          <w:rFonts w:hAnsi="宋体"/>
          <w:sz w:val="18"/>
          <w:szCs w:val="18"/>
        </w:rPr>
        <w:t>1</w:t>
      </w:r>
      <w:r>
        <w:rPr>
          <w:rFonts w:hint="eastAsia" w:hAnsi="宋体"/>
          <w:sz w:val="18"/>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pPr>
        <w:pStyle w:val="14"/>
        <w:spacing w:line="360" w:lineRule="auto"/>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2</w:t>
      </w:r>
      <w:r>
        <w:rPr>
          <w:rFonts w:hint="eastAsia" w:ascii="黑体" w:hAnsi="黑体" w:eastAsia="黑体"/>
          <w:sz w:val="18"/>
          <w:szCs w:val="18"/>
        </w:rPr>
        <w:t>.★估值方法的调整</w:t>
      </w:r>
    </w:p>
    <w:p>
      <w:pPr>
        <w:pStyle w:val="14"/>
        <w:spacing w:line="360" w:lineRule="auto"/>
        <w:ind w:firstLine="360" w:firstLineChars="200"/>
        <w:rPr>
          <w:rFonts w:ascii="黑体" w:hAnsi="黑体" w:eastAsia="黑体"/>
          <w:sz w:val="18"/>
          <w:szCs w:val="18"/>
        </w:rPr>
      </w:pPr>
      <w:r>
        <w:rPr>
          <w:rFonts w:hint="eastAsia" w:ascii="黑体" w:hAnsi="黑体" w:eastAsia="黑体"/>
          <w:sz w:val="18"/>
          <w:szCs w:val="18"/>
        </w:rPr>
        <w:t>若因相关法律法规以及监管部门有规定，需要调整估值方法的，管理人应按相关规定要求使用调整后的估值方法进行估值。</w:t>
      </w:r>
    </w:p>
    <w:p>
      <w:pPr>
        <w:pStyle w:val="14"/>
        <w:spacing w:line="360" w:lineRule="auto"/>
        <w:ind w:firstLine="361" w:firstLineChars="200"/>
        <w:rPr>
          <w:rFonts w:hAnsi="宋体"/>
          <w:b/>
          <w:bCs/>
          <w:sz w:val="18"/>
          <w:szCs w:val="18"/>
        </w:rPr>
      </w:pPr>
      <w:r>
        <w:rPr>
          <w:rFonts w:hint="eastAsia" w:hAnsi="宋体"/>
          <w:b/>
          <w:bCs/>
          <w:sz w:val="18"/>
          <w:szCs w:val="18"/>
        </w:rPr>
        <w:t>（五）估值程序</w:t>
      </w:r>
    </w:p>
    <w:p>
      <w:pPr>
        <w:pStyle w:val="14"/>
        <w:spacing w:line="360" w:lineRule="auto"/>
        <w:ind w:firstLine="360" w:firstLineChars="200"/>
        <w:rPr>
          <w:rFonts w:hAnsi="宋体"/>
          <w:sz w:val="18"/>
          <w:szCs w:val="18"/>
        </w:rPr>
      </w:pPr>
      <w:r>
        <w:rPr>
          <w:rFonts w:hint="eastAsia" w:hAnsi="宋体"/>
          <w:sz w:val="18"/>
          <w:szCs w:val="18"/>
        </w:rPr>
        <w:t>1.产品份额净值是按照估值日产品资产净值除以当日产品总份额计算，四舍五入保留5位小数。国家另有规定的，从其规定。</w:t>
      </w:r>
    </w:p>
    <w:p>
      <w:pPr>
        <w:pStyle w:val="14"/>
        <w:spacing w:line="360" w:lineRule="auto"/>
        <w:ind w:firstLine="360" w:firstLineChars="200"/>
        <w:rPr>
          <w:rFonts w:hAnsi="宋体"/>
          <w:sz w:val="18"/>
          <w:szCs w:val="18"/>
        </w:rPr>
      </w:pPr>
      <w:r>
        <w:rPr>
          <w:rFonts w:hint="eastAsia" w:hAnsi="宋体"/>
          <w:sz w:val="18"/>
          <w:szCs w:val="18"/>
        </w:rPr>
        <w:t xml:space="preserve">2.产品管理人对理财资产估值后，将产品份额净值发送产品托管人，经产品托管人复核无误后，由产品管理人按规定对外公布。 </w:t>
      </w:r>
    </w:p>
    <w:p>
      <w:pPr>
        <w:pStyle w:val="14"/>
        <w:spacing w:line="360" w:lineRule="auto"/>
        <w:ind w:firstLine="360" w:firstLineChars="200"/>
        <w:rPr>
          <w:rFonts w:hAnsi="宋体"/>
          <w:sz w:val="18"/>
          <w:szCs w:val="18"/>
        </w:rPr>
      </w:pPr>
      <w:r>
        <w:rPr>
          <w:rFonts w:hint="eastAsia" w:hAnsi="宋体"/>
          <w:sz w:val="18"/>
          <w:szCs w:val="18"/>
        </w:rPr>
        <w:t xml:space="preserve">3. 如产品管理人或产品托管人发现理财估值违反本说明书约定的估值方法、程序及相关法律法规的规定或者未能充分维护理财份额持有人权益时，应立即通知对方，共同查明原因，双方协商解决。 </w:t>
      </w:r>
    </w:p>
    <w:p>
      <w:pPr>
        <w:pStyle w:val="14"/>
        <w:spacing w:line="360" w:lineRule="auto"/>
        <w:ind w:firstLine="361" w:firstLineChars="200"/>
        <w:rPr>
          <w:rFonts w:hAnsi="宋体"/>
          <w:b/>
          <w:bCs/>
          <w:sz w:val="18"/>
          <w:szCs w:val="18"/>
        </w:rPr>
      </w:pPr>
      <w:r>
        <w:rPr>
          <w:rFonts w:hint="eastAsia" w:hAnsi="宋体"/>
          <w:b/>
          <w:bCs/>
          <w:sz w:val="18"/>
          <w:szCs w:val="18"/>
        </w:rPr>
        <w:t>（六）估值主体</w:t>
      </w:r>
    </w:p>
    <w:p>
      <w:pPr>
        <w:pStyle w:val="14"/>
        <w:spacing w:line="360" w:lineRule="auto"/>
        <w:ind w:firstLine="360" w:firstLineChars="200"/>
        <w:rPr>
          <w:rFonts w:hAnsi="宋体"/>
          <w:sz w:val="18"/>
          <w:szCs w:val="18"/>
        </w:rPr>
      </w:pPr>
      <w:r>
        <w:rPr>
          <w:rFonts w:hint="eastAsia" w:hAnsi="宋体"/>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pStyle w:val="14"/>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pPr>
        <w:pStyle w:val="14"/>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pPr>
        <w:pStyle w:val="14"/>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pPr>
        <w:pStyle w:val="14"/>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pPr>
        <w:pStyle w:val="14"/>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pPr>
        <w:pStyle w:val="14"/>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pPr>
        <w:widowControl/>
        <w:spacing w:line="360" w:lineRule="auto"/>
        <w:jc w:val="left"/>
        <w:rPr>
          <w:rFonts w:ascii="宋体" w:hAnsi="宋体"/>
          <w:kern w:val="0"/>
          <w:sz w:val="18"/>
          <w:szCs w:val="18"/>
        </w:rPr>
      </w:pPr>
      <w:r>
        <w:rPr>
          <w:rFonts w:hAnsi="宋体"/>
          <w:sz w:val="18"/>
          <w:szCs w:val="18"/>
        </w:rPr>
        <w:br w:type="page"/>
      </w:r>
    </w:p>
    <w:p>
      <w:pPr>
        <w:pStyle w:val="2"/>
        <w:spacing w:before="0" w:after="0" w:line="360" w:lineRule="auto"/>
        <w:ind w:left="60" w:firstLine="10"/>
        <w:jc w:val="center"/>
        <w:rPr>
          <w:rFonts w:ascii="Times New Roman"/>
          <w:sz w:val="30"/>
        </w:rPr>
      </w:pPr>
      <w:bookmarkStart w:id="125" w:name="_Hlt70481650"/>
      <w:bookmarkEnd w:id="125"/>
      <w:bookmarkStart w:id="126" w:name="_Toc123102454"/>
      <w:bookmarkStart w:id="127" w:name="_Toc139991737"/>
      <w:bookmarkStart w:id="128" w:name="_Toc29251"/>
      <w:bookmarkStart w:id="129" w:name="_Toc12245"/>
      <w:bookmarkStart w:id="130" w:name="_Toc3601"/>
      <w:bookmarkStart w:id="131" w:name="_Toc15143"/>
      <w:bookmarkStart w:id="132" w:name="_Toc141703887"/>
      <w:bookmarkStart w:id="133" w:name="_Toc98560353"/>
      <w:bookmarkStart w:id="134" w:name="_Toc123112235"/>
      <w:bookmarkStart w:id="135" w:name="_Toc79154671"/>
      <w:bookmarkStart w:id="136" w:name="_Toc6405"/>
      <w:bookmarkStart w:id="137" w:name="_Toc31235"/>
      <w:bookmarkStart w:id="138" w:name="_Toc31644"/>
      <w:bookmarkStart w:id="139" w:name="_Toc116649656"/>
      <w:bookmarkStart w:id="140" w:name="_Toc26207"/>
      <w:bookmarkStart w:id="141" w:name="_Toc14835"/>
      <w:bookmarkStart w:id="142" w:name="_Toc74065744"/>
      <w:bookmarkStart w:id="143" w:name="_Toc31653"/>
      <w:bookmarkStart w:id="144" w:name="_Toc123051453"/>
      <w:r>
        <w:rPr>
          <w:rFonts w:ascii="Times New Roman"/>
          <w:sz w:val="30"/>
        </w:rPr>
        <w:t>第八</w:t>
      </w:r>
      <w:r>
        <w:rPr>
          <w:rFonts w:hint="eastAsia" w:ascii="Times New Roman"/>
          <w:sz w:val="30"/>
        </w:rPr>
        <w:t>条</w:t>
      </w:r>
      <w:r>
        <w:rPr>
          <w:rFonts w:ascii="Times New Roman"/>
          <w:sz w:val="30"/>
        </w:rPr>
        <w:t xml:space="preserve">  </w:t>
      </w:r>
      <w:r>
        <w:rPr>
          <w:rFonts w:hint="eastAsia" w:ascii="Times New Roman"/>
          <w:sz w:val="30"/>
        </w:rPr>
        <w:t>理财产品的利益分配</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Start w:id="145" w:name="_Hlt55355235"/>
      <w:bookmarkEnd w:id="145"/>
      <w:bookmarkStart w:id="146" w:name="_Toc79392580"/>
      <w:bookmarkStart w:id="147" w:name="_Toc523711668"/>
      <w:bookmarkStart w:id="148" w:name="_Toc15118234"/>
      <w:bookmarkStart w:id="149" w:name="_Toc57530239"/>
    </w:p>
    <w:p>
      <w:pPr>
        <w:pStyle w:val="14"/>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pPr>
        <w:pStyle w:val="14"/>
        <w:spacing w:line="360" w:lineRule="auto"/>
        <w:ind w:firstLine="360" w:firstLineChars="200"/>
        <w:rPr>
          <w:rFonts w:hAnsi="宋体"/>
          <w:color w:val="auto"/>
          <w:sz w:val="18"/>
          <w:szCs w:val="18"/>
        </w:rPr>
      </w:pPr>
      <w:r>
        <w:rPr>
          <w:rFonts w:hint="eastAsia" w:hAnsi="宋体"/>
          <w:color w:val="auto"/>
          <w:sz w:val="18"/>
          <w:szCs w:val="18"/>
        </w:rPr>
        <w:t>1. 依据分配时点，理财利益的分配可分为“期间分配”与“终止分配”。</w:t>
      </w:r>
    </w:p>
    <w:p>
      <w:pPr>
        <w:pStyle w:val="14"/>
        <w:spacing w:line="360" w:lineRule="auto"/>
        <w:ind w:firstLine="360" w:firstLineChars="200"/>
        <w:rPr>
          <w:rFonts w:hAnsi="宋体"/>
          <w:color w:val="auto"/>
          <w:sz w:val="18"/>
          <w:szCs w:val="18"/>
        </w:rPr>
      </w:pPr>
      <w:r>
        <w:rPr>
          <w:rFonts w:hint="eastAsia" w:hAnsi="宋体"/>
          <w:color w:val="auto"/>
          <w:sz w:val="18"/>
          <w:szCs w:val="18"/>
        </w:rPr>
        <w:t>2. 依据分配方式，理财利益的分配可分为“现金分配”与“非现金分配”。</w:t>
      </w:r>
    </w:p>
    <w:p>
      <w:pPr>
        <w:pStyle w:val="14"/>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pPr>
        <w:pStyle w:val="14"/>
        <w:spacing w:line="360" w:lineRule="auto"/>
        <w:ind w:firstLine="360" w:firstLineChars="200"/>
        <w:rPr>
          <w:rFonts w:hAnsi="宋体"/>
          <w:color w:val="auto"/>
          <w:sz w:val="18"/>
          <w:szCs w:val="18"/>
        </w:rPr>
      </w:pPr>
      <w:r>
        <w:rPr>
          <w:rFonts w:hint="eastAsia" w:hAnsi="宋体"/>
          <w:color w:val="auto"/>
          <w:sz w:val="18"/>
          <w:szCs w:val="18"/>
        </w:rPr>
        <w:t xml:space="preserve">1.本产品利益分配应遵循下列原则： </w:t>
      </w:r>
    </w:p>
    <w:p>
      <w:pPr>
        <w:pStyle w:val="14"/>
        <w:spacing w:line="360" w:lineRule="auto"/>
        <w:ind w:firstLine="360" w:firstLineChars="200"/>
        <w:rPr>
          <w:rFonts w:hAnsi="宋体"/>
          <w:color w:val="auto"/>
          <w:sz w:val="18"/>
          <w:szCs w:val="18"/>
        </w:rPr>
      </w:pPr>
      <w:r>
        <w:rPr>
          <w:rFonts w:hAnsi="宋体"/>
          <w:color w:val="auto"/>
          <w:sz w:val="18"/>
          <w:szCs w:val="18"/>
        </w:rPr>
        <w:t>每一</w:t>
      </w:r>
      <w:r>
        <w:rPr>
          <w:rFonts w:hint="eastAsia" w:hAnsi="宋体"/>
          <w:color w:val="auto"/>
          <w:sz w:val="18"/>
          <w:szCs w:val="18"/>
        </w:rPr>
        <w:t>产品</w:t>
      </w:r>
      <w:r>
        <w:rPr>
          <w:rFonts w:hAnsi="宋体"/>
          <w:color w:val="auto"/>
          <w:sz w:val="18"/>
          <w:szCs w:val="18"/>
        </w:rPr>
        <w:t>份额享有同等分配权</w:t>
      </w:r>
      <w:r>
        <w:rPr>
          <w:rFonts w:hint="eastAsia" w:hAnsi="宋体"/>
          <w:color w:val="auto"/>
          <w:sz w:val="18"/>
          <w:szCs w:val="18"/>
        </w:rPr>
        <w:t>。</w:t>
      </w:r>
    </w:p>
    <w:p>
      <w:pPr>
        <w:pStyle w:val="14"/>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w:t>
      </w:r>
      <w:r>
        <w:rPr>
          <w:rFonts w:hAnsi="宋体"/>
          <w:color w:val="auto"/>
          <w:sz w:val="18"/>
          <w:szCs w:val="18"/>
        </w:rPr>
        <w:t>利益的分配原则和支付方式</w:t>
      </w:r>
      <w:r>
        <w:rPr>
          <w:rFonts w:hint="eastAsia" w:hAnsi="宋体"/>
          <w:color w:val="auto"/>
          <w:sz w:val="18"/>
          <w:szCs w:val="18"/>
        </w:rPr>
        <w:t>。法律法规或监管机构另有规定的从其规定。</w:t>
      </w:r>
    </w:p>
    <w:p>
      <w:pPr>
        <w:pStyle w:val="14"/>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pPr>
        <w:pStyle w:val="14"/>
        <w:spacing w:line="360" w:lineRule="auto"/>
        <w:ind w:firstLine="361" w:firstLineChars="200"/>
        <w:rPr>
          <w:rFonts w:hAnsi="宋体"/>
          <w:b/>
          <w:bCs/>
          <w:color w:val="auto"/>
          <w:sz w:val="18"/>
          <w:szCs w:val="18"/>
        </w:rPr>
      </w:pPr>
      <w:r>
        <w:rPr>
          <w:rFonts w:hint="eastAsia" w:hAnsi="宋体"/>
          <w:b/>
          <w:bCs/>
          <w:color w:val="auto"/>
          <w:sz w:val="18"/>
          <w:szCs w:val="18"/>
        </w:rPr>
        <w:t>1.分配方案要点：</w:t>
      </w:r>
    </w:p>
    <w:p>
      <w:pPr>
        <w:pStyle w:val="14"/>
        <w:spacing w:line="360" w:lineRule="auto"/>
        <w:ind w:firstLine="360" w:firstLineChars="200"/>
        <w:rPr>
          <w:rFonts w:hAnsi="宋体"/>
          <w:color w:val="auto"/>
          <w:sz w:val="18"/>
          <w:szCs w:val="18"/>
        </w:rPr>
      </w:pPr>
      <w:r>
        <w:rPr>
          <w:rFonts w:hint="eastAsia" w:hAnsi="宋体"/>
          <w:color w:val="auto"/>
          <w:sz w:val="18"/>
          <w:szCs w:val="18"/>
        </w:rPr>
        <w:t>（1）本产品的分配时点包括“期间分配”和“终止分配”。</w:t>
      </w:r>
    </w:p>
    <w:p>
      <w:pPr>
        <w:pStyle w:val="14"/>
        <w:spacing w:line="360" w:lineRule="auto"/>
        <w:ind w:firstLine="360" w:firstLineChars="200"/>
        <w:rPr>
          <w:rFonts w:hAnsi="宋体"/>
          <w:color w:val="auto"/>
          <w:sz w:val="18"/>
          <w:szCs w:val="18"/>
        </w:rPr>
      </w:pPr>
      <w:r>
        <w:rPr>
          <w:rFonts w:hint="eastAsia" w:hAnsi="宋体"/>
          <w:color w:val="auto"/>
          <w:sz w:val="18"/>
          <w:szCs w:val="18"/>
        </w:rPr>
        <w:t>（2）本产品的分配方式仅采取“现金分配”。</w:t>
      </w:r>
    </w:p>
    <w:p>
      <w:pPr>
        <w:pStyle w:val="14"/>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pPr>
        <w:pStyle w:val="14"/>
        <w:spacing w:line="360" w:lineRule="auto"/>
        <w:ind w:firstLine="360" w:firstLineChars="200"/>
        <w:rPr>
          <w:rFonts w:hAnsi="宋体"/>
          <w:color w:val="auto"/>
          <w:sz w:val="18"/>
          <w:szCs w:val="18"/>
        </w:rPr>
      </w:pPr>
      <w:r>
        <w:rPr>
          <w:rFonts w:hint="eastAsia" w:hAnsi="宋体"/>
          <w:color w:val="auto"/>
          <w:sz w:val="18"/>
          <w:szCs w:val="18"/>
        </w:rPr>
        <w:t>3.理财产品存续期间，产品管理人</w:t>
      </w:r>
      <w:r>
        <w:rPr>
          <w:rFonts w:hAnsi="宋体"/>
          <w:color w:val="auto"/>
          <w:sz w:val="18"/>
          <w:szCs w:val="18"/>
        </w:rPr>
        <w:t>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
      <w:pPr>
        <w:spacing w:line="360" w:lineRule="auto"/>
        <w:ind w:firstLine="360"/>
        <w:rPr>
          <w:rFonts w:ascii="宋体" w:hAnsi="宋体"/>
          <w:b/>
          <w:sz w:val="18"/>
          <w:szCs w:val="18"/>
        </w:rPr>
      </w:pPr>
      <w:r>
        <w:rPr>
          <w:rFonts w:hint="eastAsia" w:ascii="宋体" w:hAnsi="宋体"/>
          <w:b/>
          <w:kern w:val="0"/>
          <w:sz w:val="18"/>
          <w:szCs w:val="18"/>
        </w:rPr>
        <w:t>（四）理财利益的分配</w:t>
      </w:r>
    </w:p>
    <w:p>
      <w:pPr>
        <w:pStyle w:val="14"/>
        <w:spacing w:line="360" w:lineRule="auto"/>
        <w:ind w:firstLine="360" w:firstLineChars="200"/>
        <w:rPr>
          <w:rFonts w:hAnsi="宋体"/>
          <w:color w:val="auto"/>
          <w:sz w:val="18"/>
          <w:szCs w:val="18"/>
        </w:rPr>
      </w:pPr>
      <w:r>
        <w:rPr>
          <w:rFonts w:hint="eastAsia" w:hAnsi="宋体"/>
          <w:color w:val="auto"/>
          <w:sz w:val="18"/>
          <w:szCs w:val="18"/>
        </w:rPr>
        <w:t>1.理财利益的分配日</w:t>
      </w:r>
    </w:p>
    <w:p>
      <w:pPr>
        <w:pStyle w:val="14"/>
        <w:spacing w:line="360" w:lineRule="auto"/>
        <w:ind w:firstLine="360" w:firstLineChars="200"/>
        <w:rPr>
          <w:rFonts w:hAnsi="宋体"/>
          <w:color w:val="auto"/>
          <w:sz w:val="18"/>
          <w:szCs w:val="18"/>
        </w:rPr>
      </w:pPr>
      <w:r>
        <w:rPr>
          <w:rFonts w:hint="eastAsia" w:hAnsi="宋体"/>
          <w:color w:val="auto"/>
          <w:sz w:val="18"/>
          <w:szCs w:val="18"/>
        </w:rPr>
        <w:t>（1）若为期间分配的，原则上产品管理人应于分配基准日后【5】个工作日内分配理财利益（如有）。</w:t>
      </w:r>
    </w:p>
    <w:p>
      <w:pPr>
        <w:pStyle w:val="14"/>
        <w:spacing w:line="360" w:lineRule="auto"/>
        <w:ind w:firstLine="360" w:firstLineChars="200"/>
        <w:rPr>
          <w:rFonts w:hAnsi="宋体"/>
          <w:color w:val="auto"/>
          <w:sz w:val="18"/>
          <w:szCs w:val="18"/>
        </w:rPr>
      </w:pPr>
      <w:r>
        <w:rPr>
          <w:rFonts w:hint="eastAsia" w:hAnsi="宋体"/>
          <w:color w:val="auto"/>
          <w:sz w:val="18"/>
          <w:szCs w:val="18"/>
        </w:rPr>
        <w:t>（2）若为终止分配的，产品管理人应按“第十条 理财产品的终止与清算”中产品清算期的相关约定向投资者分配理财利益（如有）。</w:t>
      </w:r>
    </w:p>
    <w:p>
      <w:pPr>
        <w:pStyle w:val="14"/>
        <w:spacing w:line="360" w:lineRule="auto"/>
        <w:ind w:firstLine="360" w:firstLineChars="200"/>
        <w:rPr>
          <w:rFonts w:hAnsi="宋体"/>
          <w:color w:val="auto"/>
          <w:sz w:val="18"/>
          <w:szCs w:val="18"/>
        </w:rPr>
      </w:pPr>
      <w:r>
        <w:rPr>
          <w:rFonts w:hAnsi="宋体"/>
          <w:color w:val="auto"/>
          <w:sz w:val="18"/>
          <w:szCs w:val="18"/>
        </w:rPr>
        <w:t>2.</w:t>
      </w:r>
      <w:r>
        <w:rPr>
          <w:rFonts w:hint="eastAsia" w:hAnsi="宋体"/>
          <w:color w:val="auto"/>
          <w:sz w:val="18"/>
          <w:szCs w:val="18"/>
        </w:rPr>
        <w:t>具体的理财利益分配以管理人实际分配的为准。</w:t>
      </w:r>
    </w:p>
    <w:p>
      <w:pPr>
        <w:widowControl/>
        <w:spacing w:line="360" w:lineRule="auto"/>
        <w:jc w:val="left"/>
        <w:rPr>
          <w:rFonts w:ascii="宋体" w:hAnsi="宋体"/>
          <w:kern w:val="0"/>
          <w:sz w:val="18"/>
          <w:szCs w:val="18"/>
        </w:rPr>
      </w:pPr>
      <w:r>
        <w:rPr>
          <w:rFonts w:hAnsi="宋体"/>
          <w:sz w:val="18"/>
          <w:szCs w:val="18"/>
        </w:rPr>
        <w:br w:type="page"/>
      </w:r>
    </w:p>
    <w:bookmarkEnd w:id="146"/>
    <w:bookmarkEnd w:id="147"/>
    <w:bookmarkEnd w:id="148"/>
    <w:bookmarkEnd w:id="149"/>
    <w:p>
      <w:pPr>
        <w:pStyle w:val="2"/>
        <w:spacing w:before="0" w:after="0" w:line="360" w:lineRule="auto"/>
        <w:jc w:val="center"/>
        <w:rPr>
          <w:rFonts w:ascii="Times New Roman"/>
          <w:sz w:val="30"/>
        </w:rPr>
      </w:pPr>
      <w:bookmarkStart w:id="150" w:name="_Hlt88825574"/>
      <w:bookmarkEnd w:id="150"/>
      <w:bookmarkStart w:id="151" w:name="_Hlt88897298"/>
      <w:bookmarkEnd w:id="151"/>
      <w:bookmarkStart w:id="152" w:name="_Toc10650"/>
      <w:bookmarkStart w:id="153" w:name="_Toc139991738"/>
      <w:bookmarkStart w:id="154" w:name="_Toc123102455"/>
      <w:bookmarkStart w:id="155" w:name="_Toc4559"/>
      <w:bookmarkStart w:id="156" w:name="_Toc7058"/>
      <w:bookmarkStart w:id="157" w:name="_Toc6447"/>
      <w:bookmarkStart w:id="158" w:name="_Toc11030"/>
      <w:bookmarkStart w:id="159" w:name="_Toc123051454"/>
      <w:bookmarkStart w:id="160" w:name="_Toc79392583"/>
      <w:bookmarkStart w:id="161" w:name="_Toc141703888"/>
      <w:bookmarkStart w:id="162" w:name="_Toc3771"/>
      <w:bookmarkStart w:id="163" w:name="_Toc18567"/>
      <w:bookmarkStart w:id="164" w:name="_Toc79154672"/>
      <w:bookmarkStart w:id="165" w:name="_Toc25783"/>
      <w:bookmarkStart w:id="166" w:name="_Toc3321"/>
      <w:bookmarkStart w:id="167" w:name="_Toc98560354"/>
      <w:bookmarkStart w:id="168" w:name="_Toc123112236"/>
      <w:bookmarkStart w:id="169" w:name="_Toc74065745"/>
      <w:bookmarkStart w:id="170" w:name="_Toc9706"/>
      <w:bookmarkStart w:id="171" w:name="_Toc116649657"/>
      <w:r>
        <w:rPr>
          <w:rFonts w:ascii="Times New Roman"/>
          <w:sz w:val="30"/>
        </w:rPr>
        <w:t>第九</w:t>
      </w:r>
      <w:r>
        <w:rPr>
          <w:rFonts w:hint="eastAsia" w:ascii="Times New Roman"/>
          <w:sz w:val="30"/>
        </w:rPr>
        <w:t>条</w:t>
      </w:r>
      <w:r>
        <w:rPr>
          <w:rFonts w:ascii="Times New Roman"/>
          <w:sz w:val="30"/>
        </w:rPr>
        <w:t xml:space="preserve">  </w:t>
      </w:r>
      <w:r>
        <w:rPr>
          <w:rFonts w:hint="eastAsia" w:ascii="Times New Roman"/>
          <w:sz w:val="30"/>
        </w:rPr>
        <w:t>理财产品的费用与税收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pStyle w:val="1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（一）理财产品的费用</w:t>
      </w:r>
    </w:p>
    <w:p>
      <w:pPr>
        <w:widowControl/>
        <w:spacing w:line="360" w:lineRule="auto"/>
        <w:ind w:firstLine="360" w:firstLineChars="200"/>
        <w:jc w:val="left"/>
        <w:rPr>
          <w:rFonts w:hAnsi="宋体"/>
          <w:sz w:val="18"/>
          <w:szCs w:val="18"/>
        </w:rPr>
      </w:pPr>
      <w:r>
        <w:rPr>
          <w:rFonts w:ascii="宋体" w:hAnsi="宋体"/>
          <w:kern w:val="0"/>
          <w:sz w:val="18"/>
          <w:szCs w:val="18"/>
        </w:rPr>
        <w:t>1</w:t>
      </w:r>
      <w:r>
        <w:rPr>
          <w:rFonts w:hint="eastAsia" w:ascii="宋体" w:hAnsi="宋体"/>
          <w:kern w:val="0"/>
          <w:sz w:val="18"/>
          <w:szCs w:val="18"/>
        </w:rPr>
        <w:t>.</w:t>
      </w:r>
      <w:r>
        <w:rPr>
          <w:rFonts w:ascii="宋体" w:hAnsi="宋体"/>
          <w:kern w:val="0"/>
          <w:sz w:val="18"/>
          <w:szCs w:val="18"/>
        </w:rPr>
        <w:t>理财产品费用的种类</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1）理财产品的认购费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2）理财产品的销售服务费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3）理财产品的投资管理费及超额业绩报酬；</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4</w:t>
      </w:r>
      <w:r>
        <w:rPr>
          <w:rFonts w:hint="eastAsia" w:ascii="宋体" w:hAnsi="宋体"/>
          <w:kern w:val="0"/>
          <w:sz w:val="18"/>
          <w:szCs w:val="18"/>
        </w:rPr>
        <w:t>）理财产品的产品托管费；</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）理财产品的交易费用（包括但不限于证券交易费用、经纪费用等）；</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）理财产品验资费、审计费、律师费、信息披露费、清算费、执行费用等相关费用；</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7</w:t>
      </w:r>
      <w:r>
        <w:rPr>
          <w:rFonts w:hint="eastAsia" w:ascii="宋体" w:hAnsi="宋体"/>
          <w:kern w:val="0"/>
          <w:sz w:val="18"/>
          <w:szCs w:val="18"/>
        </w:rPr>
        <w:t>）按照国家法律法规规定可以列入的其他费用。</w:t>
      </w:r>
    </w:p>
    <w:p>
      <w:pPr>
        <w:widowControl/>
        <w:spacing w:line="360" w:lineRule="auto"/>
        <w:ind w:firstLine="360" w:firstLineChars="200"/>
        <w:jc w:val="left"/>
        <w:rPr>
          <w:rFonts w:ascii="宋体" w:hAnsi="宋体"/>
          <w:sz w:val="18"/>
          <w:szCs w:val="18"/>
        </w:rPr>
      </w:pPr>
      <w:r>
        <w:rPr>
          <w:rFonts w:ascii="宋体" w:hAnsi="宋体"/>
          <w:kern w:val="0"/>
          <w:sz w:val="18"/>
          <w:szCs w:val="18"/>
        </w:rPr>
        <w:t>2.</w:t>
      </w:r>
      <w:r>
        <w:rPr>
          <w:rFonts w:hint="eastAsia" w:ascii="宋体" w:hAnsi="宋体"/>
          <w:kern w:val="0"/>
          <w:sz w:val="18"/>
          <w:szCs w:val="18"/>
        </w:rPr>
        <w:t>理财产品费用计提方法、计提标准和支付方式</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1</w:t>
      </w:r>
      <w:r>
        <w:rPr>
          <w:rFonts w:hint="eastAsia" w:ascii="宋体" w:hAnsi="宋体"/>
          <w:kern w:val="0"/>
          <w:sz w:val="18"/>
          <w:szCs w:val="18"/>
        </w:rPr>
        <w:t>）理财产品的认购费</w:t>
      </w:r>
    </w:p>
    <w:p>
      <w:pPr>
        <w:widowControl/>
        <w:spacing w:line="360" w:lineRule="auto"/>
        <w:ind w:firstLine="360" w:firstLineChars="200"/>
        <w:jc w:val="left"/>
        <w:rPr>
          <w:rFonts w:ascii="宋体" w:hAnsi="宋体"/>
          <w:sz w:val="18"/>
          <w:szCs w:val="18"/>
        </w:rPr>
      </w:pP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ascii="宋体" w:hAnsi="宋体"/>
          <w:kern w:val="0"/>
          <w:sz w:val="18"/>
          <w:szCs w:val="18"/>
        </w:rPr>
        <w:t>。</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2）</w:t>
      </w:r>
      <w:r>
        <w:rPr>
          <w:rFonts w:hint="eastAsia" w:ascii="宋体" w:hAnsi="宋体"/>
          <w:kern w:val="0"/>
          <w:sz w:val="18"/>
          <w:szCs w:val="18"/>
        </w:rPr>
        <w:t>理财产品的销售服务费</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本产品的销售服务费按前一日理财资产净值与销售服务费每日费率每日计提。销售服务费的计算方法如下：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H＝E×销售服务费年费率÷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H为每日应计提的销售服务费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pStyle w:val="14"/>
        <w:spacing w:line="360" w:lineRule="auto"/>
        <w:ind w:firstLine="360" w:firstLineChars="200"/>
        <w:rPr>
          <w:rFonts w:asciiTheme="majorEastAsia" w:hAnsiTheme="majorEastAsia" w:eastAsiaTheme="majorEastAsia"/>
          <w:color w:val="auto"/>
          <w:kern w:val="2"/>
          <w:sz w:val="18"/>
          <w:szCs w:val="18"/>
        </w:rPr>
      </w:pPr>
      <w:r>
        <w:rPr>
          <w:rFonts w:hint="eastAsia" w:hAnsi="宋体"/>
          <w:color w:val="auto"/>
          <w:sz w:val="18"/>
          <w:szCs w:val="18"/>
        </w:rPr>
        <w:t>销售服务费依照上述约定，从理财财产中支付。</w:t>
      </w:r>
      <w:r>
        <w:rPr>
          <w:rFonts w:hint="eastAsia" w:asciiTheme="majorEastAsia" w:hAnsiTheme="majorEastAsia" w:eastAsiaTheme="majorEastAsia"/>
          <w:color w:val="auto"/>
          <w:kern w:val="2"/>
          <w:sz w:val="18"/>
          <w:szCs w:val="18"/>
        </w:rPr>
        <w:t>费率具体数值以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color w:val="auto"/>
          <w:kern w:val="2"/>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3）</w:t>
      </w:r>
      <w:r>
        <w:rPr>
          <w:rFonts w:hint="eastAsia" w:ascii="宋体" w:hAnsi="宋体"/>
          <w:kern w:val="0"/>
          <w:sz w:val="18"/>
          <w:szCs w:val="18"/>
        </w:rPr>
        <w:t>理财产品</w:t>
      </w:r>
      <w:r>
        <w:rPr>
          <w:rFonts w:ascii="宋体" w:hAnsi="宋体"/>
          <w:kern w:val="0"/>
          <w:sz w:val="18"/>
          <w:szCs w:val="18"/>
        </w:rPr>
        <w:t>的投资管理费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本产品的投资管理费按前一日理财资产净值与投资管理费每日费率每日计提。</w:t>
      </w:r>
      <w:r>
        <w:rPr>
          <w:rFonts w:hint="eastAsia" w:ascii="宋体" w:hAnsi="宋体"/>
          <w:kern w:val="0"/>
          <w:sz w:val="18"/>
          <w:szCs w:val="18"/>
        </w:rPr>
        <w:t>投资管理费的计算方法如下：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投资管理费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投资管理费</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投资管理费依照上述约定，从理财财产中支付。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r>
        <w:rPr>
          <w:rFonts w:hint="eastAsia" w:ascii="宋体" w:hAnsi="宋体"/>
          <w:kern w:val="0"/>
          <w:sz w:val="18"/>
          <w:szCs w:val="18"/>
        </w:rPr>
        <w:t>。</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（4）超额业绩报酬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一定比例作为超额业绩报酬。</w:t>
      </w:r>
      <w:r>
        <w:rPr>
          <w:rFonts w:hint="eastAsia" w:ascii="黑体" w:hAnsi="黑体" w:eastAsia="黑体"/>
          <w:sz w:val="18"/>
          <w:szCs w:val="18"/>
        </w:rPr>
        <w:t>★</w:t>
      </w:r>
      <w:r>
        <w:rPr>
          <w:rFonts w:hint="eastAsia" w:asciiTheme="majorEastAsia" w:hAnsiTheme="majorEastAsia" w:eastAsiaTheme="majorEastAsia"/>
          <w:sz w:val="18"/>
          <w:szCs w:val="18"/>
        </w:rPr>
        <w:t>由此造成超额业绩报酬计提日产品份额净值调整的，以调整后的数值为准进行利益分配。</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业绩报酬计提基准的设置、超额业绩报酬的具体比例数值以《</w:t>
      </w:r>
      <w:r>
        <w:rPr>
          <w:rFonts w:hint="eastAsia" w:asciiTheme="majorEastAsia" w:hAnsiTheme="majorEastAsia" w:eastAsiaTheme="majorEastAsia"/>
          <w:bCs/>
          <w:sz w:val="18"/>
          <w:szCs w:val="18"/>
        </w:rPr>
        <w:t>产品说明</w:t>
      </w:r>
      <w:r>
        <w:rPr>
          <w:rFonts w:hint="eastAsia" w:asciiTheme="majorEastAsia" w:hAnsiTheme="majorEastAsia" w:eastAsiaTheme="majorEastAsia"/>
          <w:sz w:val="18"/>
          <w:szCs w:val="18"/>
        </w:rPr>
        <w:t>书》</w:t>
      </w:r>
      <w:r>
        <w:rPr>
          <w:rFonts w:hint="eastAsia" w:asciiTheme="minorEastAsia" w:hAnsiTheme="minorEastAsia" w:eastAsiaTheme="minorEastAsia"/>
          <w:sz w:val="18"/>
          <w:szCs w:val="18"/>
        </w:rPr>
        <w:t>“第二条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1）收取超额业绩报酬的原则：</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①按投资者每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产品份额分别计算年化收益率并计提超额业绩报酬；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②在超额业绩报酬计提日，本产品对符合超额业绩报酬提取条件的产品份额计提超额业绩报酬；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③在产品终止日提取超额业绩报酬的，超额业绩报酬从清算资金中扣除；</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2）超额业绩报酬计提方法</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产品份额超额业绩报酬计提起始日为：募集期内认购的产品份额，以产品成立日为该</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②超额业绩报酬计提日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每份产品份额超额业绩报酬每日计提，产品终止日结算。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③超额业绩报酬的计算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产品管理人对每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份额当前年化收益率（R）超过当前业绩报酬计提基准的部分，按比例（N）以及产品份额持有天数（D）提取超额业绩报酬，计算方法如下：</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当R≤当前业绩报酬计提基准，超额业绩报酬=0；</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当R＞当前业绩报酬计提基准，超额业绩报酬=产品终止时投资者持有的产品份额×产品成立日产品份额净值×（R-当前业绩报酬计提基准）×N×D/365。</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w:t>
      </w:r>
      <w:r>
        <w:rPr>
          <w:rFonts w:ascii="宋体" w:hAnsi="宋体"/>
          <w:kern w:val="0"/>
          <w:sz w:val="18"/>
          <w:szCs w:val="18"/>
        </w:rPr>
        <w:t>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本产品的产品</w:t>
      </w:r>
      <w:r>
        <w:rPr>
          <w:rFonts w:ascii="宋体" w:hAnsi="宋体"/>
          <w:sz w:val="18"/>
          <w:szCs w:val="18"/>
        </w:rPr>
        <w:t>托管</w:t>
      </w:r>
      <w:r>
        <w:rPr>
          <w:rFonts w:hint="eastAsia" w:ascii="宋体" w:hAnsi="宋体"/>
          <w:sz w:val="18"/>
          <w:szCs w:val="18"/>
        </w:rPr>
        <w:t>费按前一日理财资产净值与产品</w:t>
      </w:r>
      <w:r>
        <w:rPr>
          <w:rFonts w:ascii="宋体" w:hAnsi="宋体"/>
          <w:sz w:val="18"/>
          <w:szCs w:val="18"/>
        </w:rPr>
        <w:t>托管</w:t>
      </w:r>
      <w:r>
        <w:rPr>
          <w:rFonts w:hint="eastAsia" w:ascii="宋体" w:hAnsi="宋体"/>
          <w:sz w:val="18"/>
          <w:szCs w:val="18"/>
        </w:rPr>
        <w:t>费每日费率每日计提。</w:t>
      </w:r>
      <w:r>
        <w:rPr>
          <w:rFonts w:hint="eastAsia" w:ascii="宋体" w:hAnsi="宋体"/>
          <w:kern w:val="0"/>
          <w:sz w:val="18"/>
          <w:szCs w:val="18"/>
        </w:rPr>
        <w:t>产品</w:t>
      </w:r>
      <w:r>
        <w:rPr>
          <w:rFonts w:ascii="宋体" w:hAnsi="宋体"/>
          <w:kern w:val="0"/>
          <w:sz w:val="18"/>
          <w:szCs w:val="18"/>
        </w:rPr>
        <w:t>托管费的计算方法如下：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产品托管费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产品托管费依照上述约定，从理财财产中支付。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上述</w:t>
      </w:r>
      <w:r>
        <w:rPr>
          <w:rFonts w:hint="eastAsia" w:ascii="宋体" w:hAnsi="宋体"/>
          <w:kern w:val="0"/>
          <w:sz w:val="18"/>
          <w:szCs w:val="18"/>
        </w:rPr>
        <w:t>理财产品的证券交易费用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7）上述</w:t>
      </w:r>
      <w:r>
        <w:rPr>
          <w:rFonts w:hint="eastAsia" w:ascii="宋体" w:hAnsi="宋体"/>
          <w:kern w:val="0"/>
          <w:sz w:val="18"/>
          <w:szCs w:val="18"/>
        </w:rPr>
        <w:t>理财产品</w:t>
      </w:r>
      <w:r>
        <w:rPr>
          <w:rFonts w:ascii="宋体" w:hAnsi="宋体"/>
          <w:kern w:val="0"/>
          <w:sz w:val="18"/>
          <w:szCs w:val="18"/>
        </w:rPr>
        <w:t>验资费、审计费、律师费、信息披露费、</w:t>
      </w:r>
      <w:r>
        <w:rPr>
          <w:rFonts w:hint="eastAsia" w:ascii="宋体" w:hAnsi="宋体"/>
          <w:kern w:val="0"/>
          <w:sz w:val="18"/>
          <w:szCs w:val="18"/>
        </w:rPr>
        <w:t>清算费、</w:t>
      </w:r>
      <w:r>
        <w:rPr>
          <w:rFonts w:ascii="宋体" w:hAnsi="宋体"/>
          <w:kern w:val="0"/>
          <w:sz w:val="18"/>
          <w:szCs w:val="18"/>
        </w:rPr>
        <w:t>执行费用等相关费用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hint="eastAsia" w:ascii="宋体" w:hAnsi="宋体"/>
          <w:kern w:val="0"/>
          <w:sz w:val="18"/>
          <w:szCs w:val="18"/>
        </w:rPr>
        <w:t>的，管理人有权从理财产品资产中优先受偿。</w:t>
      </w:r>
    </w:p>
    <w:p>
      <w:pPr>
        <w:pStyle w:val="14"/>
        <w:spacing w:line="360" w:lineRule="auto"/>
        <w:ind w:firstLine="360" w:firstLineChars="200"/>
        <w:rPr>
          <w:rFonts w:ascii="黑体" w:hAnsi="黑体" w:eastAsia="黑体"/>
          <w:color w:val="auto"/>
          <w:sz w:val="18"/>
        </w:rPr>
      </w:pPr>
      <w:r>
        <w:rPr>
          <w:rFonts w:ascii="黑体" w:hAnsi="黑体" w:eastAsia="黑体"/>
          <w:color w:val="auto"/>
          <w:sz w:val="18"/>
        </w:rPr>
        <w:t>3.</w:t>
      </w:r>
      <w:r>
        <w:rPr>
          <w:rFonts w:hAnsi="宋体"/>
          <w:color w:val="auto"/>
          <w:sz w:val="18"/>
          <w:szCs w:val="18"/>
        </w:rPr>
        <w:t>★</w:t>
      </w:r>
      <w:r>
        <w:rPr>
          <w:rFonts w:hint="eastAsia" w:ascii="黑体" w:hAnsi="黑体" w:eastAsia="黑体"/>
          <w:color w:val="auto"/>
          <w:sz w:val="18"/>
          <w:szCs w:val="18"/>
        </w:rPr>
        <w:t>理财产品费用</w:t>
      </w:r>
      <w:r>
        <w:rPr>
          <w:rFonts w:hint="eastAsia" w:ascii="黑体" w:hAnsi="黑体" w:eastAsia="黑体"/>
          <w:color w:val="auto"/>
          <w:sz w:val="18"/>
        </w:rPr>
        <w:t>的调整</w:t>
      </w:r>
    </w:p>
    <w:p>
      <w:pPr>
        <w:pStyle w:val="14"/>
        <w:spacing w:line="360" w:lineRule="auto"/>
        <w:ind w:firstLine="360" w:firstLineChars="200"/>
        <w:rPr>
          <w:rFonts w:ascii="黑体" w:hAnsi="黑体" w:eastAsia="黑体"/>
          <w:b/>
          <w:color w:val="auto"/>
          <w:sz w:val="18"/>
        </w:rPr>
      </w:pPr>
      <w:r>
        <w:rPr>
          <w:rFonts w:hint="eastAsia" w:ascii="黑体" w:hAnsi="黑体" w:eastAsia="黑体"/>
          <w:color w:val="auto"/>
          <w:sz w:val="18"/>
        </w:rPr>
        <w:t>产品管理人有权</w:t>
      </w:r>
      <w:r>
        <w:rPr>
          <w:rFonts w:hint="eastAsia" w:ascii="黑体" w:hAnsi="黑体" w:eastAsia="黑体"/>
          <w:color w:val="auto"/>
          <w:sz w:val="18"/>
          <w:szCs w:val="18"/>
        </w:rPr>
        <w:t>根据相关法律和国家政策规定，</w:t>
      </w:r>
      <w:r>
        <w:rPr>
          <w:rFonts w:hint="eastAsia" w:ascii="黑体" w:hAnsi="黑体" w:eastAsia="黑体"/>
          <w:color w:val="auto"/>
          <w:sz w:val="18"/>
        </w:rPr>
        <w:t>对理财产品费用的收费项目、收费条件、收费标准和收费方式等进行调整。产品管理人对费用的调整</w:t>
      </w:r>
      <w:r>
        <w:rPr>
          <w:rFonts w:hint="eastAsia" w:ascii="黑体" w:hAnsi="黑体" w:eastAsia="黑体"/>
          <w:bCs/>
          <w:color w:val="auto"/>
          <w:sz w:val="18"/>
        </w:rPr>
        <w:t>将依约定进行公告。</w:t>
      </w:r>
    </w:p>
    <w:p>
      <w:pPr>
        <w:pStyle w:val="1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pPr>
        <w:pStyle w:val="2"/>
        <w:spacing w:line="360" w:lineRule="auto"/>
        <w:jc w:val="center"/>
      </w:pPr>
      <w:bookmarkStart w:id="172" w:name="_Toc1745"/>
      <w:bookmarkStart w:id="173" w:name="_Toc3963"/>
      <w:r>
        <w:br w:type="page"/>
      </w:r>
      <w:bookmarkStart w:id="174" w:name="_Toc123112237"/>
      <w:bookmarkStart w:id="175" w:name="_Toc3572"/>
      <w:bookmarkStart w:id="176" w:name="_Toc79154673"/>
      <w:bookmarkStart w:id="177" w:name="_Toc98560355"/>
      <w:bookmarkStart w:id="178" w:name="_Toc3080"/>
      <w:bookmarkStart w:id="179" w:name="_Toc16164"/>
      <w:bookmarkStart w:id="180" w:name="_Toc31821"/>
      <w:bookmarkStart w:id="181" w:name="_Toc21735"/>
      <w:bookmarkStart w:id="182" w:name="_Toc141703889"/>
      <w:bookmarkStart w:id="183" w:name="_Toc74065746"/>
      <w:bookmarkStart w:id="184" w:name="_Toc725"/>
      <w:bookmarkStart w:id="185" w:name="_Toc139991739"/>
      <w:bookmarkStart w:id="186" w:name="_Toc123051455"/>
      <w:bookmarkStart w:id="187" w:name="_Toc18206"/>
      <w:bookmarkStart w:id="188" w:name="_Toc10398"/>
      <w:bookmarkStart w:id="189" w:name="_Toc116649658"/>
      <w:bookmarkStart w:id="190" w:name="_Toc123102456"/>
      <w:r>
        <w:rPr>
          <w:rFonts w:hint="eastAsia"/>
          <w:sz w:val="30"/>
        </w:rPr>
        <w:t>第</w:t>
      </w:r>
      <w:r>
        <w:rPr>
          <w:sz w:val="30"/>
        </w:rPr>
        <w:t>十</w:t>
      </w:r>
      <w:r>
        <w:rPr>
          <w:rFonts w:hint="eastAsia"/>
          <w:sz w:val="30"/>
        </w:rPr>
        <w:t>条</w:t>
      </w:r>
      <w:r>
        <w:rPr>
          <w:sz w:val="30"/>
        </w:rPr>
        <w:t xml:space="preserve">  </w:t>
      </w:r>
      <w:r>
        <w:rPr>
          <w:rFonts w:hint="eastAsia"/>
          <w:sz w:val="30"/>
        </w:rPr>
        <w:t>理财产品的终止与清算</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spacing w:line="360" w:lineRule="auto"/>
        <w:ind w:firstLine="361" w:firstLineChars="200"/>
        <w:rPr>
          <w:rFonts w:asciiTheme="majorEastAsia" w:hAnsiTheme="majorEastAsia" w:eastAsiaTheme="majorEastAsia"/>
          <w:b/>
          <w:bCs/>
          <w:sz w:val="18"/>
          <w:szCs w:val="18"/>
        </w:rPr>
      </w:pPr>
      <w:bookmarkStart w:id="191" w:name="_Toc79392593"/>
      <w:bookmarkStart w:id="192" w:name="_Toc15118245"/>
      <w:bookmarkStart w:id="193" w:name="_Toc57530252"/>
      <w:r>
        <w:rPr>
          <w:rFonts w:hint="eastAsia" w:asciiTheme="majorEastAsia" w:hAnsiTheme="majorEastAsia" w:eastAsiaTheme="majorEastAsia"/>
          <w:b/>
          <w:bCs/>
          <w:sz w:val="18"/>
          <w:szCs w:val="18"/>
        </w:rPr>
        <w:t>（一）理财产品的终止</w:t>
      </w:r>
    </w:p>
    <w:p>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到期日为理财产品终止日（含提前终止或延期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】个工作日，清算期超过【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】个工作日的，</w:t>
      </w:r>
      <w:r>
        <w:rPr>
          <w:rFonts w:asciiTheme="majorEastAsia" w:hAnsiTheme="majorEastAsia" w:eastAsiaTheme="majorEastAsia"/>
          <w:bCs/>
          <w:sz w:val="18"/>
          <w:szCs w:val="18"/>
        </w:rPr>
        <w:t>将依约</w:t>
      </w:r>
      <w:r>
        <w:rPr>
          <w:rFonts w:hint="eastAsia" w:asciiTheme="majorEastAsia" w:hAnsiTheme="majorEastAsia" w:eastAsiaTheme="majorEastAsia"/>
          <w:bCs/>
          <w:sz w:val="18"/>
          <w:szCs w:val="18"/>
        </w:rPr>
        <w:t>定进行公告。</w:t>
      </w:r>
      <w:r>
        <w:rPr>
          <w:rFonts w:asciiTheme="majorEastAsia" w:hAnsiTheme="majorEastAsia" w:eastAsiaTheme="majorEastAsia"/>
          <w:bCs/>
          <w:sz w:val="18"/>
          <w:szCs w:val="18"/>
        </w:rPr>
        <w:t xml:space="preserve"> </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产品管理人决定部分提前终止理财产品的，按以下约定处理：</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部分提前终止的比例：理财产品将按比例（已变现资产</w:t>
      </w:r>
      <w:r>
        <w:rPr>
          <w:rFonts w:asciiTheme="majorEastAsia" w:hAnsiTheme="majorEastAsia" w:eastAsiaTheme="majorEastAsia"/>
          <w:bCs/>
          <w:sz w:val="18"/>
          <w:szCs w:val="18"/>
        </w:rPr>
        <w:t>/理财产品净资产）</w:t>
      </w:r>
      <w:r>
        <w:rPr>
          <w:rFonts w:hint="eastAsia" w:asciiTheme="majorEastAsia" w:hAnsiTheme="majorEastAsia" w:eastAsiaTheme="majorEastAsia"/>
          <w:bCs/>
          <w:sz w:val="18"/>
          <w:szCs w:val="18"/>
        </w:rPr>
        <w:t>部分提前终止，同时根据产品最新的理财产品份额净值和份额计算并支付投资者相应的理财利益，投资者所持有的理财份额则按比例注销。</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部分提前终止的利益分配：产品管理人将依照销售文件公布部分提前终止日并指定利益分配日（一般为部分提前终止日之后的【</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】个工作日以内）。产品管理人应将理财利益于指定的利益分配</w:t>
      </w:r>
      <w:r>
        <w:rPr>
          <w:rFonts w:asciiTheme="majorEastAsia" w:hAnsiTheme="majorEastAsia" w:eastAsiaTheme="majorEastAsia"/>
          <w:bCs/>
          <w:sz w:val="18"/>
          <w:szCs w:val="18"/>
        </w:rPr>
        <w:t>日</w:t>
      </w:r>
      <w:r>
        <w:rPr>
          <w:rFonts w:hint="eastAsia" w:asciiTheme="majorEastAsia" w:hAnsiTheme="majorEastAsia" w:eastAsiaTheme="majorEastAsia"/>
          <w:bCs/>
          <w:sz w:val="18"/>
          <w:szCs w:val="18"/>
        </w:rPr>
        <w:t>（遇节假日顺延）向投资者分配。</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理财产品部分提前终止日（含当日）至理财</w:t>
      </w:r>
      <w:r>
        <w:rPr>
          <w:rFonts w:asciiTheme="majorEastAsia" w:hAnsiTheme="majorEastAsia" w:eastAsiaTheme="majorEastAsia"/>
          <w:bCs/>
          <w:sz w:val="18"/>
          <w:szCs w:val="18"/>
        </w:rPr>
        <w:t>利益</w:t>
      </w:r>
      <w:r>
        <w:rPr>
          <w:rFonts w:hint="eastAsia" w:asciiTheme="majorEastAsia" w:hAnsiTheme="majorEastAsia" w:eastAsiaTheme="majorEastAsia"/>
          <w:bCs/>
          <w:sz w:val="18"/>
          <w:szCs w:val="18"/>
        </w:rPr>
        <w:t>实际到账日之间，理财资金不计算</w:t>
      </w:r>
      <w:r>
        <w:rPr>
          <w:rFonts w:asciiTheme="majorEastAsia" w:hAnsiTheme="majorEastAsia" w:eastAsiaTheme="majorEastAsia"/>
          <w:bCs/>
          <w:sz w:val="18"/>
          <w:szCs w:val="18"/>
        </w:rPr>
        <w:t>收益</w:t>
      </w:r>
      <w:r>
        <w:rPr>
          <w:rFonts w:hint="eastAsia" w:asciiTheme="majorEastAsia" w:hAnsiTheme="majorEastAsia" w:eastAsiaTheme="majorEastAsia"/>
          <w:bCs/>
          <w:sz w:val="18"/>
          <w:szCs w:val="18"/>
        </w:rPr>
        <w:t>。</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3.理财</w:t>
      </w:r>
      <w:r>
        <w:rPr>
          <w:rFonts w:hint="eastAsia" w:asciiTheme="majorEastAsia" w:hAnsiTheme="majorEastAsia" w:eastAsiaTheme="majorEastAsia"/>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bookmarkEnd w:id="191"/>
    <w:bookmarkEnd w:id="192"/>
    <w:bookmarkEnd w:id="193"/>
    <w:p>
      <w:pPr>
        <w:pStyle w:val="2"/>
        <w:spacing w:before="0" w:after="0" w:line="360" w:lineRule="auto"/>
        <w:jc w:val="center"/>
        <w:rPr>
          <w:rFonts w:ascii="Times New Roman"/>
          <w:sz w:val="30"/>
        </w:rPr>
      </w:pPr>
      <w:r>
        <w:rPr>
          <w:rFonts w:ascii="Times New Roman"/>
          <w:b w:val="0"/>
          <w:bCs w:val="0"/>
          <w:kern w:val="2"/>
        </w:rPr>
        <w:br w:type="page"/>
      </w:r>
      <w:bookmarkStart w:id="194" w:name="_Toc74065747"/>
      <w:bookmarkStart w:id="195" w:name="_Toc141703890"/>
      <w:bookmarkStart w:id="196" w:name="_Toc139991740"/>
      <w:bookmarkStart w:id="197" w:name="_Toc3329"/>
      <w:bookmarkStart w:id="198" w:name="_Toc32092"/>
      <w:bookmarkStart w:id="199" w:name="_Toc116649659"/>
      <w:bookmarkStart w:id="200" w:name="_Toc123102457"/>
      <w:bookmarkStart w:id="201" w:name="_Toc17198"/>
      <w:bookmarkStart w:id="202" w:name="_Toc98560356"/>
      <w:bookmarkStart w:id="203" w:name="_Toc48649708"/>
      <w:bookmarkStart w:id="204" w:name="_Toc123051456"/>
      <w:bookmarkStart w:id="205" w:name="_Toc29408"/>
      <w:bookmarkStart w:id="206" w:name="_Toc79154674"/>
      <w:bookmarkStart w:id="207" w:name="_Toc21237"/>
      <w:bookmarkStart w:id="208" w:name="_Toc8791"/>
      <w:bookmarkStart w:id="209" w:name="_Toc739"/>
      <w:bookmarkStart w:id="210" w:name="_Toc79392622"/>
      <w:bookmarkStart w:id="211" w:name="_Toc123112238"/>
      <w:bookmarkStart w:id="212" w:name="_Toc5170"/>
      <w:bookmarkStart w:id="213" w:name="_Toc32584"/>
      <w:bookmarkStart w:id="214" w:name="_Toc17920"/>
      <w:r>
        <w:rPr>
          <w:rFonts w:ascii="Times New Roman"/>
          <w:sz w:val="30"/>
        </w:rPr>
        <w:t>第十一</w:t>
      </w:r>
      <w:r>
        <w:rPr>
          <w:rFonts w:hint="eastAsia" w:ascii="Times New Roman"/>
          <w:sz w:val="30"/>
        </w:rPr>
        <w:t>条</w:t>
      </w:r>
      <w:r>
        <w:rPr>
          <w:rFonts w:ascii="Times New Roman"/>
          <w:sz w:val="30"/>
        </w:rPr>
        <w:t xml:space="preserve">  </w:t>
      </w:r>
      <w:r>
        <w:rPr>
          <w:rFonts w:hint="eastAsia" w:ascii="Times New Roman"/>
          <w:sz w:val="30"/>
        </w:rPr>
        <w:t>理财产品的信息披露</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spacing w:line="360" w:lineRule="auto"/>
        <w:ind w:firstLine="361"/>
        <w:rPr>
          <w:rFonts w:ascii="宋体" w:hAnsi="宋体"/>
          <w:b/>
          <w:bCs/>
          <w:sz w:val="18"/>
          <w:szCs w:val="18"/>
        </w:rPr>
      </w:pPr>
      <w:r>
        <w:rPr>
          <w:rFonts w:hint="eastAsia" w:ascii="宋体" w:hAnsi="宋体"/>
          <w:b/>
          <w:bCs/>
          <w:sz w:val="18"/>
          <w:szCs w:val="18"/>
        </w:rPr>
        <w:t>（一）信息</w:t>
      </w:r>
      <w:r>
        <w:rPr>
          <w:rFonts w:ascii="宋体" w:hAnsi="宋体"/>
          <w:b/>
          <w:bCs/>
          <w:sz w:val="18"/>
          <w:szCs w:val="18"/>
        </w:rPr>
        <w:t>披露的原则</w:t>
      </w:r>
    </w:p>
    <w:p>
      <w:pPr>
        <w:spacing w:line="360" w:lineRule="auto"/>
        <w:ind w:firstLine="36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pPr>
        <w:spacing w:line="360" w:lineRule="auto"/>
        <w:ind w:firstLine="361"/>
        <w:rPr>
          <w:rFonts w:ascii="宋体" w:hAnsi="宋体"/>
          <w:b/>
          <w:bCs/>
          <w:sz w:val="18"/>
          <w:szCs w:val="18"/>
        </w:rPr>
      </w:pPr>
      <w:r>
        <w:rPr>
          <w:rFonts w:hint="eastAsia" w:ascii="宋体" w:hAnsi="宋体"/>
          <w:b/>
          <w:bCs/>
          <w:sz w:val="18"/>
          <w:szCs w:val="18"/>
        </w:rPr>
        <w:t>（二）信息披露的渠道</w:t>
      </w:r>
    </w:p>
    <w:p>
      <w:pPr>
        <w:spacing w:line="360" w:lineRule="auto"/>
        <w:ind w:firstLine="36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w:t>
      </w:r>
      <w:r>
        <w:rPr>
          <w:rFonts w:ascii="宋体" w:hAnsi="宋体"/>
          <w:bCs/>
          <w:sz w:val="18"/>
          <w:szCs w:val="18"/>
        </w:rPr>
        <w:t>。本理财产品认购期和存续期间，产品管理人将通过产品管理人或销售机构的信息披露渠道开展理财产品的信息披露工作。请投资者及时关注。</w:t>
      </w:r>
    </w:p>
    <w:p>
      <w:pPr>
        <w:spacing w:line="360" w:lineRule="auto"/>
        <w:ind w:firstLine="36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pPr>
        <w:spacing w:line="360" w:lineRule="auto"/>
        <w:ind w:firstLine="360"/>
        <w:rPr>
          <w:rFonts w:ascii="宋体" w:hAnsi="宋体"/>
          <w:bCs/>
          <w:sz w:val="18"/>
          <w:szCs w:val="18"/>
        </w:rPr>
      </w:pPr>
      <w:r>
        <w:rPr>
          <w:rFonts w:ascii="宋体" w:hAnsi="宋体"/>
          <w:bCs/>
          <w:sz w:val="18"/>
          <w:szCs w:val="18"/>
        </w:rPr>
        <w:t>3.投资者应定期通过约定的信息披露渠道获知有关理财产品相关信息。以上相关信息自披露之日即视为已送达投资者，也视为产品管理人</w:t>
      </w:r>
      <w:r>
        <w:rPr>
          <w:rFonts w:hint="eastAsia" w:ascii="宋体" w:hAnsi="宋体"/>
          <w:bCs/>
          <w:sz w:val="18"/>
          <w:szCs w:val="18"/>
        </w:rPr>
        <w:t>已适当披露理财产品相关信息。投资者承诺将及时接收、浏览和阅读该等信息。如投资者对本产品的运作状况有任何疑问，可向产品管理人或销售机构进行咨询。</w:t>
      </w:r>
    </w:p>
    <w:p>
      <w:pPr>
        <w:spacing w:line="360" w:lineRule="auto"/>
        <w:ind w:firstLine="360"/>
        <w:rPr>
          <w:rFonts w:ascii="宋体" w:hAnsi="宋体"/>
          <w:bCs/>
          <w:sz w:val="18"/>
          <w:szCs w:val="18"/>
        </w:rPr>
      </w:pPr>
      <w:r>
        <w:rPr>
          <w:rFonts w:ascii="宋体" w:hAnsi="宋体"/>
          <w:bCs/>
          <w:sz w:val="18"/>
          <w:szCs w:val="18"/>
        </w:rPr>
        <w:t>4.在保障投资者知情权的前提下</w:t>
      </w:r>
      <w:r>
        <w:rPr>
          <w:rFonts w:hint="eastAsia" w:ascii="宋体" w:hAnsi="宋体"/>
          <w:bCs/>
          <w:sz w:val="18"/>
          <w:szCs w:val="18"/>
        </w:rPr>
        <w:t>，</w:t>
      </w:r>
      <w:r>
        <w:rPr>
          <w:rFonts w:ascii="宋体" w:hAnsi="宋体"/>
          <w:bCs/>
          <w:sz w:val="18"/>
          <w:szCs w:val="18"/>
        </w:rPr>
        <w:t>产品管理人保留变更信息披露渠道的权利。</w:t>
      </w:r>
    </w:p>
    <w:p>
      <w:pPr>
        <w:spacing w:line="360" w:lineRule="auto"/>
        <w:ind w:firstLine="361"/>
        <w:rPr>
          <w:rFonts w:ascii="宋体" w:hAnsi="宋体"/>
          <w:b/>
          <w:bCs/>
          <w:sz w:val="18"/>
          <w:szCs w:val="18"/>
        </w:rPr>
      </w:pPr>
      <w:r>
        <w:rPr>
          <w:rFonts w:hint="eastAsia" w:ascii="宋体" w:hAnsi="宋体"/>
          <w:b/>
          <w:bCs/>
          <w:sz w:val="18"/>
          <w:szCs w:val="18"/>
        </w:rPr>
        <w:t>（三）信息披露的内容</w:t>
      </w:r>
    </w:p>
    <w:p>
      <w:pPr>
        <w:spacing w:line="360" w:lineRule="auto"/>
        <w:ind w:firstLine="36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pPr>
        <w:spacing w:line="360" w:lineRule="auto"/>
        <w:ind w:firstLine="361"/>
        <w:rPr>
          <w:rFonts w:ascii="宋体" w:hAnsi="宋体"/>
          <w:b/>
          <w:bCs/>
          <w:sz w:val="18"/>
          <w:szCs w:val="18"/>
        </w:rPr>
      </w:pPr>
      <w:r>
        <w:rPr>
          <w:rFonts w:hint="eastAsia" w:ascii="宋体" w:hAnsi="宋体"/>
          <w:b/>
          <w:bCs/>
          <w:sz w:val="18"/>
          <w:szCs w:val="18"/>
        </w:rPr>
        <w:t>（四）信息披露的频率和时间</w:t>
      </w:r>
    </w:p>
    <w:p>
      <w:pPr>
        <w:spacing w:line="360" w:lineRule="auto"/>
        <w:ind w:firstLine="360"/>
        <w:rPr>
          <w:rFonts w:ascii="宋体" w:hAnsi="宋体"/>
          <w:bCs/>
          <w:sz w:val="18"/>
          <w:szCs w:val="18"/>
        </w:rPr>
      </w:pPr>
      <w:r>
        <w:rPr>
          <w:rFonts w:ascii="宋体" w:hAnsi="宋体"/>
          <w:bCs/>
          <w:sz w:val="18"/>
          <w:szCs w:val="18"/>
        </w:rPr>
        <w:t>1.产品成立公告</w:t>
      </w:r>
    </w:p>
    <w:p>
      <w:pPr>
        <w:spacing w:line="360" w:lineRule="auto"/>
        <w:ind w:firstLine="360"/>
        <w:rPr>
          <w:rFonts w:ascii="宋体" w:hAnsi="宋体"/>
          <w:bCs/>
          <w:sz w:val="18"/>
          <w:szCs w:val="18"/>
        </w:rPr>
      </w:pPr>
      <w:r>
        <w:rPr>
          <w:rFonts w:hint="eastAsia" w:ascii="宋体" w:hAnsi="宋体"/>
          <w:bCs/>
          <w:sz w:val="18"/>
          <w:szCs w:val="18"/>
        </w:rPr>
        <w:t>本产品成立后</w:t>
      </w:r>
      <w:r>
        <w:rPr>
          <w:rFonts w:ascii="宋体" w:hAnsi="宋体"/>
          <w:bCs/>
          <w:sz w:val="18"/>
          <w:szCs w:val="18"/>
        </w:rPr>
        <w:t>5个工作日内，产品管理人将发布产品成立公告。</w:t>
      </w:r>
    </w:p>
    <w:p>
      <w:pPr>
        <w:spacing w:line="360" w:lineRule="auto"/>
        <w:ind w:firstLine="360"/>
        <w:rPr>
          <w:rFonts w:ascii="宋体" w:hAnsi="宋体"/>
          <w:bCs/>
          <w:sz w:val="18"/>
          <w:szCs w:val="18"/>
        </w:rPr>
      </w:pPr>
      <w:r>
        <w:rPr>
          <w:rFonts w:ascii="宋体" w:hAnsi="宋体"/>
          <w:bCs/>
          <w:sz w:val="18"/>
          <w:szCs w:val="18"/>
        </w:rPr>
        <w:t>2.重大事项</w:t>
      </w:r>
      <w:r>
        <w:rPr>
          <w:rFonts w:hint="eastAsia" w:ascii="宋体" w:hAnsi="宋体"/>
          <w:bCs/>
          <w:sz w:val="18"/>
          <w:szCs w:val="18"/>
        </w:rPr>
        <w:t>公告</w:t>
      </w:r>
    </w:p>
    <w:p>
      <w:pPr>
        <w:spacing w:line="360" w:lineRule="auto"/>
        <w:ind w:firstLine="36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pPr>
        <w:spacing w:line="360" w:lineRule="auto"/>
        <w:ind w:firstLine="360"/>
        <w:rPr>
          <w:rFonts w:ascii="宋体" w:hAnsi="宋体"/>
          <w:bCs/>
          <w:sz w:val="18"/>
          <w:szCs w:val="18"/>
        </w:rPr>
      </w:pPr>
      <w:r>
        <w:rPr>
          <w:rFonts w:ascii="宋体" w:hAnsi="宋体"/>
          <w:bCs/>
          <w:sz w:val="18"/>
          <w:szCs w:val="18"/>
        </w:rPr>
        <w:t>3.定期报告</w:t>
      </w:r>
    </w:p>
    <w:p>
      <w:pPr>
        <w:spacing w:line="360" w:lineRule="auto"/>
        <w:ind w:firstLine="360"/>
        <w:rPr>
          <w:rFonts w:ascii="宋体" w:hAnsi="宋体"/>
          <w:bCs/>
          <w:sz w:val="18"/>
          <w:szCs w:val="18"/>
        </w:rPr>
      </w:pPr>
      <w:r>
        <w:rPr>
          <w:rFonts w:hint="eastAsia" w:ascii="宋体" w:hAnsi="宋体"/>
          <w:bCs/>
          <w:sz w:val="18"/>
          <w:szCs w:val="18"/>
        </w:rPr>
        <w:t>定期报告分为</w:t>
      </w:r>
      <w:r>
        <w:rPr>
          <w:rFonts w:ascii="宋体" w:hAnsi="宋体"/>
          <w:bCs/>
          <w:sz w:val="18"/>
          <w:szCs w:val="18"/>
        </w:rPr>
        <w:t>季度、半年度和年度定期报告。</w:t>
      </w:r>
      <w:r>
        <w:rPr>
          <w:rFonts w:hint="eastAsia" w:ascii="宋体" w:hAnsi="宋体"/>
          <w:bCs/>
          <w:sz w:val="18"/>
          <w:szCs w:val="18"/>
        </w:rPr>
        <w:t>产品成立超过</w:t>
      </w:r>
      <w:r>
        <w:rPr>
          <w:rFonts w:ascii="宋体" w:hAnsi="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pPr>
        <w:spacing w:line="360" w:lineRule="auto"/>
        <w:ind w:firstLine="360"/>
        <w:rPr>
          <w:rFonts w:ascii="宋体" w:hAnsi="宋体"/>
          <w:bCs/>
          <w:sz w:val="18"/>
          <w:szCs w:val="18"/>
        </w:rPr>
      </w:pPr>
      <w:r>
        <w:rPr>
          <w:rFonts w:ascii="宋体" w:hAnsi="宋体"/>
          <w:bCs/>
          <w:sz w:val="18"/>
          <w:szCs w:val="18"/>
        </w:rPr>
        <w:t>4.到期公告</w:t>
      </w:r>
    </w:p>
    <w:p>
      <w:pPr>
        <w:spacing w:line="360" w:lineRule="auto"/>
        <w:ind w:firstLine="360"/>
        <w:rPr>
          <w:rFonts w:ascii="宋体" w:hAnsi="宋体"/>
          <w:bCs/>
          <w:sz w:val="18"/>
          <w:szCs w:val="18"/>
        </w:rPr>
      </w:pPr>
      <w:r>
        <w:rPr>
          <w:rFonts w:hint="eastAsia" w:ascii="宋体" w:hAnsi="宋体"/>
          <w:bCs/>
          <w:sz w:val="18"/>
          <w:szCs w:val="18"/>
        </w:rPr>
        <w:t>如果产品管理人主动提前终止本产品，产品管理人将提前</w:t>
      </w:r>
      <w:r>
        <w:rPr>
          <w:rFonts w:ascii="宋体" w:hAnsi="宋体"/>
          <w:bCs/>
          <w:sz w:val="18"/>
          <w:szCs w:val="18"/>
        </w:rPr>
        <w:t>2个工作日进行公告。本产品终止后5个工作日内，产品管理人发布产品到期公告。</w:t>
      </w:r>
    </w:p>
    <w:p>
      <w:pPr>
        <w:spacing w:line="360" w:lineRule="auto"/>
        <w:ind w:firstLine="360"/>
        <w:rPr>
          <w:rFonts w:ascii="宋体" w:hAnsi="宋体"/>
          <w:bCs/>
          <w:sz w:val="18"/>
          <w:szCs w:val="18"/>
        </w:rPr>
      </w:pPr>
      <w:r>
        <w:rPr>
          <w:rFonts w:ascii="宋体" w:hAnsi="宋体"/>
          <w:bCs/>
          <w:sz w:val="18"/>
          <w:szCs w:val="18"/>
        </w:rPr>
        <w:t>5.估值日公告</w:t>
      </w:r>
    </w:p>
    <w:p>
      <w:pPr>
        <w:spacing w:line="360" w:lineRule="auto"/>
        <w:ind w:firstLine="360"/>
        <w:rPr>
          <w:rFonts w:ascii="宋体" w:hAnsi="宋体"/>
          <w:bCs/>
          <w:sz w:val="18"/>
          <w:szCs w:val="18"/>
        </w:rPr>
      </w:pPr>
      <w:r>
        <w:rPr>
          <w:rFonts w:hint="eastAsia" w:ascii="宋体" w:hAnsi="宋体"/>
          <w:bCs/>
          <w:sz w:val="18"/>
          <w:szCs w:val="18"/>
        </w:rPr>
        <w:t>产品</w:t>
      </w:r>
      <w:r>
        <w:rPr>
          <w:rFonts w:ascii="宋体" w:hAnsi="宋体"/>
          <w:bCs/>
          <w:sz w:val="18"/>
          <w:szCs w:val="18"/>
        </w:rPr>
        <w:t>存续</w:t>
      </w:r>
      <w:r>
        <w:rPr>
          <w:rFonts w:hint="eastAsia" w:ascii="宋体" w:hAnsi="宋体"/>
          <w:bCs/>
          <w:sz w:val="18"/>
          <w:szCs w:val="18"/>
        </w:rPr>
        <w:t>期间，每【周】向投资者披露一次估值日公告，估值日公告披露的内容包括估值日的产品份额净值、产品份额累计净值等。如遇法定节假日顺延。此外，如遇其他特殊情况，以产品管理人信息披露为准。</w:t>
      </w:r>
    </w:p>
    <w:p>
      <w:pPr>
        <w:spacing w:line="360" w:lineRule="auto"/>
        <w:ind w:firstLine="360"/>
        <w:rPr>
          <w:rFonts w:ascii="宋体" w:hAnsi="宋体"/>
          <w:bCs/>
          <w:sz w:val="18"/>
          <w:szCs w:val="18"/>
        </w:rPr>
      </w:pPr>
      <w:r>
        <w:rPr>
          <w:rFonts w:ascii="宋体" w:hAnsi="宋体"/>
          <w:bCs/>
          <w:sz w:val="18"/>
          <w:szCs w:val="18"/>
        </w:rPr>
        <w:t>6.临时公告</w:t>
      </w:r>
    </w:p>
    <w:p>
      <w:pPr>
        <w:spacing w:line="360" w:lineRule="auto"/>
        <w:ind w:firstLine="361"/>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1）</w:t>
      </w:r>
      <w:r>
        <w:rPr>
          <w:rFonts w:hint="eastAsia" w:ascii="黑体" w:hAnsi="黑体" w:eastAsia="黑体"/>
          <w:b/>
          <w:bCs/>
          <w:sz w:val="18"/>
          <w:szCs w:val="18"/>
        </w:rPr>
        <w:t>★产品管理人</w:t>
      </w:r>
      <w:r>
        <w:rPr>
          <w:rFonts w:ascii="黑体" w:hAnsi="黑体" w:eastAsia="黑体"/>
          <w:b/>
          <w:bCs/>
          <w:sz w:val="18"/>
          <w:szCs w:val="18"/>
        </w:rPr>
        <w:t>对</w:t>
      </w:r>
      <w:r>
        <w:rPr>
          <w:rFonts w:hint="eastAsia" w:ascii="黑体" w:hAnsi="黑体" w:eastAsia="黑体"/>
          <w:b/>
          <w:bCs/>
          <w:sz w:val="18"/>
          <w:szCs w:val="18"/>
        </w:rPr>
        <w:t>投资范围、投资资产种类、</w:t>
      </w:r>
      <w:r>
        <w:rPr>
          <w:rFonts w:ascii="黑体" w:hAnsi="黑体" w:eastAsia="黑体"/>
          <w:b/>
          <w:bCs/>
          <w:sz w:val="18"/>
          <w:szCs w:val="18"/>
        </w:rPr>
        <w:t>投资</w:t>
      </w:r>
      <w:r>
        <w:rPr>
          <w:rFonts w:hint="eastAsia" w:ascii="黑体" w:hAnsi="黑体" w:eastAsia="黑体"/>
          <w:b/>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b/>
          <w:bCs/>
          <w:sz w:val="18"/>
          <w:szCs w:val="18"/>
        </w:rPr>
        <w:t>2个工作日发布变更公告</w:t>
      </w:r>
      <w:r>
        <w:rPr>
          <w:rFonts w:hint="eastAsia" w:ascii="黑体" w:hAnsi="黑体" w:eastAsia="黑体"/>
          <w:b/>
          <w:bCs/>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认购申请、暂停理财产品估值</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在发生涉及产品认购事项调整时，管理人将发布临时公告。</w:t>
      </w:r>
    </w:p>
    <w:p>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pPr>
        <w:spacing w:line="360" w:lineRule="auto"/>
        <w:ind w:firstLine="361"/>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4）★在本产品存续期内，如因国家法律法规、监管规定发生变化，或是出于维护本产品正常运营的需要，在不损害投资者</w:t>
      </w:r>
      <w:r>
        <w:rPr>
          <w:rFonts w:hint="eastAsia" w:ascii="黑体" w:hAnsi="黑体" w:eastAsia="黑体"/>
          <w:b/>
          <w:bCs/>
          <w:sz w:val="18"/>
          <w:szCs w:val="18"/>
        </w:rPr>
        <w:t>权益</w:t>
      </w:r>
      <w:r>
        <w:rPr>
          <w:rFonts w:ascii="黑体" w:hAnsi="黑体" w:eastAsia="黑体"/>
          <w:b/>
          <w:bCs/>
          <w:sz w:val="18"/>
          <w:szCs w:val="18"/>
        </w:rPr>
        <w:t>的前提下，</w:t>
      </w:r>
      <w:r>
        <w:rPr>
          <w:rFonts w:hint="eastAsia" w:ascii="黑体" w:hAnsi="黑体" w:eastAsia="黑体"/>
          <w:b/>
          <w:bCs/>
          <w:sz w:val="18"/>
          <w:szCs w:val="18"/>
        </w:rPr>
        <w:t>产品管理人</w:t>
      </w:r>
      <w:r>
        <w:rPr>
          <w:rFonts w:ascii="黑体" w:hAnsi="黑体" w:eastAsia="黑体"/>
          <w:b/>
          <w:bCs/>
          <w:sz w:val="18"/>
          <w:szCs w:val="18"/>
        </w:rPr>
        <w:t>有权对</w:t>
      </w:r>
      <w:r>
        <w:rPr>
          <w:rFonts w:hint="eastAsia" w:ascii="黑体" w:hAnsi="黑体" w:eastAsia="黑体"/>
          <w:b/>
          <w:bCs/>
          <w:sz w:val="18"/>
          <w:szCs w:val="18"/>
        </w:rPr>
        <w:t>理财产品销售文件</w:t>
      </w:r>
      <w:r>
        <w:rPr>
          <w:rFonts w:ascii="黑体" w:hAnsi="黑体" w:eastAsia="黑体"/>
          <w:b/>
          <w:bCs/>
          <w:sz w:val="18"/>
          <w:szCs w:val="18"/>
        </w:rPr>
        <w:t>进行修订，并提前2个工作日进行</w:t>
      </w:r>
      <w:r>
        <w:rPr>
          <w:rFonts w:hint="eastAsia" w:ascii="黑体" w:hAnsi="黑体" w:eastAsia="黑体"/>
          <w:b/>
          <w:bCs/>
          <w:sz w:val="18"/>
          <w:szCs w:val="18"/>
        </w:rPr>
        <w:t>公告</w:t>
      </w:r>
      <w:r>
        <w:rPr>
          <w:rFonts w:ascii="黑体" w:hAnsi="黑体" w:eastAsia="黑体"/>
          <w:b/>
          <w:bCs/>
          <w:sz w:val="18"/>
          <w:szCs w:val="18"/>
        </w:rPr>
        <w:t>。</w:t>
      </w:r>
    </w:p>
    <w:p>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pPr>
        <w:spacing w:line="360" w:lineRule="auto"/>
        <w:ind w:firstLine="360"/>
        <w:rPr>
          <w:rFonts w:ascii="宋体" w:hAnsi="宋体"/>
          <w:bCs/>
          <w:sz w:val="18"/>
          <w:szCs w:val="18"/>
        </w:rPr>
      </w:pPr>
      <w:r>
        <w:rPr>
          <w:rFonts w:hint="eastAsia" w:ascii="宋体" w:hAnsi="宋体"/>
          <w:bCs/>
          <w:sz w:val="18"/>
          <w:szCs w:val="18"/>
        </w:rPr>
        <w:t>除前述事项外，如出现其他突发事件，需在事件发生后及时进行披露。</w:t>
      </w:r>
    </w:p>
    <w:p>
      <w:pPr>
        <w:spacing w:line="360" w:lineRule="auto"/>
        <w:ind w:firstLine="361" w:firstLineChars="200"/>
        <w:rPr>
          <w:rFonts w:ascii="黑体" w:hAnsi="黑体" w:eastAsia="黑体"/>
          <w:b/>
          <w:bCs/>
          <w:sz w:val="18"/>
          <w:szCs w:val="18"/>
        </w:rPr>
      </w:pPr>
      <w:r>
        <w:rPr>
          <w:rFonts w:hint="eastAsia" w:ascii="黑体" w:hAnsi="黑体" w:eastAsia="黑体"/>
          <w:b/>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b/>
          <w:bCs/>
          <w:sz w:val="18"/>
          <w:szCs w:val="18"/>
        </w:rPr>
        <w:t>并提前2个工作日进行</w:t>
      </w:r>
      <w:r>
        <w:rPr>
          <w:rFonts w:hint="eastAsia" w:ascii="黑体" w:hAnsi="黑体" w:eastAsia="黑体"/>
          <w:b/>
          <w:bCs/>
          <w:sz w:val="18"/>
          <w:szCs w:val="18"/>
        </w:rPr>
        <w:t>公告。若投资者未选择退出本产品的，则视为已理解并接受管理人的相应变更。</w:t>
      </w:r>
    </w:p>
    <w:p>
      <w:pPr>
        <w:widowControl/>
        <w:spacing w:line="360" w:lineRule="auto"/>
        <w:jc w:val="left"/>
        <w:rPr>
          <w:bCs/>
          <w:sz w:val="24"/>
        </w:rPr>
      </w:pPr>
      <w:r>
        <w:rPr>
          <w:bCs/>
          <w:sz w:val="24"/>
        </w:rPr>
        <w:br w:type="page"/>
      </w:r>
    </w:p>
    <w:p>
      <w:pPr>
        <w:pStyle w:val="2"/>
        <w:spacing w:before="0" w:after="0" w:line="360" w:lineRule="auto"/>
        <w:jc w:val="center"/>
        <w:rPr>
          <w:rFonts w:ascii="Times New Roman"/>
          <w:b w:val="0"/>
          <w:sz w:val="30"/>
        </w:rPr>
      </w:pPr>
      <w:bookmarkStart w:id="215" w:name="_Toc79154675"/>
      <w:bookmarkStart w:id="216" w:name="_Toc116649660"/>
      <w:r>
        <w:rPr>
          <w:rFonts w:hint="eastAsia" w:ascii="Times New Roman"/>
          <w:sz w:val="30"/>
        </w:rPr>
        <w:t>第十</w:t>
      </w:r>
      <w:r>
        <w:rPr>
          <w:rFonts w:ascii="Times New Roman"/>
          <w:sz w:val="30"/>
        </w:rPr>
        <w:t>二</w:t>
      </w:r>
      <w:r>
        <w:rPr>
          <w:rFonts w:hint="eastAsia" w:ascii="Times New Roman"/>
          <w:sz w:val="30"/>
        </w:rPr>
        <w:t>条</w:t>
      </w:r>
      <w:r>
        <w:rPr>
          <w:rFonts w:ascii="Times New Roman"/>
          <w:sz w:val="30"/>
        </w:rPr>
        <w:t xml:space="preserve">  </w:t>
      </w:r>
      <w:r>
        <w:rPr>
          <w:rFonts w:hint="eastAsia" w:ascii="Times New Roman"/>
          <w:sz w:val="30"/>
        </w:rPr>
        <w:t>理财产品</w:t>
      </w:r>
      <w:r>
        <w:rPr>
          <w:rFonts w:ascii="Times New Roman"/>
          <w:sz w:val="30"/>
        </w:rPr>
        <w:t>的风险揭示</w:t>
      </w:r>
      <w:bookmarkEnd w:id="215"/>
      <w:bookmarkEnd w:id="216"/>
    </w:p>
    <w:p>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spacing w:line="360" w:lineRule="auto"/>
        <w:ind w:firstLine="360" w:firstLineChars="200"/>
        <w:rPr>
          <w:rFonts w:ascii="宋体" w:hAnsi="宋体"/>
          <w:sz w:val="18"/>
          <w:szCs w:val="18"/>
        </w:rPr>
      </w:pPr>
      <w:r>
        <w:rPr>
          <w:rFonts w:hint="eastAsia" w:ascii="宋体" w:hAnsi="宋体"/>
          <w:sz w:val="18"/>
          <w:szCs w:val="18"/>
        </w:rPr>
        <w:t>【1、拟投资市场和资产的风险：</w:t>
      </w:r>
    </w:p>
    <w:p>
      <w:pPr>
        <w:spacing w:line="360" w:lineRule="auto"/>
        <w:ind w:firstLine="360" w:firstLineChars="200"/>
        <w:rPr>
          <w:rFonts w:ascii="宋体" w:hAnsi="宋体"/>
          <w:sz w:val="18"/>
          <w:szCs w:val="18"/>
        </w:rPr>
      </w:pPr>
      <w:r>
        <w:rPr>
          <w:rFonts w:hint="eastAsia" w:ascii="宋体" w:hAnsi="宋体"/>
          <w:sz w:val="18"/>
          <w:szCs w:val="18"/>
        </w:rPr>
        <w:t>（1）投资债权类资产的风险</w:t>
      </w:r>
    </w:p>
    <w:p>
      <w:pPr>
        <w:spacing w:line="360" w:lineRule="auto"/>
        <w:ind w:firstLine="360" w:firstLineChars="200"/>
        <w:rPr>
          <w:rFonts w:ascii="宋体" w:hAnsi="宋体"/>
          <w:sz w:val="18"/>
          <w:szCs w:val="18"/>
        </w:rPr>
      </w:pPr>
      <w:r>
        <w:rPr>
          <w:rFonts w:hint="eastAsia" w:ascii="宋体" w:hAnsi="宋体"/>
          <w:sz w:val="18"/>
          <w:szCs w:val="18"/>
        </w:rPr>
        <w:t>1）投资标准化债权类资产的风险</w:t>
      </w:r>
    </w:p>
    <w:p>
      <w:pPr>
        <w:spacing w:line="360" w:lineRule="auto"/>
        <w:ind w:firstLine="360" w:firstLineChars="200"/>
        <w:rPr>
          <w:rFonts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spacing w:line="360" w:lineRule="auto"/>
        <w:ind w:firstLine="360" w:firstLineChars="200"/>
        <w:rPr>
          <w:rFonts w:ascii="宋体" w:hAnsi="宋体"/>
          <w:sz w:val="18"/>
          <w:szCs w:val="18"/>
        </w:rPr>
      </w:pPr>
      <w:r>
        <w:rPr>
          <w:rFonts w:hint="eastAsia" w:ascii="宋体" w:hAnsi="宋体"/>
          <w:sz w:val="18"/>
          <w:szCs w:val="18"/>
        </w:rPr>
        <w:t>2）投资非标准化债权类资产的风险</w:t>
      </w:r>
    </w:p>
    <w:p>
      <w:pPr>
        <w:spacing w:line="360" w:lineRule="auto"/>
        <w:ind w:firstLine="360" w:firstLineChars="200"/>
        <w:rPr>
          <w:rFonts w:ascii="宋体" w:hAnsi="宋体"/>
          <w:sz w:val="18"/>
          <w:szCs w:val="18"/>
        </w:rPr>
      </w:pPr>
      <w:r>
        <w:rPr>
          <w:rFonts w:hint="eastAsia" w:ascii="宋体" w:hAnsi="宋体"/>
          <w:sz w:val="18"/>
          <w:szCs w:val="18"/>
        </w:rPr>
        <w:t>本产品投资非标债权类资产时可能面临以下风险：由于融资主体/增信主体/其他义务人还款履约能力可能的变化导致的信用风险（包括但不限于：融资主体提前还款、延期还款或逾期还款的风险；增信主体未能履行增信义务（例如：保证担保、差额补足、远期回购、流动性支持等增信措施）的风险）；非标债权类资产可能因其无法等分化交易、信息披露不充分、未能集中登记和独立托管、缺乏公允性定价和流动机制不完善、未在银行间市场、证券交易所市场等国务院同意设立的交易市场交易等原因，从而缺乏交易对手，导致流动性风险等。</w:t>
      </w:r>
    </w:p>
    <w:p>
      <w:pPr>
        <w:spacing w:line="360" w:lineRule="auto"/>
        <w:ind w:firstLine="360" w:firstLineChars="200"/>
        <w:rPr>
          <w:rFonts w:ascii="宋体" w:hAnsi="宋体"/>
          <w:bCs/>
          <w:sz w:val="18"/>
          <w:szCs w:val="18"/>
        </w:rPr>
      </w:pPr>
      <w:r>
        <w:rPr>
          <w:rFonts w:hint="eastAsia" w:ascii="宋体" w:hAnsi="宋体"/>
          <w:bCs/>
          <w:sz w:val="18"/>
          <w:szCs w:val="18"/>
        </w:rPr>
        <w:t xml:space="preserve">（2）投资商品和金融衍生品类资产的风险 </w:t>
      </w:r>
    </w:p>
    <w:p>
      <w:pPr>
        <w:spacing w:line="360" w:lineRule="auto"/>
        <w:ind w:firstLine="360" w:firstLineChars="200"/>
        <w:rPr>
          <w:rFonts w:ascii="宋体" w:hAnsi="宋体"/>
          <w:sz w:val="18"/>
          <w:szCs w:val="18"/>
        </w:rPr>
      </w:pPr>
      <w:r>
        <w:rPr>
          <w:rFonts w:hint="eastAsia" w:ascii="宋体" w:hAnsi="宋体"/>
          <w:bCs/>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r>
        <w:rPr>
          <w:rFonts w:hint="eastAsia" w:ascii="宋体" w:hAnsi="宋体"/>
          <w:sz w:val="18"/>
          <w:szCs w:val="18"/>
        </w:rPr>
        <w:t>】</w:t>
      </w:r>
    </w:p>
    <w:p>
      <w:pPr>
        <w:pStyle w:val="12"/>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spacing w:line="360" w:lineRule="auto"/>
        <w:ind w:firstLine="360" w:firstLineChars="200"/>
        <w:rPr>
          <w:rFonts w:ascii="宋体" w:hAnsi="宋体"/>
          <w:sz w:val="18"/>
          <w:szCs w:val="18"/>
        </w:rPr>
      </w:pPr>
      <w:r>
        <w:rPr>
          <w:rFonts w:hint="eastAsia" w:ascii="宋体" w:hAnsi="宋体"/>
          <w:sz w:val="18"/>
          <w:szCs w:val="18"/>
        </w:rPr>
        <w:t>4.流动性风险</w:t>
      </w:r>
    </w:p>
    <w:p>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w:t>
      </w:r>
      <w:r>
        <w:rPr>
          <w:rFonts w:hint="eastAsia" w:ascii="宋体" w:hAnsi="宋体"/>
          <w:sz w:val="18"/>
          <w:szCs w:val="18"/>
        </w:rPr>
        <w:t>终止</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当前述资产管理产品计提业绩报酬时，本理财产品的产品份额净值存在下跌的风险。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理财投资基础资产时涉及对资产估值不准确、及时的，理财产品管理人及产品托管人对理财产品费用计提出现错误，将导致本产品估值差错，可能影响理财产品份额净值。</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w:t>
      </w:r>
      <w:r>
        <w:rPr>
          <w:rFonts w:hint="eastAsia" w:ascii="宋体" w:hAnsi="宋体"/>
          <w:sz w:val="18"/>
          <w:szCs w:val="18"/>
        </w:rPr>
        <w:t>关联交易风险</w:t>
      </w:r>
    </w:p>
    <w:p>
      <w:pPr>
        <w:spacing w:line="360" w:lineRule="auto"/>
        <w:ind w:firstLine="360" w:firstLineChars="20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hint="eastAsia" w:ascii="宋体" w:hAnsi="宋体"/>
          <w:sz w:val="18"/>
          <w:szCs w:val="18"/>
        </w:rPr>
        <w:t>仍可能产生</w:t>
      </w:r>
      <w:r>
        <w:rPr>
          <w:rFonts w:ascii="宋体" w:hAnsi="宋体"/>
          <w:sz w:val="18"/>
          <w:szCs w:val="18"/>
        </w:rPr>
        <w:t>不利影响和投资</w:t>
      </w:r>
      <w:r>
        <w:rPr>
          <w:rFonts w:hint="eastAsia" w:ascii="宋体" w:hAnsi="宋体"/>
          <w:sz w:val="18"/>
          <w:szCs w:val="18"/>
        </w:rPr>
        <w:t>风险，进而可能影响投资者的利益。</w:t>
      </w:r>
    </w:p>
    <w:p>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widowControl/>
        <w:jc w:val="left"/>
        <w:rPr>
          <w:rFonts w:ascii="宋体" w:hAnsi="宋体"/>
          <w:color w:val="000000"/>
          <w:kern w:val="0"/>
          <w:sz w:val="18"/>
          <w:szCs w:val="18"/>
        </w:rPr>
      </w:pPr>
      <w:r>
        <w:rPr>
          <w:rFonts w:hAnsi="宋体"/>
          <w:sz w:val="18"/>
          <w:szCs w:val="18"/>
        </w:rPr>
        <w:br w:type="page"/>
      </w:r>
    </w:p>
    <w:tbl>
      <w:tblPr>
        <w:tblStyle w:val="8"/>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pPr>
              <w:spacing w:line="280" w:lineRule="atLeast"/>
              <w:ind w:firstLine="422"/>
              <w:jc w:val="center"/>
              <w:rPr>
                <w:rFonts w:ascii="宋体" w:hAnsi="宋体" w:cs="Arial"/>
                <w:b/>
                <w:szCs w:val="21"/>
              </w:rPr>
            </w:pPr>
            <w:r>
              <w:rPr>
                <w:rFonts w:hint="eastAsia" w:ascii="宋体" w:hAnsi="宋体" w:cs="Arial"/>
                <w:b/>
                <w:szCs w:val="21"/>
              </w:rPr>
              <w:t>投资者确认栏</w:t>
            </w:r>
          </w:p>
          <w:p>
            <w:pPr>
              <w:spacing w:line="360" w:lineRule="auto"/>
              <w:ind w:firstLine="361"/>
              <w:rPr>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pPr>
              <w:spacing w:line="360" w:lineRule="auto"/>
              <w:jc w:val="left"/>
              <w:rPr>
                <w:b/>
                <w:sz w:val="18"/>
                <w:szCs w:val="18"/>
              </w:rPr>
            </w:pPr>
            <w:r>
              <w:rPr>
                <w:rFonts w:hint="eastAsia"/>
                <w:b/>
                <w:sz w:val="18"/>
                <w:szCs w:val="18"/>
              </w:rPr>
              <w:t>个人投资者适用</w:t>
            </w:r>
          </w:p>
        </w:tc>
        <w:tc>
          <w:tcPr>
            <w:tcW w:w="7371" w:type="dxa"/>
          </w:tcPr>
          <w:p>
            <w:pPr>
              <w:spacing w:line="360" w:lineRule="auto"/>
              <w:ind w:firstLine="360"/>
              <w:jc w:val="left"/>
              <w:rPr>
                <w:sz w:val="18"/>
                <w:szCs w:val="18"/>
              </w:rPr>
            </w:pPr>
            <w:r>
              <w:rPr>
                <w:rFonts w:hint="eastAsia"/>
                <w:sz w:val="18"/>
                <w:szCs w:val="18"/>
              </w:rPr>
              <w:t>投资者（签字）：</w:t>
            </w:r>
          </w:p>
          <w:p>
            <w:pPr>
              <w:spacing w:line="360" w:lineRule="auto"/>
              <w:ind w:firstLine="361"/>
              <w:jc w:val="left"/>
              <w:rPr>
                <w:b/>
                <w:sz w:val="18"/>
                <w:szCs w:val="18"/>
              </w:rPr>
            </w:pPr>
          </w:p>
          <w:p>
            <w:pPr>
              <w:spacing w:line="360" w:lineRule="auto"/>
              <w:ind w:firstLine="360"/>
              <w:jc w:val="left"/>
              <w:rPr>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pPr>
              <w:spacing w:line="360" w:lineRule="auto"/>
              <w:jc w:val="left"/>
              <w:rPr>
                <w:b/>
                <w:sz w:val="18"/>
                <w:szCs w:val="18"/>
              </w:rPr>
            </w:pPr>
            <w:r>
              <w:rPr>
                <w:rFonts w:hint="eastAsia"/>
                <w:b/>
                <w:sz w:val="18"/>
                <w:szCs w:val="18"/>
              </w:rPr>
              <w:t>机构投资者适用</w:t>
            </w:r>
          </w:p>
        </w:tc>
        <w:tc>
          <w:tcPr>
            <w:tcW w:w="7371" w:type="dxa"/>
          </w:tcPr>
          <w:p>
            <w:pPr>
              <w:spacing w:line="360" w:lineRule="auto"/>
              <w:ind w:firstLine="360"/>
              <w:jc w:val="left"/>
              <w:rPr>
                <w:rFonts w:cs="Arial"/>
                <w:sz w:val="18"/>
                <w:szCs w:val="18"/>
              </w:rPr>
            </w:pPr>
            <w:r>
              <w:rPr>
                <w:rFonts w:hint="eastAsia"/>
                <w:sz w:val="18"/>
                <w:szCs w:val="18"/>
              </w:rPr>
              <w:t>投资者</w:t>
            </w:r>
            <w:r>
              <w:rPr>
                <w:rFonts w:hint="eastAsia" w:cs="Arial"/>
                <w:sz w:val="18"/>
                <w:szCs w:val="18"/>
              </w:rPr>
              <w:t>（盖章）：</w:t>
            </w:r>
          </w:p>
          <w:p>
            <w:pPr>
              <w:spacing w:line="360" w:lineRule="auto"/>
              <w:ind w:firstLine="360"/>
              <w:jc w:val="left"/>
              <w:rPr>
                <w:rFonts w:cs="Arial"/>
                <w:sz w:val="18"/>
                <w:szCs w:val="18"/>
              </w:rPr>
            </w:pPr>
          </w:p>
          <w:p>
            <w:pPr>
              <w:spacing w:line="360" w:lineRule="auto"/>
              <w:ind w:firstLine="360"/>
              <w:jc w:val="left"/>
              <w:rPr>
                <w:rFonts w:cs="Arial"/>
                <w:sz w:val="18"/>
                <w:szCs w:val="18"/>
              </w:rPr>
            </w:pPr>
            <w:r>
              <w:rPr>
                <w:rFonts w:hint="eastAsia" w:cs="Arial"/>
                <w:sz w:val="18"/>
                <w:szCs w:val="18"/>
              </w:rPr>
              <w:t>投资者法定代表人或授权代理人（签字或盖章）：</w:t>
            </w:r>
          </w:p>
          <w:p>
            <w:pPr>
              <w:spacing w:line="360" w:lineRule="auto"/>
              <w:ind w:firstLine="360"/>
              <w:jc w:val="left"/>
              <w:rPr>
                <w:sz w:val="18"/>
                <w:szCs w:val="18"/>
              </w:rPr>
            </w:pPr>
            <w:r>
              <w:rPr>
                <w:rFonts w:hint="eastAsia"/>
                <w:sz w:val="18"/>
                <w:szCs w:val="18"/>
              </w:rPr>
              <w:t>日期：</w:t>
            </w:r>
          </w:p>
        </w:tc>
      </w:tr>
    </w:tbl>
    <w:p>
      <w:pPr>
        <w:spacing w:line="360" w:lineRule="auto"/>
        <w:jc w:val="left"/>
        <w:rPr>
          <w:bCs/>
        </w:rPr>
      </w:pPr>
      <w:r>
        <w:rPr>
          <w:rFonts w:hint="eastAsia" w:ascii="宋体" w:hAnsi="宋体"/>
          <w:b/>
          <w:sz w:val="18"/>
          <w:szCs w:val="18"/>
        </w:rPr>
        <w:t>（本《产品说明书》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pPr>
        <w:pStyle w:val="14"/>
        <w:spacing w:line="360" w:lineRule="auto"/>
        <w:rPr>
          <w:rFonts w:hAnsi="宋体"/>
          <w:sz w:val="18"/>
          <w:szCs w:val="18"/>
        </w:rPr>
      </w:pPr>
    </w:p>
    <w:p>
      <w:pPr>
        <w:spacing w:line="360" w:lineRule="auto"/>
        <w:jc w:val="left"/>
        <w:rPr>
          <w:rFonts w:hint="eastAsia" w:ascii="宋体" w:hAnsi="宋体"/>
          <w:b/>
          <w:sz w:val="18"/>
          <w:szCs w:val="18"/>
        </w:rPr>
        <w:sectPr>
          <w:headerReference r:id="rId5" w:type="default"/>
          <w:footerReference r:id="rId6" w:type="default"/>
          <w:pgSz w:w="11906" w:h="16838"/>
          <w:pgMar w:top="1276" w:right="1800" w:bottom="1418" w:left="1800" w:header="567" w:footer="964" w:gutter="0"/>
          <w:pgNumType w:start="1"/>
          <w:cols w:space="425" w:num="1"/>
          <w:docGrid w:type="lines" w:linePitch="312" w:charSpace="0"/>
        </w:sectPr>
      </w:pPr>
    </w:p>
    <w:p>
      <w:pPr>
        <w:widowControl/>
        <w:spacing w:before="156"/>
        <w:jc w:val="center"/>
        <w:rPr>
          <w:rFonts w:ascii="黑体" w:hAnsi="黑体" w:eastAsia="黑体"/>
          <w:b/>
          <w:sz w:val="28"/>
          <w:szCs w:val="28"/>
        </w:rPr>
      </w:pPr>
      <w:r>
        <w:rPr>
          <w:rFonts w:hint="eastAsia" w:ascii="黑体" w:hAnsi="黑体" w:eastAsia="黑体"/>
          <w:b/>
          <w:sz w:val="28"/>
          <w:szCs w:val="28"/>
        </w:rPr>
        <w:t>兴银理财【稳利安盈封闭式】理财产品</w:t>
      </w:r>
    </w:p>
    <w:p>
      <w:pPr>
        <w:widowControl/>
        <w:spacing w:before="156"/>
        <w:jc w:val="center"/>
        <w:rPr>
          <w:rFonts w:ascii="黑体" w:hAnsi="黑体" w:eastAsia="黑体"/>
          <w:b/>
          <w:sz w:val="28"/>
          <w:szCs w:val="28"/>
        </w:rPr>
      </w:pPr>
      <w:r>
        <w:rPr>
          <w:rFonts w:hint="eastAsia" w:ascii="黑体" w:hAnsi="黑体" w:eastAsia="黑体"/>
          <w:b/>
          <w:sz w:val="28"/>
          <w:szCs w:val="28"/>
        </w:rPr>
        <w:t>（代理）销售协议书</w:t>
      </w:r>
    </w:p>
    <w:p>
      <w:pPr>
        <w:autoSpaceDE w:val="0"/>
        <w:autoSpaceDN w:val="0"/>
        <w:adjustRightInd w:val="0"/>
        <w:snapToGrid w:val="0"/>
        <w:spacing w:before="156" w:beforeLines="50" w:line="320" w:lineRule="exact"/>
        <w:jc w:val="center"/>
        <w:rPr>
          <w:rFonts w:ascii="宋体" w:hAnsi="宋体"/>
          <w:b/>
          <w:sz w:val="32"/>
          <w:szCs w:val="32"/>
        </w:rPr>
      </w:pPr>
      <w:r>
        <w:rPr>
          <w:rFonts w:hint="eastAsia" w:ascii="宋体" w:hAnsi="宋体"/>
          <w:b/>
          <w:sz w:val="24"/>
        </w:rPr>
        <w:t>理财非存款、产品有风险、投资须谨慎</w:t>
      </w:r>
    </w:p>
    <w:p>
      <w:pPr>
        <w:tabs>
          <w:tab w:val="left" w:pos="8070"/>
          <w:tab w:val="right" w:pos="8306"/>
        </w:tabs>
        <w:autoSpaceDE w:val="0"/>
        <w:autoSpaceDN w:val="0"/>
        <w:adjustRightInd w:val="0"/>
        <w:snapToGrid w:val="0"/>
        <w:spacing w:before="156" w:beforeLines="50" w:line="320" w:lineRule="exact"/>
        <w:jc w:val="center"/>
        <w:rPr>
          <w:rFonts w:ascii="宋体" w:hAnsi="宋体"/>
          <w:b/>
          <w:szCs w:val="21"/>
          <w:u w:val="single"/>
        </w:rPr>
      </w:pPr>
      <w:r>
        <w:rPr>
          <w:rFonts w:hint="eastAsia" w:ascii="宋体" w:hAnsi="宋体"/>
          <w:b/>
          <w:szCs w:val="21"/>
        </w:rPr>
        <w:t>协议编号：</w:t>
      </w:r>
    </w:p>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7"/>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20" w:lineRule="exact"/>
              <w:jc w:val="center"/>
              <w:rPr>
                <w:rFonts w:ascii="宋体" w:hAnsi="宋体"/>
                <w:b/>
                <w:bCs/>
                <w:sz w:val="28"/>
                <w:szCs w:val="28"/>
              </w:rPr>
            </w:pPr>
            <w:r>
              <w:rPr>
                <w:rFonts w:hint="eastAsia" w:ascii="宋体" w:hAnsi="宋体"/>
                <w:b/>
                <w:bCs/>
                <w:sz w:val="28"/>
                <w:szCs w:val="28"/>
              </w:rPr>
              <w:t>信息栏</w:t>
            </w:r>
          </w:p>
          <w:p>
            <w:pPr>
              <w:pStyle w:val="4"/>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pPr>
              <w:pStyle w:val="4"/>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投资者信息</w:t>
            </w:r>
          </w:p>
        </w:tc>
        <w:tc>
          <w:tcPr>
            <w:tcW w:w="635"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个人投资者适用</w:t>
            </w:r>
          </w:p>
        </w:tc>
        <w:tc>
          <w:tcPr>
            <w:tcW w:w="1085"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姓名</w:t>
            </w:r>
          </w:p>
        </w:tc>
        <w:tc>
          <w:tcPr>
            <w:tcW w:w="5061" w:type="dxa"/>
            <w:gridSpan w:val="3"/>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shd w:val="solid" w:color="FFFFFF" w:fill="FFFFFF"/>
            <w:vAlign w:val="center"/>
          </w:tcPr>
          <w:p>
            <w:pPr>
              <w:spacing w:line="320" w:lineRule="exact"/>
              <w:jc w:val="left"/>
              <w:rPr>
                <w:rFonts w:ascii="宋体" w:hAnsi="宋体"/>
                <w:b/>
                <w:bCs/>
                <w:sz w:val="18"/>
                <w:szCs w:val="18"/>
              </w:rPr>
            </w:pPr>
          </w:p>
        </w:tc>
        <w:tc>
          <w:tcPr>
            <w:tcW w:w="1085"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证件类型</w:t>
            </w:r>
          </w:p>
        </w:tc>
        <w:tc>
          <w:tcPr>
            <w:tcW w:w="1384" w:type="dxa"/>
            <w:shd w:val="solid" w:color="FFFFFF" w:fill="FFFFFF"/>
            <w:vAlign w:val="center"/>
          </w:tcPr>
          <w:p>
            <w:pPr>
              <w:spacing w:line="320" w:lineRule="exact"/>
              <w:jc w:val="left"/>
              <w:rPr>
                <w:rFonts w:ascii="宋体" w:hAnsi="宋体"/>
                <w:b/>
                <w:bCs/>
                <w:sz w:val="18"/>
                <w:szCs w:val="18"/>
              </w:rPr>
            </w:pPr>
          </w:p>
        </w:tc>
        <w:tc>
          <w:tcPr>
            <w:tcW w:w="1234"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证件号码</w:t>
            </w:r>
          </w:p>
        </w:tc>
        <w:tc>
          <w:tcPr>
            <w:tcW w:w="2443" w:type="dxa"/>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shd w:val="solid" w:color="FFFFFF" w:fill="FFFFFF"/>
            <w:vAlign w:val="center"/>
          </w:tcPr>
          <w:p>
            <w:pPr>
              <w:spacing w:line="320" w:lineRule="exact"/>
              <w:jc w:val="left"/>
              <w:rPr>
                <w:rFonts w:ascii="宋体" w:hAnsi="宋体"/>
                <w:b/>
                <w:bCs/>
                <w:sz w:val="18"/>
                <w:szCs w:val="18"/>
              </w:rPr>
            </w:pPr>
          </w:p>
        </w:tc>
        <w:tc>
          <w:tcPr>
            <w:tcW w:w="1085"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联系电话</w:t>
            </w:r>
          </w:p>
        </w:tc>
        <w:tc>
          <w:tcPr>
            <w:tcW w:w="1384" w:type="dxa"/>
            <w:shd w:val="solid" w:color="FFFFFF" w:fill="FFFFFF"/>
            <w:vAlign w:val="center"/>
          </w:tcPr>
          <w:p>
            <w:pPr>
              <w:spacing w:line="320" w:lineRule="exact"/>
              <w:jc w:val="left"/>
              <w:rPr>
                <w:rFonts w:ascii="宋体" w:hAnsi="宋体"/>
                <w:b/>
                <w:bCs/>
                <w:sz w:val="18"/>
                <w:szCs w:val="18"/>
              </w:rPr>
            </w:pPr>
          </w:p>
        </w:tc>
        <w:tc>
          <w:tcPr>
            <w:tcW w:w="1234"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电子邮箱</w:t>
            </w:r>
          </w:p>
        </w:tc>
        <w:tc>
          <w:tcPr>
            <w:tcW w:w="2443" w:type="dxa"/>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shd w:val="solid" w:color="FFFFFF" w:fill="FFFFFF"/>
            <w:vAlign w:val="center"/>
          </w:tcPr>
          <w:p>
            <w:pPr>
              <w:spacing w:line="320" w:lineRule="exact"/>
              <w:jc w:val="left"/>
              <w:rPr>
                <w:rFonts w:ascii="宋体" w:hAnsi="宋体"/>
                <w:b/>
                <w:bCs/>
                <w:sz w:val="18"/>
                <w:szCs w:val="18"/>
              </w:rPr>
            </w:pPr>
          </w:p>
        </w:tc>
        <w:tc>
          <w:tcPr>
            <w:tcW w:w="1085"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联系地址</w:t>
            </w:r>
          </w:p>
        </w:tc>
        <w:tc>
          <w:tcPr>
            <w:tcW w:w="5061" w:type="dxa"/>
            <w:gridSpan w:val="3"/>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shd w:val="solid" w:color="FFFFFF" w:fill="FFFFFF"/>
            <w:vAlign w:val="center"/>
          </w:tcPr>
          <w:p>
            <w:pPr>
              <w:spacing w:line="320" w:lineRule="exact"/>
              <w:jc w:val="left"/>
              <w:rPr>
                <w:rFonts w:ascii="宋体" w:hAnsi="宋体"/>
                <w:b/>
                <w:bCs/>
                <w:sz w:val="18"/>
                <w:szCs w:val="18"/>
              </w:rPr>
            </w:pPr>
          </w:p>
        </w:tc>
        <w:tc>
          <w:tcPr>
            <w:tcW w:w="1085" w:type="dxa"/>
            <w:tcBorders>
              <w:bottom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邮政编码</w:t>
            </w:r>
          </w:p>
        </w:tc>
        <w:tc>
          <w:tcPr>
            <w:tcW w:w="5061" w:type="dxa"/>
            <w:gridSpan w:val="3"/>
            <w:tcBorders>
              <w:bottom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restart"/>
            <w:tcBorders>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280" w:lineRule="exact"/>
              <w:jc w:val="left"/>
              <w:rPr>
                <w:rFonts w:ascii="宋体" w:hAnsi="宋体"/>
                <w:b/>
                <w:bCs/>
                <w:sz w:val="18"/>
                <w:szCs w:val="18"/>
              </w:rPr>
            </w:pPr>
            <w:r>
              <w:rPr>
                <w:rFonts w:hint="eastAsia" w:ascii="宋体" w:hAnsi="宋体"/>
                <w:b/>
                <w:bCs/>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
        </w:tc>
        <w:tc>
          <w:tcPr>
            <w:tcW w:w="635" w:type="dxa"/>
            <w:vMerge w:val="continue"/>
            <w:tcBorders>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pStyle w:val="4"/>
              <w:pBdr>
                <w:bottom w:val="none" w:color="auto" w:sz="0" w:space="0"/>
              </w:pBdr>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销售</w:t>
            </w:r>
            <w:r>
              <w:rPr>
                <w:rFonts w:ascii="宋体" w:hAnsi="宋体"/>
                <w:b/>
                <w:bCs/>
                <w:sz w:val="18"/>
                <w:szCs w:val="18"/>
              </w:rPr>
              <w:t>机构信息</w:t>
            </w:r>
          </w:p>
        </w:tc>
        <w:tc>
          <w:tcPr>
            <w:tcW w:w="1720" w:type="dxa"/>
            <w:gridSpan w:val="2"/>
            <w:shd w:val="solid" w:color="FFFFFF" w:fill="FFFFFF"/>
            <w:vAlign w:val="center"/>
          </w:tcPr>
          <w:p>
            <w:pPr>
              <w:spacing w:line="320" w:lineRule="exact"/>
              <w:jc w:val="left"/>
              <w:rPr>
                <w:rFonts w:ascii="宋体" w:hAnsi="宋体"/>
                <w:b/>
                <w:bCs/>
                <w:sz w:val="18"/>
                <w:szCs w:val="18"/>
              </w:rPr>
            </w:pPr>
            <w:r>
              <w:rPr>
                <w:rFonts w:hint="eastAsia" w:hAnsi="宋体"/>
                <w:sz w:val="18"/>
                <w:szCs w:val="18"/>
              </w:rPr>
              <w:t>★</w:t>
            </w:r>
            <w:r>
              <w:rPr>
                <w:rFonts w:hint="eastAsia" w:ascii="宋体" w:hAnsi="宋体"/>
                <w:b/>
                <w:bCs/>
                <w:sz w:val="18"/>
                <w:szCs w:val="18"/>
              </w:rPr>
              <w:t>销售性质</w:t>
            </w:r>
          </w:p>
        </w:tc>
        <w:tc>
          <w:tcPr>
            <w:tcW w:w="5061" w:type="dxa"/>
            <w:gridSpan w:val="3"/>
            <w:shd w:val="solid" w:color="FFFFFF" w:fill="FFFFFF"/>
            <w:vAlign w:val="center"/>
          </w:tcPr>
          <w:p>
            <w:pPr>
              <w:spacing w:line="320" w:lineRule="exact"/>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 直销：产品管理人销售</w:t>
            </w:r>
          </w:p>
          <w:p>
            <w:pPr>
              <w:spacing w:line="320" w:lineRule="exact"/>
              <w:jc w:val="left"/>
              <w:rPr>
                <w:rFonts w:ascii="宋体" w:hAnsi="宋体"/>
                <w:bCs/>
                <w:sz w:val="18"/>
                <w:szCs w:val="18"/>
              </w:rPr>
            </w:pPr>
            <w:r>
              <w:rPr>
                <w:rFonts w:hint="eastAsia" w:asciiTheme="majorEastAsia" w:hAnsiTheme="majorEastAsia" w:eastAsiaTheme="majorEastAsia"/>
                <w:bCs/>
                <w:sz w:val="18"/>
                <w:szCs w:val="18"/>
              </w:rPr>
              <w:t>■ 代销：代理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销售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1720" w:type="dxa"/>
            <w:gridSpan w:val="2"/>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机构名称</w:t>
            </w:r>
          </w:p>
        </w:tc>
        <w:tc>
          <w:tcPr>
            <w:tcW w:w="5061" w:type="dxa"/>
            <w:gridSpan w:val="3"/>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w:t>
            </w:r>
            <w:r>
              <w:rPr>
                <w:rFonts w:hint="eastAsia" w:ascii="宋体" w:hAnsi="宋体"/>
                <w:sz w:val="18"/>
                <w:szCs w:val="18"/>
              </w:rPr>
              <w:t>福建省农村信用社联合社</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
        </w:tc>
        <w:tc>
          <w:tcPr>
            <w:tcW w:w="1720" w:type="dxa"/>
            <w:gridSpan w:val="2"/>
            <w:tcBorders>
              <w:bottom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机构简介</w:t>
            </w:r>
          </w:p>
        </w:tc>
        <w:tc>
          <w:tcPr>
            <w:tcW w:w="5061" w:type="dxa"/>
            <w:gridSpan w:val="3"/>
            <w:tcBorders>
              <w:bottom w:val="single" w:color="auto" w:sz="12" w:space="0"/>
            </w:tcBorders>
            <w:shd w:val="solid" w:color="FFFFFF" w:fill="FFFFFF"/>
            <w:vAlign w:val="center"/>
          </w:tcPr>
          <w:p>
            <w:pPr>
              <w:pStyle w:val="14"/>
              <w:jc w:val="both"/>
            </w:pP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shd w:val="solid" w:color="FFFFFF" w:fill="FFFFFF"/>
            <w:vAlign w:val="center"/>
          </w:tcPr>
          <w:p>
            <w:pPr>
              <w:pStyle w:val="4"/>
              <w:pBdr>
                <w:bottom w:val="none" w:color="auto" w:sz="0" w:space="0"/>
              </w:pBdr>
              <w:tabs>
                <w:tab w:val="clear" w:pos="4153"/>
                <w:tab w:val="clear" w:pos="8306"/>
              </w:tabs>
              <w:snapToGrid/>
              <w:spacing w:line="320" w:lineRule="exact"/>
              <w:rPr>
                <w:rFonts w:ascii="宋体" w:hAnsi="宋体"/>
                <w:b/>
              </w:rPr>
            </w:pPr>
            <w:r>
              <w:rPr>
                <w:rFonts w:hint="eastAsia" w:ascii="宋体" w:hAnsi="宋体"/>
                <w:b/>
              </w:rPr>
              <w:t>理财产品指定账户信息</w:t>
            </w:r>
          </w:p>
        </w:tc>
        <w:tc>
          <w:tcPr>
            <w:tcW w:w="6781" w:type="dxa"/>
            <w:gridSpan w:val="5"/>
            <w:shd w:val="solid" w:color="FFFFFF" w:fill="FFFFFF"/>
            <w:vAlign w:val="center"/>
          </w:tcPr>
          <w:p>
            <w:pPr>
              <w:pStyle w:val="4"/>
              <w:pBdr>
                <w:bottom w:val="none" w:color="auto" w:sz="0" w:space="0"/>
              </w:pBdr>
              <w:tabs>
                <w:tab w:val="clear" w:pos="4153"/>
                <w:tab w:val="clear" w:pos="8306"/>
              </w:tabs>
              <w:snapToGrid/>
              <w:spacing w:line="320" w:lineRule="exact"/>
              <w:jc w:val="left"/>
              <w:rPr>
                <w:rFonts w:ascii="宋体" w:hAnsi="宋体"/>
                <w:b/>
              </w:rPr>
            </w:pPr>
            <w:r>
              <w:rPr>
                <w:rFonts w:hint="eastAsia" w:ascii="宋体" w:hAnsi="宋体"/>
              </w:rPr>
              <w:t>投资者</w:t>
            </w:r>
            <w:r>
              <w:rPr>
                <w:rFonts w:ascii="宋体" w:hAnsi="宋体"/>
              </w:rPr>
              <w:t>在销售机构开立</w:t>
            </w:r>
            <w:r>
              <w:rPr>
                <w:rFonts w:hint="eastAsia" w:ascii="宋体" w:hAnsi="宋体"/>
              </w:rPr>
              <w:t>理财卡结算账户</w:t>
            </w:r>
            <w:r>
              <w:rPr>
                <w:rFonts w:hint="eastAsia" w:ascii="宋体" w:hAnsi="宋体"/>
                <w:spacing w:val="-6"/>
              </w:rPr>
              <w:t>或存折结算账户（</w:t>
            </w:r>
            <w:r>
              <w:rPr>
                <w:rFonts w:hint="eastAsia" w:ascii="宋体" w:hAnsi="宋体"/>
              </w:rPr>
              <w:t>以下简称“指定账户”），</w:t>
            </w:r>
            <w:r>
              <w:rPr>
                <w:rFonts w:ascii="宋体" w:hAnsi="宋体"/>
              </w:rPr>
              <w:t>用于</w:t>
            </w:r>
            <w:r>
              <w:rPr>
                <w:rFonts w:hint="eastAsia" w:ascii="宋体" w:hAnsi="宋体"/>
              </w:rPr>
              <w:t>本产品的</w:t>
            </w:r>
            <w:r>
              <w:rPr>
                <w:rFonts w:ascii="宋体" w:hAnsi="宋体"/>
              </w:rPr>
              <w:t>资金划转及</w:t>
            </w:r>
            <w:r>
              <w:rPr>
                <w:rFonts w:hint="eastAsia" w:ascii="宋体" w:hAnsi="宋体"/>
              </w:rPr>
              <w:t>产品分配，账号：</w:t>
            </w:r>
            <w:r>
              <w:rPr>
                <w:rFonts w:ascii="宋体" w:hAnsi="宋体"/>
                <w:u w:val="single"/>
              </w:rPr>
              <w:t xml:space="preserve">　                     </w:t>
            </w:r>
            <w:r>
              <w:rPr>
                <w:rFonts w:hint="eastAsia" w:ascii="宋体" w:hAnsi="宋体"/>
              </w:rPr>
              <w:t>。</w:t>
            </w:r>
          </w:p>
        </w:tc>
      </w:tr>
    </w:tbl>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甲乙双方经友好协商，本着平等自愿、诚实信用的原则，达成协议如下：</w:t>
      </w:r>
    </w:p>
    <w:p>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乙方销售性质</w:t>
      </w:r>
    </w:p>
    <w:p>
      <w:pPr>
        <w:widowControl/>
        <w:spacing w:line="360" w:lineRule="auto"/>
        <w:jc w:val="left"/>
        <w:rPr>
          <w:rFonts w:ascii="黑体" w:hAnsi="黑体" w:eastAsia="黑体" w:cs="仿宋_GB2312"/>
          <w:kern w:val="0"/>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直销适用</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为乙方所发行的理财产品，乙方既作为理财产品的销售机构，又是理财产品管理人，对理财产品的业绩不承担任何保证和其他经济责任。乙方受理的销售理财产品业务申请，以产品管理人的最终确认结果为准。</w:t>
      </w:r>
    </w:p>
    <w:p>
      <w:pPr>
        <w:widowControl/>
        <w:spacing w:line="360" w:lineRule="auto"/>
        <w:jc w:val="left"/>
        <w:rPr>
          <w:rFonts w:ascii="黑体" w:hAnsi="黑体" w:eastAsia="黑体" w:cs="仿宋_GB2312"/>
          <w:kern w:val="0"/>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代销适用</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非乙方所发行的理财产品，乙方仅作为理财产品的代理销售机构，非理财产品管理人，对理财产品的业绩不承担任何保证和其他经济责任，不承担理财产品的投资、分配和风险管理责任。乙方受理的销售理财产品业务申请，以产品管理人的最终确认结果为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w:t>
      </w:r>
      <w:r>
        <w:rPr>
          <w:rFonts w:hint="eastAsia" w:ascii="宋体" w:hAnsi="宋体" w:cs="仿宋_GB2312"/>
          <w:kern w:val="0"/>
          <w:sz w:val="18"/>
          <w:szCs w:val="18"/>
          <w:lang w:val="en-US" w:eastAsia="zh-CN"/>
        </w:rPr>
        <w:t>根据理财产品投资范围、风险收益特点、流动性等不同因素，乙方作为销售机构将理财产品分为</w:t>
      </w:r>
      <w:r>
        <w:rPr>
          <w:rFonts w:hint="eastAsia" w:ascii="宋体" w:hAnsi="宋体" w:cs="仿宋_GB2312"/>
          <w:color w:val="FF0000"/>
          <w:kern w:val="0"/>
          <w:sz w:val="18"/>
          <w:szCs w:val="18"/>
          <w:lang w:val="en-US" w:eastAsia="zh-CN"/>
        </w:rPr>
        <w:t>【5】</w:t>
      </w:r>
      <w:r>
        <w:rPr>
          <w:rFonts w:hint="eastAsia" w:ascii="宋体" w:hAnsi="宋体" w:cs="仿宋_GB2312"/>
          <w:kern w:val="0"/>
          <w:sz w:val="18"/>
          <w:szCs w:val="18"/>
          <w:lang w:val="en-US" w:eastAsia="zh-CN"/>
        </w:rPr>
        <w:t>个风险等级：【R1（低风险）、R2（中低风险）、R3（中等风险）、R4（中高风险）、R5（高风险）】；根据投资者在乙方评估的风险承受能力，乙方将投资者风险承受能力分为【5】个等级：【保守型、谨慎型、稳健型、进取型、激进型】。</w:t>
      </w:r>
    </w:p>
    <w:p>
      <w:pPr>
        <w:widowControl/>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应采用对应较高风险的评级结果。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pPr>
        <w:pStyle w:val="14"/>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（3）</w:t>
      </w:r>
      <w:r>
        <w:rPr>
          <w:rFonts w:hint="eastAsia" w:hAnsi="宋体" w:cs="仿宋_GB2312"/>
          <w:sz w:val="18"/>
          <w:szCs w:val="18"/>
        </w:rPr>
        <w:t>甲方应根据风险承受能力选择与其风险承受能力相匹配的风险等级的理财产品，不得购买高于甲方风险承受能力的理财产品。</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（1）甲方为非机构投资者时，甲方购买乙方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（2）其他类型投资者的风险承受能力评估按销售机构的以下销售政策执行：</w:t>
      </w:r>
    </w:p>
    <w:p>
      <w:pPr>
        <w:widowControl/>
        <w:spacing w:line="360" w:lineRule="auto"/>
        <w:jc w:val="left"/>
        <w:rPr>
          <w:rFonts w:asciiTheme="majorEastAsia" w:hAnsiTheme="majorEastAsia" w:eastAsiaTheme="majorEastAsia"/>
          <w:sz w:val="18"/>
          <w:szCs w:val="18"/>
        </w:rPr>
      </w:pPr>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参照本条第（1）款非机构投资者要求执行；</w:t>
      </w:r>
    </w:p>
    <w:p>
      <w:pPr>
        <w:widowControl/>
        <w:spacing w:line="360" w:lineRule="auto"/>
        <w:jc w:val="left"/>
        <w:rPr>
          <w:rFonts w:asciiTheme="majorEastAsia" w:hAnsiTheme="majorEastAsia" w:eastAsiaTheme="majorEastAsia"/>
          <w:sz w:val="18"/>
          <w:szCs w:val="18"/>
        </w:rPr>
      </w:pPr>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其他：</w:t>
      </w:r>
      <w:r>
        <w:rPr>
          <w:rFonts w:hint="eastAsia" w:asciiTheme="majorEastAsia" w:hAnsiTheme="majorEastAsia" w:eastAsiaTheme="majorEastAsia"/>
          <w:sz w:val="18"/>
          <w:szCs w:val="18"/>
          <w:u w:val="single"/>
        </w:rPr>
        <w:t xml:space="preserve">                               。</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w:t>
      </w:r>
      <w:r>
        <w:rPr>
          <w:rFonts w:hint="eastAsia" w:ascii="宋体" w:hAnsi="宋体"/>
          <w:sz w:val="18"/>
          <w:szCs w:val="18"/>
        </w:rPr>
        <w:t>有权处分的合法资金</w:t>
      </w:r>
      <w:r>
        <w:rPr>
          <w:rFonts w:hint="eastAsia" w:ascii="宋体" w:hAnsi="宋体" w:cs="仿宋_GB2312"/>
          <w:kern w:val="0"/>
          <w:sz w:val="18"/>
          <w:szCs w:val="18"/>
        </w:rPr>
        <w:t>，不存在使用贷款、发行债券等筹集的非自有资金投资的情况，投资行为符合法律法规及相关监管部门的规定。</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9、甲方在此同意并授权乙方有权根据甲方</w:t>
      </w:r>
      <w:r>
        <w:rPr>
          <w:rFonts w:hint="eastAsia" w:ascii="黑体" w:hAnsi="黑体" w:eastAsia="黑体" w:cs="仿宋_GB2312"/>
          <w:kern w:val="0"/>
          <w:sz w:val="18"/>
          <w:szCs w:val="18"/>
        </w:rPr>
        <w:t>所勾选的业务申请类型对甲方相关资金账户进行资金划扣等相关操作。</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10、对于甲方通过乙方的网上银行、手机银行、可视柜台等线</w:t>
      </w:r>
      <w:r>
        <w:rPr>
          <w:rFonts w:hint="eastAsia" w:ascii="黑体" w:hAnsi="黑体" w:eastAsia="黑体" w:cs="仿宋_GB2312"/>
          <w:kern w:val="0"/>
          <w:sz w:val="18"/>
          <w:szCs w:val="18"/>
        </w:rPr>
        <w:t>上渠道购买的理财产品（不受限于本理财产品），甲方确认通过乙方线上渠道点击确认同意本协议，即表明甲方已自主阅读并清楚知悉本协议全部内容，同意受本协议约束。</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11、甲方在此确认乙方业务申请和办理</w:t>
      </w:r>
      <w:r>
        <w:rPr>
          <w:rFonts w:hint="eastAsia" w:ascii="黑体" w:hAnsi="黑体" w:eastAsia="黑体" w:cs="仿宋_GB2312"/>
          <w:kern w:val="0"/>
          <w:sz w:val="18"/>
          <w:szCs w:val="18"/>
        </w:rPr>
        <w:t>的系统记录以及录音、录像等</w:t>
      </w:r>
      <w:r>
        <w:rPr>
          <w:rFonts w:ascii="黑体" w:hAnsi="黑体" w:eastAsia="黑体" w:cs="仿宋_GB2312"/>
          <w:kern w:val="0"/>
          <w:sz w:val="18"/>
          <w:szCs w:val="18"/>
        </w:rPr>
        <w:t>信息</w:t>
      </w:r>
      <w:r>
        <w:rPr>
          <w:rFonts w:hint="eastAsia" w:ascii="黑体" w:hAnsi="黑体" w:eastAsia="黑体" w:cs="仿宋_GB2312"/>
          <w:kern w:val="0"/>
          <w:sz w:val="18"/>
          <w:szCs w:val="18"/>
        </w:rPr>
        <w:t>构成对甲方操作行为（包括但不限于认购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、赎回）的终局证据，甲方同意乙方上述记录行为，并且在甲方和乙方或产品</w:t>
      </w:r>
      <w:r>
        <w:rPr>
          <w:rFonts w:ascii="黑体" w:hAnsi="黑体" w:eastAsia="黑体" w:cs="仿宋_GB2312"/>
          <w:kern w:val="0"/>
          <w:sz w:val="18"/>
          <w:szCs w:val="18"/>
        </w:rPr>
        <w:t>管理人</w:t>
      </w:r>
      <w:r>
        <w:rPr>
          <w:rFonts w:hint="eastAsia" w:ascii="黑体" w:hAnsi="黑体" w:eastAsia="黑体" w:cs="仿宋_GB2312"/>
          <w:kern w:val="0"/>
          <w:sz w:val="18"/>
          <w:szCs w:val="18"/>
        </w:rPr>
        <w:t>发生争议时可以作为合法有效的证据使用。甲方同意并授权乙方采取有效措施和技术手段记录营销推介、产品风险和关键信息提示、投资者确认和反馈等重点销售环节。</w:t>
      </w:r>
    </w:p>
    <w:p>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恐怖融资、逃税活动等违法行为。乙方发现或有合理理由怀疑甲方、甲方资金或甲方交易行为涉嫌洗钱、恐怖融资、逃税等犯罪活动相关的，乙方有权提前终止本协议，造成甲方损失的，乙方不承担责任。</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1、由于国家有关法律、法规、规章、政策的改变、紧急措施的出台而导致甲方蒙受损失或协议终止的，乙方不承担责任。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2、由于不可抗力或乙方无过错且无法防止的外因而导致的交易中断、延误等风险及损失，乙方不承担责任。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3、非因乙方原因（包括但不限于甲方遗失本协议、协议被盗用、交易账户被司法机关等有权部门冻结、扣划等原因）造成的损失，乙方不承担责任。</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发生前述情形时，乙方将在条件允许的情况下采取必要合理的补救措施，尽力保护甲方利益，以减少甲方损失。</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1、本协议在履行过程中发生的争议，由甲乙双方协商解决，协商不成的，任何一方可向乙方住所地</w:t>
      </w:r>
      <w:r>
        <w:rPr>
          <w:rFonts w:hint="eastAsia" w:ascii="黑体" w:hAnsi="黑体" w:eastAsia="黑体" w:cs="仿宋_GB2312"/>
          <w:kern w:val="0"/>
          <w:sz w:val="18"/>
          <w:szCs w:val="18"/>
        </w:rPr>
        <w:t>人民法院起诉。</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1、协议生效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甲方通过乙方线下渠道购买理财产品的，本协议经甲方签字且乙方盖柜面业务章后生效（为避免歧义，乙方相关业务人员在本协议的签字仅为乙方内部风险控制要求，并不作为协议成立的条件，下同）。</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3、其他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pPr>
        <w:widowControl/>
        <w:spacing w:line="360" w:lineRule="auto"/>
        <w:jc w:val="left"/>
        <w:rPr>
          <w:rFonts w:ascii="宋体" w:hAnsi="宋体" w:cs="仿宋_GB2312"/>
          <w:b/>
          <w:kern w:val="0"/>
          <w:sz w:val="18"/>
          <w:szCs w:val="18"/>
        </w:rPr>
      </w:pPr>
    </w:p>
    <w:p>
      <w:pPr>
        <w:widowControl/>
        <w:spacing w:line="360" w:lineRule="auto"/>
        <w:jc w:val="left"/>
        <w:rPr>
          <w:rFonts w:ascii="宋体" w:hAnsi="宋体" w:cs="仿宋_GB2312"/>
          <w:b/>
          <w:kern w:val="0"/>
          <w:sz w:val="18"/>
          <w:szCs w:val="18"/>
        </w:rPr>
      </w:pPr>
      <w:r>
        <w:rPr>
          <w:rFonts w:hint="eastAsia" w:ascii="宋体" w:hAnsi="宋体" w:cs="仿宋_GB2312"/>
          <w:b/>
          <w:kern w:val="0"/>
          <w:sz w:val="18"/>
          <w:szCs w:val="18"/>
        </w:rPr>
        <w:t>甲方声明：</w:t>
      </w:r>
    </w:p>
    <w:p>
      <w:pPr>
        <w:widowControl/>
        <w:spacing w:line="360" w:lineRule="auto"/>
        <w:jc w:val="left"/>
        <w:rPr>
          <w:rFonts w:ascii="宋体" w:hAnsi="宋体" w:cs="仿宋_GB2312"/>
          <w:b/>
          <w:kern w:val="0"/>
          <w:sz w:val="18"/>
          <w:szCs w:val="18"/>
        </w:rPr>
      </w:pPr>
      <w:r>
        <w:rPr>
          <w:rFonts w:hint="eastAsia" w:ascii="宋体" w:hAnsi="宋体" w:cs="仿宋_GB2312"/>
          <w:b/>
          <w:kern w:val="0"/>
          <w:sz w:val="18"/>
          <w:szCs w:val="18"/>
        </w:rPr>
        <w:t>（</w:t>
      </w:r>
      <w:r>
        <w:rPr>
          <w:rFonts w:ascii="宋体" w:hAnsi="宋体" w:cs="仿宋_GB2312"/>
          <w:b/>
          <w:kern w:val="0"/>
          <w:sz w:val="18"/>
          <w:szCs w:val="18"/>
        </w:rPr>
        <w:t>1)甲方已经收到所购买乙方销售的理财产品的《投资协议书</w:t>
      </w:r>
      <w:r>
        <w:rPr>
          <w:rFonts w:hint="eastAsia" w:ascii="宋体" w:hAnsi="宋体" w:cs="仿宋_GB2312"/>
          <w:b/>
          <w:kern w:val="0"/>
          <w:sz w:val="18"/>
          <w:szCs w:val="18"/>
        </w:rPr>
        <w:t>》、</w:t>
      </w:r>
      <w:r>
        <w:rPr>
          <w:rFonts w:ascii="宋体" w:hAnsi="宋体" w:cs="仿宋_GB2312"/>
          <w:b/>
          <w:kern w:val="0"/>
          <w:sz w:val="18"/>
          <w:szCs w:val="18"/>
        </w:rPr>
        <w:t>《</w:t>
      </w:r>
      <w:r>
        <w:rPr>
          <w:rFonts w:hint="eastAsia" w:ascii="宋体" w:hAnsi="宋体" w:cs="仿宋_GB2312"/>
          <w:b/>
          <w:kern w:val="0"/>
          <w:sz w:val="18"/>
          <w:szCs w:val="18"/>
        </w:rPr>
        <w:t>产品说明书</w:t>
      </w:r>
      <w:r>
        <w:rPr>
          <w:rFonts w:ascii="宋体" w:hAnsi="宋体" w:cs="仿宋_GB2312"/>
          <w:b/>
          <w:kern w:val="0"/>
          <w:sz w:val="18"/>
          <w:szCs w:val="18"/>
        </w:rPr>
        <w:t>》</w:t>
      </w:r>
      <w:r>
        <w:rPr>
          <w:rFonts w:hint="eastAsia" w:ascii="宋体" w:hAnsi="宋体" w:cs="仿宋_GB2312"/>
          <w:b/>
          <w:kern w:val="0"/>
          <w:sz w:val="18"/>
          <w:szCs w:val="18"/>
        </w:rPr>
        <w:t>、</w:t>
      </w:r>
      <w:r>
        <w:rPr>
          <w:rFonts w:ascii="宋体" w:hAnsi="宋体" w:cs="仿宋_GB2312"/>
          <w:b/>
          <w:kern w:val="0"/>
          <w:sz w:val="18"/>
          <w:szCs w:val="18"/>
        </w:rPr>
        <w:t>《</w:t>
      </w:r>
      <w:r>
        <w:rPr>
          <w:rFonts w:hint="eastAsia" w:ascii="宋体" w:hAnsi="宋体" w:cs="仿宋_GB2312"/>
          <w:b/>
          <w:kern w:val="0"/>
          <w:sz w:val="18"/>
          <w:szCs w:val="18"/>
        </w:rPr>
        <w:t>（代理）销售协议书</w:t>
      </w:r>
      <w:r>
        <w:rPr>
          <w:rFonts w:ascii="宋体" w:hAnsi="宋体" w:cs="仿宋_GB2312"/>
          <w:b/>
          <w:kern w:val="0"/>
          <w:sz w:val="18"/>
          <w:szCs w:val="18"/>
        </w:rPr>
        <w:t>》</w:t>
      </w:r>
      <w:r>
        <w:rPr>
          <w:rFonts w:hint="eastAsia" w:ascii="宋体" w:hAnsi="宋体" w:cs="仿宋_GB2312"/>
          <w:b/>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宋体" w:hAnsi="宋体" w:cs="仿宋_GB2312"/>
          <w:b/>
          <w:kern w:val="0"/>
          <w:sz w:val="18"/>
          <w:szCs w:val="18"/>
        </w:rPr>
        <w:t>、申购</w:t>
      </w:r>
      <w:r>
        <w:rPr>
          <w:rFonts w:hint="eastAsia" w:ascii="宋体" w:hAnsi="宋体" w:cs="仿宋_GB2312"/>
          <w:b/>
          <w:kern w:val="0"/>
          <w:sz w:val="18"/>
          <w:szCs w:val="18"/>
        </w:rPr>
        <w:t>、赎回理财产品所产生的相关风险和不利后果。</w:t>
      </w:r>
    </w:p>
    <w:p>
      <w:pPr>
        <w:widowControl/>
        <w:spacing w:line="360" w:lineRule="auto"/>
        <w:jc w:val="left"/>
        <w:rPr>
          <w:rFonts w:ascii="宋体" w:hAnsi="宋体" w:cs="仿宋_GB2312"/>
          <w:b/>
          <w:kern w:val="0"/>
          <w:sz w:val="18"/>
          <w:szCs w:val="18"/>
        </w:rPr>
      </w:pPr>
      <w:r>
        <w:rPr>
          <w:rFonts w:hint="eastAsia" w:ascii="宋体" w:hAnsi="宋体" w:cs="仿宋_GB2312"/>
          <w:b/>
          <w:kern w:val="0"/>
          <w:sz w:val="18"/>
          <w:szCs w:val="18"/>
        </w:rPr>
        <w:t>（</w:t>
      </w:r>
      <w:r>
        <w:rPr>
          <w:rFonts w:ascii="宋体" w:hAnsi="宋体" w:cs="仿宋_GB2312"/>
          <w:b/>
          <w:kern w:val="0"/>
          <w:sz w:val="18"/>
          <w:szCs w:val="18"/>
        </w:rPr>
        <w:t>2)甲方确认乙方相关业务人员对于本协议中有关增加甲方义务、限制甲方权利以及免除、限制乙方责任和乙方单方面拥有某些权利的条款已向甲方予以解释说明，甲方自愿接受上述条款的约束，双方对本协议条款的理解已完全达成一致。</w:t>
      </w:r>
    </w:p>
    <w:p>
      <w:pPr>
        <w:widowControl/>
        <w:spacing w:line="360" w:lineRule="auto"/>
        <w:jc w:val="left"/>
        <w:rPr>
          <w:rFonts w:ascii="宋体" w:hAnsi="宋体" w:cs="仿宋_GB2312"/>
          <w:b/>
          <w:kern w:val="0"/>
          <w:sz w:val="18"/>
          <w:szCs w:val="18"/>
        </w:rPr>
      </w:pPr>
      <w:r>
        <w:rPr>
          <w:rFonts w:hint="eastAsia" w:ascii="宋体" w:hAnsi="宋体" w:cs="仿宋_GB2312"/>
          <w:b/>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pPr>
        <w:widowControl/>
        <w:jc w:val="left"/>
        <w:rPr>
          <w:rFonts w:ascii="宋体" w:hAnsi="宋体" w:cs="仿宋_GB2312"/>
          <w:b/>
          <w:kern w:val="0"/>
          <w:sz w:val="18"/>
          <w:szCs w:val="18"/>
        </w:rPr>
      </w:pPr>
      <w:r>
        <w:rPr>
          <w:rFonts w:ascii="宋体" w:hAnsi="宋体" w:cs="仿宋_GB2312"/>
          <w:b/>
          <w:kern w:val="0"/>
          <w:sz w:val="18"/>
          <w:szCs w:val="18"/>
        </w:rPr>
        <w:br w:type="page"/>
      </w:r>
    </w:p>
    <w:p>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8"/>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pPr>
              <w:autoSpaceDE w:val="0"/>
              <w:autoSpaceDN w:val="0"/>
              <w:adjustRightInd w:val="0"/>
              <w:snapToGrid w:val="0"/>
              <w:spacing w:line="280" w:lineRule="exact"/>
              <w:jc w:val="center"/>
              <w:rPr>
                <w:rFonts w:ascii="宋体" w:hAnsi="宋体"/>
                <w:b/>
                <w:kern w:val="0"/>
                <w:sz w:val="18"/>
                <w:szCs w:val="18"/>
              </w:rPr>
            </w:pPr>
            <w:r>
              <w:rPr>
                <w:rFonts w:hint="eastAsia" w:ascii="宋体" w:hAnsi="宋体"/>
                <w:b/>
                <w:kern w:val="0"/>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280" w:lineRule="exact"/>
              <w:jc w:val="center"/>
              <w:rPr>
                <w:rFonts w:ascii="黑体" w:hAnsi="黑体" w:eastAsia="黑体"/>
                <w:kern w:val="0"/>
                <w:sz w:val="18"/>
                <w:szCs w:val="18"/>
              </w:rPr>
            </w:pPr>
            <w:r>
              <w:rPr>
                <w:rFonts w:hint="eastAsia" w:ascii="黑体" w:hAnsi="黑体" w:eastAsia="黑体"/>
                <w:kern w:val="0"/>
                <w:sz w:val="18"/>
                <w:szCs w:val="18"/>
              </w:rPr>
              <w:t>★</w:t>
            </w:r>
          </w:p>
          <w:p>
            <w:pPr>
              <w:tabs>
                <w:tab w:val="left" w:pos="8070"/>
                <w:tab w:val="right" w:pos="8306"/>
              </w:tabs>
              <w:autoSpaceDE w:val="0"/>
              <w:autoSpaceDN w:val="0"/>
              <w:adjustRightInd w:val="0"/>
              <w:snapToGrid w:val="0"/>
              <w:spacing w:line="280" w:lineRule="exact"/>
              <w:jc w:val="center"/>
              <w:rPr>
                <w:rFonts w:ascii="宋体" w:hAnsi="宋体"/>
                <w:b/>
                <w:kern w:val="0"/>
                <w:sz w:val="18"/>
                <w:szCs w:val="18"/>
              </w:rPr>
            </w:pPr>
            <w:r>
              <w:rPr>
                <w:rFonts w:hint="eastAsia" w:ascii="宋体" w:hAnsi="宋体"/>
                <w:b/>
                <w:kern w:val="0"/>
                <w:sz w:val="18"/>
                <w:szCs w:val="18"/>
              </w:rPr>
              <w:t>签署声明</w:t>
            </w:r>
          </w:p>
        </w:tc>
        <w:tc>
          <w:tcPr>
            <w:tcW w:w="7849" w:type="dxa"/>
            <w:gridSpan w:val="2"/>
          </w:tcPr>
          <w:p>
            <w:pPr>
              <w:tabs>
                <w:tab w:val="left" w:pos="8070"/>
                <w:tab w:val="right" w:pos="8306"/>
              </w:tabs>
              <w:autoSpaceDE w:val="0"/>
              <w:autoSpaceDN w:val="0"/>
              <w:adjustRightInd w:val="0"/>
              <w:snapToGrid w:val="0"/>
              <w:spacing w:line="280" w:lineRule="exact"/>
              <w:rPr>
                <w:rFonts w:ascii="黑体" w:hAnsi="黑体" w:eastAsia="黑体"/>
                <w:kern w:val="0"/>
                <w:sz w:val="18"/>
                <w:szCs w:val="18"/>
              </w:rPr>
            </w:pPr>
            <w:r>
              <w:rPr>
                <w:rFonts w:ascii="黑体" w:hAnsi="黑体" w:eastAsia="黑体"/>
                <w:kern w:val="0"/>
                <w:sz w:val="18"/>
                <w:szCs w:val="18"/>
              </w:rPr>
              <w:t>1、在签署本《</w:t>
            </w:r>
            <w:r>
              <w:rPr>
                <w:rFonts w:hint="eastAsia" w:ascii="黑体" w:hAnsi="黑体" w:eastAsia="黑体"/>
                <w:kern w:val="0"/>
                <w:sz w:val="18"/>
                <w:szCs w:val="18"/>
              </w:rPr>
              <w:t>（代理）</w:t>
            </w:r>
            <w:r>
              <w:rPr>
                <w:rFonts w:ascii="黑体" w:hAnsi="黑体" w:eastAsia="黑体"/>
                <w:kern w:val="0"/>
                <w:sz w:val="18"/>
                <w:szCs w:val="18"/>
              </w:rPr>
              <w:t>销售协议书》以前，甲方已认真阅读理财产品销售文件（包括但不限于《</w:t>
            </w:r>
            <w:r>
              <w:rPr>
                <w:rFonts w:hint="eastAsia" w:ascii="黑体" w:hAnsi="黑体" w:eastAsia="黑体"/>
                <w:kern w:val="0"/>
                <w:sz w:val="18"/>
                <w:szCs w:val="18"/>
              </w:rPr>
              <w:t>投资</w:t>
            </w:r>
            <w:r>
              <w:rPr>
                <w:rFonts w:ascii="黑体" w:hAnsi="黑体" w:eastAsia="黑体"/>
                <w:kern w:val="0"/>
                <w:sz w:val="18"/>
                <w:szCs w:val="18"/>
              </w:rPr>
              <w:t>协议书》、《产品说明书》、</w:t>
            </w:r>
            <w:r>
              <w:rPr>
                <w:rFonts w:hint="eastAsia" w:ascii="黑体" w:hAnsi="黑体" w:eastAsia="黑体"/>
                <w:kern w:val="0"/>
                <w:sz w:val="18"/>
                <w:szCs w:val="18"/>
              </w:rPr>
              <w:t>《（代理）销售</w:t>
            </w:r>
            <w:r>
              <w:rPr>
                <w:rFonts w:ascii="黑体" w:hAnsi="黑体" w:eastAsia="黑体"/>
                <w:kern w:val="0"/>
                <w:sz w:val="18"/>
                <w:szCs w:val="18"/>
              </w:rPr>
              <w:t>协议书</w:t>
            </w:r>
            <w:r>
              <w:rPr>
                <w:rFonts w:hint="eastAsia" w:ascii="黑体" w:hAnsi="黑体" w:eastAsia="黑体"/>
                <w:kern w:val="0"/>
                <w:sz w:val="18"/>
                <w:szCs w:val="18"/>
              </w:rPr>
              <w:t>》、</w:t>
            </w:r>
            <w:r>
              <w:rPr>
                <w:rFonts w:ascii="黑体" w:hAnsi="黑体" w:eastAsia="黑体"/>
                <w:kern w:val="0"/>
                <w:sz w:val="18"/>
                <w:szCs w:val="18"/>
              </w:rPr>
              <w:t>《风险揭示书》、《投资者权益须知》等文件）的全部内容，</w:t>
            </w:r>
            <w:r>
              <w:rPr>
                <w:rFonts w:hint="eastAsia" w:ascii="黑体" w:hAnsi="黑体" w:eastAsia="黑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pPr>
              <w:tabs>
                <w:tab w:val="left" w:pos="0"/>
                <w:tab w:val="left" w:pos="3600"/>
              </w:tabs>
              <w:jc w:val="left"/>
              <w:rPr>
                <w:rFonts w:ascii="黑体" w:hAnsi="黑体" w:eastAsia="黑体"/>
                <w:kern w:val="0"/>
                <w:sz w:val="18"/>
                <w:szCs w:val="18"/>
              </w:rPr>
            </w:pPr>
            <w:r>
              <w:rPr>
                <w:rFonts w:ascii="黑体" w:hAnsi="黑体" w:eastAsia="黑体"/>
                <w:kern w:val="0"/>
                <w:sz w:val="18"/>
                <w:szCs w:val="18"/>
              </w:rPr>
              <w:t>2</w:t>
            </w:r>
            <w:r>
              <w:rPr>
                <w:rFonts w:hint="eastAsia" w:ascii="黑体" w:hAnsi="黑体" w:eastAsia="黑体"/>
                <w:kern w:val="0"/>
                <w:sz w:val="18"/>
                <w:szCs w:val="18"/>
              </w:rPr>
              <w:t>、甲方</w:t>
            </w:r>
            <w:r>
              <w:rPr>
                <w:rFonts w:ascii="黑体" w:hAnsi="黑体" w:eastAsia="黑体"/>
                <w:kern w:val="0"/>
                <w:sz w:val="18"/>
                <w:szCs w:val="18"/>
              </w:rPr>
              <w:t>已认真阅读并充分理解包括但不限于《</w:t>
            </w:r>
            <w:r>
              <w:rPr>
                <w:rFonts w:hint="eastAsia" w:ascii="黑体" w:hAnsi="黑体" w:eastAsia="黑体"/>
                <w:kern w:val="0"/>
                <w:sz w:val="18"/>
                <w:szCs w:val="18"/>
              </w:rPr>
              <w:t>（代理）</w:t>
            </w:r>
            <w:r>
              <w:rPr>
                <w:rFonts w:ascii="黑体" w:hAnsi="黑体" w:eastAsia="黑体"/>
                <w:kern w:val="0"/>
                <w:sz w:val="18"/>
                <w:szCs w:val="18"/>
              </w:rPr>
              <w:t>销售协议书》</w:t>
            </w:r>
            <w:r>
              <w:rPr>
                <w:rFonts w:hint="eastAsia" w:ascii="黑体" w:hAnsi="黑体" w:eastAsia="黑体"/>
                <w:kern w:val="0"/>
                <w:sz w:val="18"/>
                <w:szCs w:val="18"/>
              </w:rPr>
              <w:t>等全套理财产品销售文件</w:t>
            </w:r>
            <w:r>
              <w:rPr>
                <w:rFonts w:ascii="黑体" w:hAnsi="黑体" w:eastAsia="黑体"/>
                <w:kern w:val="0"/>
                <w:sz w:val="18"/>
                <w:szCs w:val="18"/>
              </w:rPr>
              <w:t>关于投资理财产品及其全部风险的有关内容，同意本次</w:t>
            </w:r>
            <w:r>
              <w:rPr>
                <w:rFonts w:hint="eastAsia" w:ascii="黑体" w:hAnsi="黑体" w:eastAsia="黑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14" w:hRule="exact"/>
        </w:trPr>
        <w:tc>
          <w:tcPr>
            <w:tcW w:w="675" w:type="dxa"/>
            <w:vMerge w:val="restart"/>
            <w:vAlign w:val="center"/>
          </w:tcPr>
          <w:p>
            <w:pPr>
              <w:jc w:val="center"/>
              <w:rPr>
                <w:b/>
                <w:kern w:val="0"/>
                <w:sz w:val="18"/>
                <w:szCs w:val="18"/>
              </w:rPr>
            </w:pPr>
            <w:r>
              <w:rPr>
                <w:rFonts w:hint="eastAsia"/>
                <w:b/>
                <w:kern w:val="0"/>
                <w:sz w:val="18"/>
                <w:szCs w:val="18"/>
              </w:rPr>
              <w:t>甲方签署栏</w:t>
            </w:r>
          </w:p>
        </w:tc>
        <w:tc>
          <w:tcPr>
            <w:tcW w:w="851" w:type="dxa"/>
          </w:tcPr>
          <w:p>
            <w:pPr>
              <w:rPr>
                <w:b/>
                <w:kern w:val="0"/>
                <w:sz w:val="18"/>
                <w:szCs w:val="18"/>
              </w:rPr>
            </w:pPr>
            <w:r>
              <w:rPr>
                <w:rFonts w:hint="eastAsia"/>
                <w:b/>
                <w:kern w:val="0"/>
                <w:sz w:val="18"/>
                <w:szCs w:val="18"/>
              </w:rPr>
              <w:t>个人投资者适用</w:t>
            </w:r>
          </w:p>
        </w:tc>
        <w:tc>
          <w:tcPr>
            <w:tcW w:w="6998" w:type="dxa"/>
          </w:tcPr>
          <w:p>
            <w:pPr>
              <w:rPr>
                <w:kern w:val="0"/>
                <w:sz w:val="18"/>
                <w:szCs w:val="18"/>
              </w:rPr>
            </w:pPr>
            <w:r>
              <w:rPr>
                <w:rFonts w:hint="eastAsia"/>
                <w:kern w:val="0"/>
                <w:sz w:val="18"/>
                <w:szCs w:val="18"/>
              </w:rPr>
              <w:t>甲方（签字）：</w:t>
            </w:r>
          </w:p>
          <w:p>
            <w:pPr>
              <w:rPr>
                <w:b/>
                <w:kern w:val="0"/>
                <w:sz w:val="18"/>
                <w:szCs w:val="18"/>
              </w:rPr>
            </w:pPr>
          </w:p>
          <w:p>
            <w:pPr>
              <w:rPr>
                <w:b/>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rPr>
                <w:b/>
                <w:kern w:val="0"/>
                <w:sz w:val="18"/>
                <w:szCs w:val="18"/>
              </w:rPr>
            </w:pPr>
          </w:p>
        </w:tc>
        <w:tc>
          <w:tcPr>
            <w:tcW w:w="851" w:type="dxa"/>
          </w:tcPr>
          <w:p>
            <w:pPr>
              <w:rPr>
                <w:b/>
                <w:kern w:val="0"/>
                <w:sz w:val="18"/>
                <w:szCs w:val="18"/>
              </w:rPr>
            </w:pPr>
            <w:r>
              <w:rPr>
                <w:rFonts w:hint="eastAsia"/>
                <w:b/>
                <w:kern w:val="0"/>
                <w:sz w:val="18"/>
                <w:szCs w:val="18"/>
              </w:rPr>
              <w:t>机构投资者适用</w:t>
            </w:r>
          </w:p>
        </w:tc>
        <w:tc>
          <w:tcPr>
            <w:tcW w:w="6998" w:type="dxa"/>
          </w:tcPr>
          <w:p>
            <w:pPr>
              <w:rPr>
                <w:rFonts w:cs="Arial"/>
                <w:kern w:val="0"/>
                <w:sz w:val="18"/>
                <w:szCs w:val="18"/>
              </w:rPr>
            </w:pPr>
            <w:r>
              <w:rPr>
                <w:rFonts w:hint="eastAsia"/>
                <w:kern w:val="0"/>
                <w:sz w:val="18"/>
                <w:szCs w:val="18"/>
              </w:rPr>
              <w:t>甲方</w:t>
            </w:r>
            <w:r>
              <w:rPr>
                <w:rFonts w:hint="eastAsia" w:cs="Arial"/>
                <w:kern w:val="0"/>
                <w:sz w:val="18"/>
                <w:szCs w:val="18"/>
              </w:rPr>
              <w:t>（盖章）：</w:t>
            </w:r>
          </w:p>
          <w:p>
            <w:pPr>
              <w:rPr>
                <w:rFonts w:cs="Arial"/>
                <w:kern w:val="0"/>
                <w:sz w:val="18"/>
                <w:szCs w:val="18"/>
              </w:rPr>
            </w:pPr>
          </w:p>
          <w:p>
            <w:pPr>
              <w:rPr>
                <w:rFonts w:cs="Arial"/>
                <w:kern w:val="0"/>
                <w:sz w:val="18"/>
                <w:szCs w:val="18"/>
              </w:rPr>
            </w:pPr>
            <w:r>
              <w:rPr>
                <w:rFonts w:hint="eastAsia" w:cs="Arial"/>
                <w:kern w:val="0"/>
                <w:sz w:val="18"/>
                <w:szCs w:val="18"/>
              </w:rPr>
              <w:t>甲方法定代表人或授权代理人（签字或盖章）：</w:t>
            </w:r>
          </w:p>
          <w:p>
            <w:pPr>
              <w:rPr>
                <w:b/>
                <w:kern w:val="0"/>
                <w:sz w:val="18"/>
                <w:szCs w:val="18"/>
              </w:rPr>
            </w:pPr>
          </w:p>
          <w:p>
            <w:pPr>
              <w:rPr>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tcPr>
          <w:p>
            <w:pPr>
              <w:jc w:val="center"/>
              <w:rPr>
                <w:b/>
                <w:kern w:val="0"/>
                <w:sz w:val="18"/>
                <w:szCs w:val="18"/>
              </w:rPr>
            </w:pPr>
            <w:r>
              <w:rPr>
                <w:rFonts w:hint="eastAsia"/>
                <w:b/>
                <w:kern w:val="0"/>
                <w:sz w:val="18"/>
                <w:szCs w:val="18"/>
              </w:rPr>
              <w:t>乙方</w:t>
            </w:r>
            <w:r>
              <w:rPr>
                <w:b/>
                <w:kern w:val="0"/>
                <w:sz w:val="18"/>
                <w:szCs w:val="18"/>
              </w:rPr>
              <w:t>签署栏</w:t>
            </w:r>
          </w:p>
        </w:tc>
        <w:tc>
          <w:tcPr>
            <w:tcW w:w="7849" w:type="dxa"/>
            <w:gridSpan w:val="2"/>
          </w:tcPr>
          <w:p>
            <w:pPr>
              <w:rPr>
                <w:kern w:val="0"/>
                <w:sz w:val="18"/>
                <w:szCs w:val="18"/>
              </w:rPr>
            </w:pPr>
            <w:r>
              <w:rPr>
                <w:rFonts w:hint="eastAsia"/>
                <w:kern w:val="0"/>
                <w:sz w:val="18"/>
                <w:szCs w:val="18"/>
              </w:rPr>
              <w:t>乙方</w:t>
            </w:r>
            <w:r>
              <w:rPr>
                <w:kern w:val="0"/>
                <w:sz w:val="18"/>
                <w:szCs w:val="18"/>
              </w:rPr>
              <w:t>（</w:t>
            </w:r>
            <w:r>
              <w:rPr>
                <w:rFonts w:hint="eastAsia"/>
                <w:kern w:val="0"/>
                <w:sz w:val="18"/>
                <w:szCs w:val="18"/>
              </w:rPr>
              <w:t>盖章</w:t>
            </w:r>
            <w:r>
              <w:rPr>
                <w:kern w:val="0"/>
                <w:sz w:val="18"/>
                <w:szCs w:val="18"/>
              </w:rPr>
              <w:t>）</w:t>
            </w:r>
            <w:r>
              <w:rPr>
                <w:rFonts w:hint="eastAsia"/>
                <w:kern w:val="0"/>
                <w:sz w:val="18"/>
                <w:szCs w:val="18"/>
              </w:rPr>
              <w:t>：</w:t>
            </w:r>
          </w:p>
          <w:p>
            <w:pPr>
              <w:rPr>
                <w:b/>
                <w:kern w:val="0"/>
                <w:sz w:val="18"/>
                <w:szCs w:val="18"/>
              </w:rPr>
            </w:pPr>
          </w:p>
          <w:p>
            <w:pPr>
              <w:rPr>
                <w:kern w:val="0"/>
                <w:sz w:val="18"/>
                <w:szCs w:val="18"/>
              </w:rPr>
            </w:pPr>
            <w:r>
              <w:rPr>
                <w:rFonts w:hint="eastAsia"/>
                <w:kern w:val="0"/>
                <w:sz w:val="18"/>
                <w:szCs w:val="18"/>
              </w:rPr>
              <w:t>日期：</w:t>
            </w:r>
          </w:p>
        </w:tc>
      </w:tr>
    </w:tbl>
    <w:p>
      <w:pPr>
        <w:spacing w:line="360" w:lineRule="auto"/>
        <w:jc w:val="left"/>
        <w:rPr>
          <w:rFonts w:hint="eastAsia" w:ascii="宋体" w:hAnsi="宋体"/>
          <w:b/>
          <w:sz w:val="18"/>
          <w:szCs w:val="18"/>
        </w:rPr>
        <w:sectPr>
          <w:headerReference r:id="rId7" w:type="default"/>
          <w:footerReference r:id="rId8" w:type="default"/>
          <w:pgSz w:w="11906" w:h="16838"/>
          <w:pgMar w:top="1440" w:right="1800" w:bottom="1440" w:left="1800" w:header="567" w:footer="964" w:gutter="0"/>
          <w:cols w:space="425" w:num="1"/>
          <w:docGrid w:type="lines" w:linePitch="312" w:charSpace="0"/>
        </w:sectPr>
      </w:pPr>
      <w:r>
        <w:rPr>
          <w:rFonts w:hint="eastAsia" w:ascii="宋体" w:hAnsi="宋体"/>
          <w:b/>
          <w:sz w:val="18"/>
          <w:szCs w:val="18"/>
        </w:rPr>
        <w:t>（本《（代理）销售协议书》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pPr>
        <w:adjustRightInd w:val="0"/>
        <w:spacing w:line="276" w:lineRule="auto"/>
        <w:ind w:firstLine="422"/>
        <w:jc w:val="center"/>
        <w:rPr>
          <w:rFonts w:ascii="黑体" w:hAnsi="黑体" w:eastAsia="黑体"/>
          <w:b/>
          <w:bCs/>
          <w:sz w:val="28"/>
          <w:szCs w:val="28"/>
        </w:rPr>
      </w:pPr>
      <w:r>
        <w:rPr>
          <w:rFonts w:hint="eastAsia" w:ascii="黑体" w:hAnsi="黑体" w:eastAsia="黑体"/>
          <w:b/>
          <w:bCs/>
          <w:sz w:val="28"/>
          <w:szCs w:val="28"/>
        </w:rPr>
        <w:t>兴银理财【稳利安盈封闭式】</w:t>
      </w:r>
      <w:r>
        <w:rPr>
          <w:rFonts w:ascii="黑体" w:hAnsi="黑体" w:eastAsia="黑体"/>
          <w:b/>
          <w:bCs/>
          <w:sz w:val="28"/>
          <w:szCs w:val="28"/>
        </w:rPr>
        <w:t>理财产品</w:t>
      </w:r>
    </w:p>
    <w:p>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pPr>
        <w:rPr>
          <w:rFonts w:ascii="宋体" w:hAnsi="宋体" w:cs="仿宋_GB2312"/>
          <w:b/>
          <w:kern w:val="0"/>
          <w:sz w:val="18"/>
          <w:szCs w:val="18"/>
        </w:rPr>
      </w:pPr>
      <w:r>
        <w:rPr>
          <w:rFonts w:hint="eastAsia" w:ascii="宋体" w:hAnsi="宋体" w:cs="仿宋_GB2312"/>
          <w:b/>
          <w:kern w:val="0"/>
          <w:sz w:val="18"/>
          <w:szCs w:val="18"/>
        </w:rPr>
        <w:t>尊敬的投资者：</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w:t>
      </w:r>
      <w:r>
        <w:rPr>
          <w:rFonts w:ascii="宋体" w:hAnsi="宋体" w:cs="仿宋_GB2312"/>
          <w:kern w:val="0"/>
          <w:sz w:val="18"/>
          <w:szCs w:val="18"/>
        </w:rPr>
        <w:t>信息</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（一）产品名称、销售</w:t>
      </w:r>
      <w:r>
        <w:rPr>
          <w:rFonts w:ascii="宋体" w:hAnsi="宋体" w:cs="仿宋_GB2312"/>
          <w:kern w:val="0"/>
          <w:sz w:val="18"/>
          <w:szCs w:val="18"/>
        </w:rPr>
        <w:t>名称</w:t>
      </w:r>
      <w:r>
        <w:rPr>
          <w:rFonts w:hint="eastAsia" w:ascii="宋体" w:hAnsi="宋体" w:cs="仿宋_GB2312"/>
          <w:kern w:val="0"/>
          <w:sz w:val="18"/>
          <w:szCs w:val="18"/>
        </w:rPr>
        <w:t>及产品</w:t>
      </w:r>
      <w:r>
        <w:rPr>
          <w:rFonts w:ascii="宋体" w:hAnsi="宋体" w:cs="仿宋_GB2312"/>
          <w:kern w:val="0"/>
          <w:sz w:val="18"/>
          <w:szCs w:val="18"/>
        </w:rPr>
        <w:t>登记编码</w:t>
      </w:r>
    </w:p>
    <w:p>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r>
        <w:rPr>
          <w:rFonts w:hint="eastAsia" w:ascii="宋体" w:hAnsi="宋体" w:cs="仿宋_GB2312"/>
          <w:kern w:val="0"/>
          <w:sz w:val="18"/>
          <w:szCs w:val="18"/>
        </w:rPr>
        <w:t>【兴银理财稳利安盈封闭式2024年</w:t>
      </w:r>
      <w:r>
        <w:rPr>
          <w:rFonts w:hint="eastAsia" w:ascii="宋体" w:hAnsi="宋体" w:cs="仿宋_GB2312"/>
          <w:kern w:val="0"/>
          <w:sz w:val="18"/>
          <w:szCs w:val="18"/>
          <w:lang w:val="en-US" w:eastAsia="zh-CN"/>
        </w:rPr>
        <w:t>12</w:t>
      </w:r>
      <w:r>
        <w:rPr>
          <w:rFonts w:hint="eastAsia" w:ascii="宋体" w:hAnsi="宋体" w:cs="仿宋_GB2312"/>
          <w:kern w:val="0"/>
          <w:sz w:val="18"/>
          <w:szCs w:val="18"/>
        </w:rPr>
        <w:t>期固收类理财产品</w:t>
      </w:r>
      <w:r>
        <w:rPr>
          <w:rFonts w:hint="eastAsia" w:asciiTheme="majorEastAsia" w:hAnsiTheme="majorEastAsia" w:eastAsiaTheme="majorEastAsia"/>
          <w:bCs/>
          <w:kern w:val="0"/>
          <w:sz w:val="18"/>
          <w:szCs w:val="18"/>
        </w:rPr>
        <w:t>】</w:t>
      </w:r>
    </w:p>
    <w:p>
      <w:pPr>
        <w:ind w:firstLine="448" w:firstLineChars="249"/>
        <w:rPr>
          <w:rFonts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p>
    <w:p>
      <w:pPr>
        <w:ind w:firstLine="448" w:firstLineChars="249"/>
        <w:rPr>
          <w:rFonts w:ascii="宋体" w:hAnsi="宋体" w:cs="仿宋_GB2312"/>
          <w:kern w:val="0"/>
          <w:sz w:val="18"/>
          <w:szCs w:val="18"/>
        </w:rPr>
      </w:pPr>
      <w:r>
        <w:rPr>
          <w:rFonts w:hint="eastAsia" w:ascii="宋体" w:hAnsi="宋体" w:cs="仿宋_GB2312"/>
          <w:kern w:val="0"/>
          <w:sz w:val="18"/>
          <w:szCs w:val="18"/>
        </w:rPr>
        <w:t>【稳利安盈2024年</w:t>
      </w:r>
      <w:r>
        <w:rPr>
          <w:rFonts w:hint="eastAsia" w:ascii="宋体" w:hAnsi="宋体" w:cs="仿宋_GB2312"/>
          <w:kern w:val="0"/>
          <w:sz w:val="18"/>
          <w:szCs w:val="18"/>
          <w:lang w:val="en-US" w:eastAsia="zh-CN"/>
        </w:rPr>
        <w:t>12</w:t>
      </w:r>
      <w:r>
        <w:rPr>
          <w:rFonts w:hint="eastAsia" w:ascii="宋体" w:hAnsi="宋体" w:cs="仿宋_GB2312"/>
          <w:kern w:val="0"/>
          <w:sz w:val="18"/>
          <w:szCs w:val="18"/>
        </w:rPr>
        <w:t>期</w:t>
      </w:r>
      <w:r>
        <w:rPr>
          <w:rFonts w:hint="eastAsia" w:ascii="宋体" w:hAnsi="宋体" w:cs="仿宋_GB2312"/>
          <w:kern w:val="0"/>
          <w:sz w:val="18"/>
          <w:szCs w:val="18"/>
          <w:lang w:val="en-US" w:eastAsia="zh-CN"/>
        </w:rPr>
        <w:t>A</w:t>
      </w:r>
      <w:r>
        <w:rPr>
          <w:rFonts w:hint="eastAsia" w:ascii="宋体" w:hAnsi="宋体" w:cs="仿宋_GB2312"/>
          <w:kern w:val="0"/>
          <w:sz w:val="18"/>
          <w:szCs w:val="18"/>
        </w:rPr>
        <w:t>（季季兴）】（适用【A】类份额）</w:t>
      </w:r>
    </w:p>
    <w:p>
      <w:pPr>
        <w:ind w:firstLine="448" w:firstLineChars="249"/>
        <w:rPr>
          <w:rFonts w:ascii="宋体" w:hAnsi="宋体" w:cs="仿宋_GB2312"/>
          <w:kern w:val="0"/>
          <w:sz w:val="18"/>
          <w:szCs w:val="18"/>
        </w:rPr>
      </w:pPr>
      <w:r>
        <w:rPr>
          <w:rFonts w:hint="eastAsia" w:ascii="宋体" w:hAnsi="宋体" w:cs="仿宋_GB2312"/>
          <w:kern w:val="0"/>
          <w:sz w:val="18"/>
          <w:szCs w:val="18"/>
        </w:rPr>
        <w:t>【稳利安盈2024年</w:t>
      </w:r>
      <w:r>
        <w:rPr>
          <w:rFonts w:hint="eastAsia" w:ascii="宋体" w:hAnsi="宋体" w:cs="仿宋_GB2312"/>
          <w:kern w:val="0"/>
          <w:sz w:val="18"/>
          <w:szCs w:val="18"/>
          <w:lang w:val="en-US" w:eastAsia="zh-CN"/>
        </w:rPr>
        <w:t>12</w:t>
      </w:r>
      <w:r>
        <w:rPr>
          <w:rFonts w:hint="eastAsia" w:ascii="宋体" w:hAnsi="宋体" w:cs="仿宋_GB2312"/>
          <w:kern w:val="0"/>
          <w:sz w:val="18"/>
          <w:szCs w:val="18"/>
        </w:rPr>
        <w:t>期</w:t>
      </w:r>
      <w:r>
        <w:rPr>
          <w:rFonts w:hint="eastAsia" w:ascii="宋体" w:hAnsi="宋体" w:cs="仿宋_GB2312"/>
          <w:kern w:val="0"/>
          <w:sz w:val="18"/>
          <w:szCs w:val="18"/>
          <w:lang w:val="en-US" w:eastAsia="zh-CN"/>
        </w:rPr>
        <w:t>B</w:t>
      </w:r>
      <w:r>
        <w:rPr>
          <w:rFonts w:hint="eastAsia" w:ascii="宋体" w:hAnsi="宋体" w:cs="仿宋_GB2312"/>
          <w:kern w:val="0"/>
          <w:sz w:val="18"/>
          <w:szCs w:val="18"/>
        </w:rPr>
        <w:t>（季季兴）】（适用【B】类份额）</w:t>
      </w:r>
    </w:p>
    <w:p>
      <w:pPr>
        <w:ind w:firstLine="448" w:firstLineChars="249"/>
        <w:rPr>
          <w:rFonts w:ascii="宋体" w:hAnsi="宋体" w:cs="仿宋_GB2312"/>
          <w:kern w:val="0"/>
          <w:sz w:val="18"/>
          <w:szCs w:val="18"/>
        </w:rPr>
      </w:pPr>
      <w:r>
        <w:rPr>
          <w:rFonts w:hint="eastAsia" w:ascii="宋体" w:hAnsi="宋体" w:cs="仿宋_GB2312"/>
          <w:kern w:val="0"/>
          <w:sz w:val="18"/>
          <w:szCs w:val="18"/>
        </w:rPr>
        <w:t>【稳利安盈2024年</w:t>
      </w:r>
      <w:r>
        <w:rPr>
          <w:rFonts w:hint="eastAsia" w:ascii="宋体" w:hAnsi="宋体" w:cs="仿宋_GB2312"/>
          <w:kern w:val="0"/>
          <w:sz w:val="18"/>
          <w:szCs w:val="18"/>
          <w:lang w:val="en-US" w:eastAsia="zh-CN"/>
        </w:rPr>
        <w:t>12</w:t>
      </w:r>
      <w:r>
        <w:rPr>
          <w:rFonts w:hint="eastAsia" w:ascii="宋体" w:hAnsi="宋体" w:cs="仿宋_GB2312"/>
          <w:kern w:val="0"/>
          <w:sz w:val="18"/>
          <w:szCs w:val="18"/>
        </w:rPr>
        <w:t>期</w:t>
      </w:r>
      <w:r>
        <w:rPr>
          <w:rFonts w:hint="eastAsia" w:ascii="宋体" w:hAnsi="宋体" w:cs="仿宋_GB2312"/>
          <w:kern w:val="0"/>
          <w:sz w:val="18"/>
          <w:szCs w:val="18"/>
          <w:lang w:val="en-US" w:eastAsia="zh-CN"/>
        </w:rPr>
        <w:t>C</w:t>
      </w:r>
      <w:r>
        <w:rPr>
          <w:rFonts w:hint="eastAsia" w:ascii="宋体" w:hAnsi="宋体" w:cs="仿宋_GB2312"/>
          <w:kern w:val="0"/>
          <w:sz w:val="18"/>
          <w:szCs w:val="18"/>
        </w:rPr>
        <w:t>（季季兴）】（适用【C】类份额）</w:t>
      </w:r>
    </w:p>
    <w:p>
      <w:pPr>
        <w:ind w:firstLine="448" w:firstLineChars="249"/>
        <w:rPr>
          <w:rFonts w:hint="eastAsia" w:ascii="宋体" w:hAnsi="宋体" w:cs="仿宋_GB2312"/>
          <w:kern w:val="0"/>
          <w:sz w:val="18"/>
          <w:szCs w:val="18"/>
        </w:rPr>
      </w:pPr>
      <w:r>
        <w:rPr>
          <w:rFonts w:hint="eastAsia" w:ascii="宋体" w:hAnsi="宋体" w:cs="仿宋_GB2312"/>
          <w:kern w:val="0"/>
          <w:sz w:val="18"/>
          <w:szCs w:val="18"/>
        </w:rPr>
        <w:t>【稳利安盈2024年</w:t>
      </w:r>
      <w:r>
        <w:rPr>
          <w:rFonts w:hint="eastAsia" w:ascii="宋体" w:hAnsi="宋体" w:cs="仿宋_GB2312"/>
          <w:kern w:val="0"/>
          <w:sz w:val="18"/>
          <w:szCs w:val="18"/>
          <w:lang w:val="en-US" w:eastAsia="zh-CN"/>
        </w:rPr>
        <w:t>12</w:t>
      </w:r>
      <w:r>
        <w:rPr>
          <w:rFonts w:hint="eastAsia" w:ascii="宋体" w:hAnsi="宋体" w:cs="仿宋_GB2312"/>
          <w:kern w:val="0"/>
          <w:sz w:val="18"/>
          <w:szCs w:val="18"/>
        </w:rPr>
        <w:t>期</w:t>
      </w:r>
      <w:r>
        <w:rPr>
          <w:rFonts w:hint="eastAsia" w:ascii="宋体" w:hAnsi="宋体" w:cs="仿宋_GB2312"/>
          <w:kern w:val="0"/>
          <w:sz w:val="18"/>
          <w:szCs w:val="18"/>
          <w:lang w:val="en-US" w:eastAsia="zh-CN"/>
        </w:rPr>
        <w:t>D</w:t>
      </w:r>
      <w:r>
        <w:rPr>
          <w:rFonts w:hint="eastAsia" w:ascii="宋体" w:hAnsi="宋体" w:cs="仿宋_GB2312"/>
          <w:kern w:val="0"/>
          <w:sz w:val="18"/>
          <w:szCs w:val="18"/>
        </w:rPr>
        <w:t>（季季兴）】（适用【D】类份额）</w:t>
      </w:r>
    </w:p>
    <w:p>
      <w:pPr>
        <w:ind w:firstLine="448" w:firstLineChars="249"/>
        <w:rPr>
          <w:rFonts w:ascii="宋体" w:hAnsi="宋体" w:cs="仿宋_GB2312"/>
          <w:kern w:val="0"/>
          <w:sz w:val="18"/>
          <w:szCs w:val="18"/>
        </w:rPr>
      </w:pPr>
      <w:r>
        <w:rPr>
          <w:rFonts w:hint="eastAsia" w:ascii="宋体" w:hAnsi="宋体" w:cs="仿宋_GB2312"/>
          <w:kern w:val="0"/>
          <w:sz w:val="18"/>
          <w:szCs w:val="18"/>
        </w:rPr>
        <w:t>【稳利安盈2024年</w:t>
      </w:r>
      <w:r>
        <w:rPr>
          <w:rFonts w:hint="eastAsia" w:ascii="宋体" w:hAnsi="宋体" w:cs="仿宋_GB2312"/>
          <w:kern w:val="0"/>
          <w:sz w:val="18"/>
          <w:szCs w:val="18"/>
          <w:lang w:val="en-US" w:eastAsia="zh-CN"/>
        </w:rPr>
        <w:t>12</w:t>
      </w:r>
      <w:r>
        <w:rPr>
          <w:rFonts w:hint="eastAsia" w:ascii="宋体" w:hAnsi="宋体" w:cs="仿宋_GB2312"/>
          <w:kern w:val="0"/>
          <w:sz w:val="18"/>
          <w:szCs w:val="18"/>
        </w:rPr>
        <w:t>期</w:t>
      </w:r>
      <w:r>
        <w:rPr>
          <w:rFonts w:hint="eastAsia" w:ascii="宋体" w:hAnsi="宋体" w:cs="仿宋_GB2312"/>
          <w:kern w:val="0"/>
          <w:sz w:val="18"/>
          <w:szCs w:val="18"/>
          <w:lang w:val="en-US" w:eastAsia="zh-CN"/>
        </w:rPr>
        <w:t>E</w:t>
      </w:r>
      <w:r>
        <w:rPr>
          <w:rFonts w:hint="eastAsia" w:ascii="宋体" w:hAnsi="宋体" w:cs="仿宋_GB2312"/>
          <w:kern w:val="0"/>
          <w:sz w:val="18"/>
          <w:szCs w:val="18"/>
        </w:rPr>
        <w:t>（季季兴）】（适用【</w:t>
      </w:r>
      <w:r>
        <w:rPr>
          <w:rFonts w:hint="eastAsia" w:ascii="宋体" w:hAnsi="宋体" w:cs="仿宋_GB2312"/>
          <w:kern w:val="0"/>
          <w:sz w:val="18"/>
          <w:szCs w:val="18"/>
          <w:lang w:val="en-US" w:eastAsia="zh-CN"/>
        </w:rPr>
        <w:t>E</w:t>
      </w:r>
      <w:r>
        <w:rPr>
          <w:rFonts w:hint="eastAsia" w:ascii="宋体" w:hAnsi="宋体" w:cs="仿宋_GB2312"/>
          <w:kern w:val="0"/>
          <w:sz w:val="18"/>
          <w:szCs w:val="18"/>
        </w:rPr>
        <w:t>】类份额）</w:t>
      </w:r>
    </w:p>
    <w:p>
      <w:pPr>
        <w:ind w:firstLine="448" w:firstLineChars="249"/>
        <w:rPr>
          <w:rFonts w:ascii="宋体" w:hAnsi="宋体" w:cs="仿宋_GB2312"/>
          <w:kern w:val="0"/>
          <w:sz w:val="18"/>
          <w:szCs w:val="18"/>
        </w:rPr>
      </w:pPr>
      <w:r>
        <w:rPr>
          <w:rFonts w:hint="eastAsia" w:ascii="宋体" w:hAnsi="宋体" w:cs="仿宋_GB2312"/>
          <w:kern w:val="0"/>
          <w:sz w:val="18"/>
          <w:szCs w:val="18"/>
        </w:rPr>
        <w:t>产品登记编码</w:t>
      </w:r>
      <w:r>
        <w:rPr>
          <w:rFonts w:ascii="宋体" w:hAnsi="宋体" w:cs="仿宋_GB2312"/>
          <w:kern w:val="0"/>
          <w:sz w:val="18"/>
          <w:szCs w:val="18"/>
        </w:rPr>
        <w:t>：【</w:t>
      </w:r>
      <w:r>
        <w:rPr>
          <w:rFonts w:hint="eastAsia" w:ascii="宋体" w:hAnsi="宋体" w:cs="仿宋_GB2312"/>
          <w:kern w:val="0"/>
          <w:sz w:val="18"/>
          <w:szCs w:val="18"/>
          <w:lang w:val="en-US" w:eastAsia="zh-CN"/>
        </w:rPr>
        <w:t>Z7002024000296</w:t>
      </w:r>
      <w:r>
        <w:rPr>
          <w:rFonts w:ascii="STSong-Light" w:hAnsi="STSong-Light" w:eastAsia="STSong-Light" w:cs="STSong-Light"/>
          <w:color w:val="000000"/>
          <w:kern w:val="0"/>
          <w:sz w:val="20"/>
          <w:szCs w:val="20"/>
          <w:lang w:val="en-US" w:eastAsia="zh-CN" w:bidi="ar"/>
        </w:rPr>
        <w:t xml:space="preserve"> </w:t>
      </w:r>
      <w:r>
        <w:rPr>
          <w:rFonts w:ascii="宋体" w:hAnsi="宋体" w:cs="仿宋_GB2312"/>
          <w:kern w:val="0"/>
          <w:sz w:val="18"/>
          <w:szCs w:val="18"/>
        </w:rPr>
        <w:t>】</w:t>
      </w:r>
    </w:p>
    <w:p>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pPr>
        <w:ind w:firstLine="448" w:firstLineChars="249"/>
        <w:rPr>
          <w:rFonts w:ascii="宋体" w:hAnsi="宋体" w:cs="仿宋_GB2312"/>
          <w:kern w:val="0"/>
          <w:sz w:val="18"/>
          <w:szCs w:val="18"/>
        </w:rPr>
      </w:pPr>
      <w:r>
        <w:rPr>
          <w:rFonts w:hint="eastAsia" w:ascii="宋体" w:hAnsi="宋体" w:cs="仿宋_GB2312"/>
          <w:kern w:val="0"/>
          <w:sz w:val="18"/>
          <w:szCs w:val="18"/>
        </w:rPr>
        <w:t>【公募、封闭式、固定收益</w:t>
      </w:r>
      <w:r>
        <w:rPr>
          <w:rFonts w:ascii="宋体" w:hAnsi="宋体" w:cs="仿宋_GB2312"/>
          <w:kern w:val="0"/>
          <w:sz w:val="18"/>
          <w:szCs w:val="18"/>
        </w:rPr>
        <w:t>类</w:t>
      </w:r>
      <w:r>
        <w:rPr>
          <w:rFonts w:hint="eastAsia" w:ascii="宋体" w:hAnsi="宋体" w:cs="仿宋_GB2312"/>
          <w:kern w:val="0"/>
          <w:sz w:val="18"/>
          <w:szCs w:val="18"/>
        </w:rPr>
        <w:t>、非保本浮动</w:t>
      </w:r>
      <w:r>
        <w:rPr>
          <w:rFonts w:ascii="宋体" w:hAnsi="宋体" w:cs="仿宋_GB2312"/>
          <w:kern w:val="0"/>
          <w:sz w:val="18"/>
          <w:szCs w:val="18"/>
        </w:rPr>
        <w:t>收益</w:t>
      </w:r>
      <w:r>
        <w:rPr>
          <w:rFonts w:hint="eastAsia" w:ascii="宋体" w:hAnsi="宋体" w:cs="仿宋_GB2312"/>
          <w:kern w:val="0"/>
          <w:sz w:val="18"/>
          <w:szCs w:val="18"/>
        </w:rPr>
        <w:t>、净值型】理财产品。</w:t>
      </w:r>
    </w:p>
    <w:p>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pPr>
        <w:ind w:firstLine="448" w:firstLineChars="249"/>
        <w:rPr>
          <w:rFonts w:asciiTheme="majorEastAsia" w:hAnsiTheme="majorEastAsia" w:eastAsiaTheme="majorEastAsia"/>
          <w:bCs/>
          <w:sz w:val="18"/>
          <w:szCs w:val="18"/>
        </w:rPr>
      </w:pPr>
      <w:r>
        <w:rPr>
          <w:rFonts w:hint="eastAsia" w:asciiTheme="majorEastAsia" w:hAnsiTheme="majorEastAsia" w:eastAsiaTheme="majorEastAsia"/>
          <w:bCs/>
          <w:sz w:val="18"/>
          <w:szCs w:val="18"/>
        </w:rPr>
        <w:t>■有固定期限：【</w:t>
      </w:r>
      <w:r>
        <w:rPr>
          <w:rFonts w:hint="eastAsia" w:asciiTheme="majorEastAsia" w:hAnsiTheme="majorEastAsia" w:eastAsiaTheme="majorEastAsia"/>
          <w:bCs/>
          <w:sz w:val="18"/>
          <w:szCs w:val="18"/>
          <w:lang w:val="en-US" w:eastAsia="zh-CN"/>
        </w:rPr>
        <w:t>140</w:t>
      </w:r>
      <w:r>
        <w:rPr>
          <w:rFonts w:hint="eastAsia" w:asciiTheme="majorEastAsia" w:hAnsiTheme="majorEastAsia" w:eastAsiaTheme="majorEastAsia"/>
          <w:bCs/>
          <w:sz w:val="18"/>
          <w:szCs w:val="18"/>
        </w:rPr>
        <w:t>天】</w:t>
      </w:r>
    </w:p>
    <w:p>
      <w:pPr>
        <w:ind w:firstLine="448" w:firstLineChars="249"/>
        <w:rPr>
          <w:rFonts w:ascii="宋体" w:hAnsi="宋体" w:cs="仿宋_GB2312"/>
          <w:kern w:val="0"/>
          <w:sz w:val="18"/>
          <w:szCs w:val="18"/>
        </w:rPr>
      </w:pPr>
      <w:r>
        <w:rPr>
          <w:rFonts w:hint="eastAsia" w:asciiTheme="majorEastAsia" w:hAnsiTheme="majorEastAsia" w:eastAsiaTheme="majorEastAsia"/>
          <w:bCs/>
          <w:sz w:val="18"/>
          <w:szCs w:val="18"/>
        </w:rPr>
        <w:t>□无固定期限</w:t>
      </w:r>
      <w:r>
        <w:rPr>
          <w:rFonts w:ascii="宋体" w:hAnsi="宋体" w:cs="仿宋_GB2312"/>
          <w:kern w:val="0"/>
          <w:sz w:val="18"/>
          <w:szCs w:val="18"/>
        </w:rPr>
        <w:t>。</w:t>
      </w:r>
    </w:p>
    <w:p>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本理财产品风险评级最终定义为【R</w:t>
      </w:r>
      <w:r>
        <w:rPr>
          <w:rFonts w:ascii="宋体" w:hAnsi="宋体" w:cs="仿宋_GB2312"/>
          <w:kern w:val="0"/>
          <w:sz w:val="18"/>
          <w:szCs w:val="18"/>
        </w:rPr>
        <w:t>1】</w:t>
      </w:r>
      <w:r>
        <w:rPr>
          <w:rFonts w:hint="eastAsia" w:ascii="宋体" w:hAnsi="宋体" w:cs="仿宋_GB2312"/>
          <w:kern w:val="0"/>
          <w:sz w:val="18"/>
          <w:szCs w:val="18"/>
        </w:rPr>
        <w:t>（产品管理人定义的产品风险评级为【R</w:t>
      </w:r>
      <w:r>
        <w:rPr>
          <w:rFonts w:ascii="宋体" w:hAnsi="宋体" w:cs="仿宋_GB2312"/>
          <w:kern w:val="0"/>
          <w:sz w:val="18"/>
          <w:szCs w:val="18"/>
        </w:rPr>
        <w:t>1</w:t>
      </w:r>
      <w:r>
        <w:rPr>
          <w:rFonts w:hint="eastAsia" w:ascii="宋体" w:hAnsi="宋体" w:cs="仿宋_GB2312"/>
          <w:kern w:val="0"/>
          <w:sz w:val="18"/>
          <w:szCs w:val="18"/>
        </w:rPr>
        <w:t>】；代理销售机构定义的产品风险评级为【R</w:t>
      </w:r>
      <w:r>
        <w:rPr>
          <w:rFonts w:ascii="宋体" w:hAnsi="宋体" w:cs="仿宋_GB2312"/>
          <w:kern w:val="0"/>
          <w:sz w:val="18"/>
          <w:szCs w:val="18"/>
        </w:rPr>
        <w:t>1</w:t>
      </w:r>
      <w:r>
        <w:rPr>
          <w:rFonts w:hint="eastAsia" w:ascii="宋体" w:hAnsi="宋体" w:cs="仿宋_GB2312"/>
          <w:kern w:val="0"/>
          <w:sz w:val="18"/>
          <w:szCs w:val="18"/>
        </w:rPr>
        <w:t>】）。</w:t>
      </w:r>
      <w:r>
        <w:rPr>
          <w:rFonts w:hint="eastAsia" w:asciiTheme="majorEastAsia" w:hAnsiTheme="majorEastAsia" w:eastAsiaTheme="majorEastAsia"/>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sz w:val="18"/>
          <w:szCs w:val="18"/>
        </w:rPr>
        <w:t>■</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C6】</w:t>
      </w:r>
      <w:r>
        <w:rPr>
          <w:rFonts w:hint="eastAsia" w:asciiTheme="majorEastAsia" w:hAnsiTheme="majorEastAsia" w:eastAsiaTheme="majorEastAsia"/>
          <w:bCs/>
          <w:color w:val="000000" w:themeColor="text1"/>
          <w:sz w:val="18"/>
          <w:szCs w:val="18"/>
          <w14:textFill>
            <w14:solidFill>
              <w14:schemeClr w14:val="tx1"/>
            </w14:solidFill>
          </w14:textFill>
        </w:rPr>
        <w:t>。</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□机构投资者：□一般</w:t>
      </w:r>
      <w:r>
        <w:rPr>
          <w:rFonts w:asciiTheme="majorEastAsia" w:hAnsiTheme="majorEastAsia" w:eastAsiaTheme="majorEastAsia"/>
          <w:bCs/>
          <w:color w:val="000000" w:themeColor="text1"/>
          <w:sz w:val="18"/>
          <w:szCs w:val="18"/>
          <w14:textFill>
            <w14:solidFill>
              <w14:schemeClr w14:val="tx1"/>
            </w14:solidFill>
          </w14:textFill>
        </w:rPr>
        <w:t>机构</w:t>
      </w:r>
      <w:r>
        <w:rPr>
          <w:rFonts w:hint="eastAsia" w:asciiTheme="majorEastAsia" w:hAnsiTheme="majorEastAsia" w:eastAsiaTheme="majorEastAsia"/>
          <w:bCs/>
          <w:color w:val="000000" w:themeColor="text1"/>
          <w:sz w:val="18"/>
          <w:szCs w:val="18"/>
          <w14:textFill>
            <w14:solidFill>
              <w14:schemeClr w14:val="tx1"/>
            </w14:solidFill>
          </w14:textFill>
        </w:rPr>
        <w:t>客户【□</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，□金融同业客户。</w:t>
      </w:r>
    </w:p>
    <w:p>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pPr>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spacing w:line="360" w:lineRule="auto"/>
        <w:ind w:firstLine="360" w:firstLineChars="200"/>
        <w:rPr>
          <w:rFonts w:ascii="宋体" w:hAnsi="宋体"/>
          <w:sz w:val="18"/>
          <w:szCs w:val="18"/>
        </w:rPr>
      </w:pPr>
      <w:r>
        <w:rPr>
          <w:rFonts w:hint="eastAsia" w:ascii="宋体" w:hAnsi="宋体"/>
          <w:sz w:val="18"/>
          <w:szCs w:val="18"/>
        </w:rPr>
        <w:t>【1、拟投资市场和资产的风险：</w:t>
      </w:r>
    </w:p>
    <w:p>
      <w:pPr>
        <w:spacing w:line="360" w:lineRule="auto"/>
        <w:ind w:firstLine="360" w:firstLineChars="200"/>
        <w:rPr>
          <w:rFonts w:ascii="宋体" w:hAnsi="宋体"/>
          <w:sz w:val="18"/>
          <w:szCs w:val="18"/>
        </w:rPr>
      </w:pPr>
      <w:r>
        <w:rPr>
          <w:rFonts w:hint="eastAsia" w:ascii="宋体" w:hAnsi="宋体"/>
          <w:sz w:val="18"/>
          <w:szCs w:val="18"/>
        </w:rPr>
        <w:t>（1）投资债权类资产的风险</w:t>
      </w:r>
    </w:p>
    <w:p>
      <w:pPr>
        <w:spacing w:line="360" w:lineRule="auto"/>
        <w:ind w:firstLine="360" w:firstLineChars="200"/>
        <w:rPr>
          <w:rFonts w:ascii="宋体" w:hAnsi="宋体"/>
          <w:sz w:val="18"/>
          <w:szCs w:val="18"/>
        </w:rPr>
      </w:pPr>
      <w:r>
        <w:rPr>
          <w:rFonts w:hint="eastAsia" w:ascii="宋体" w:hAnsi="宋体"/>
          <w:sz w:val="18"/>
          <w:szCs w:val="18"/>
        </w:rPr>
        <w:t>1）投资标准化债权类资产的风险</w:t>
      </w:r>
    </w:p>
    <w:p>
      <w:pPr>
        <w:spacing w:line="360" w:lineRule="auto"/>
        <w:ind w:firstLine="360" w:firstLineChars="200"/>
        <w:rPr>
          <w:rFonts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spacing w:line="360" w:lineRule="auto"/>
        <w:ind w:firstLine="360" w:firstLineChars="200"/>
        <w:rPr>
          <w:rFonts w:ascii="宋体" w:hAnsi="宋体"/>
          <w:sz w:val="18"/>
          <w:szCs w:val="18"/>
        </w:rPr>
      </w:pPr>
      <w:r>
        <w:rPr>
          <w:rFonts w:hint="eastAsia" w:ascii="宋体" w:hAnsi="宋体"/>
          <w:sz w:val="18"/>
          <w:szCs w:val="18"/>
        </w:rPr>
        <w:t>2）投资非标准化债权类资产的风险</w:t>
      </w:r>
    </w:p>
    <w:p>
      <w:pPr>
        <w:spacing w:line="360" w:lineRule="auto"/>
        <w:ind w:firstLine="360" w:firstLineChars="200"/>
        <w:rPr>
          <w:rFonts w:ascii="宋体" w:hAnsi="宋体"/>
          <w:sz w:val="18"/>
          <w:szCs w:val="18"/>
        </w:rPr>
      </w:pPr>
      <w:r>
        <w:rPr>
          <w:rFonts w:hint="eastAsia" w:ascii="宋体" w:hAnsi="宋体"/>
          <w:sz w:val="18"/>
          <w:szCs w:val="18"/>
        </w:rPr>
        <w:t>本产品投资非标债权类资产时可能面临以下风险：由于融资主体/增信主体/其他义务人还款履约能力可能的变化导致的信用风险（包括但不限于：融资主体提前还款、延期还款或逾期还款的风险；增信主体未能履行增信义务（例如：保证担保、差额补足、远期回购、流动性支持等增信措施）的风险）；非标债权类资产可能因其无法等分化交易、信息披露不充分、未能集中登记和独立托管、缺乏公允性定价和流动机制不完善、未在银行间市场、证券交易所市场等国务院同意设立的交易市场交易等原因，从而缺乏交易对手，导致流动性风险等。</w:t>
      </w:r>
    </w:p>
    <w:p>
      <w:pPr>
        <w:spacing w:line="360" w:lineRule="auto"/>
        <w:ind w:firstLine="360" w:firstLineChars="200"/>
        <w:rPr>
          <w:rFonts w:ascii="宋体" w:hAnsi="宋体"/>
          <w:bCs/>
          <w:sz w:val="18"/>
          <w:szCs w:val="18"/>
        </w:rPr>
      </w:pPr>
      <w:r>
        <w:rPr>
          <w:rFonts w:hint="eastAsia" w:ascii="宋体" w:hAnsi="宋体"/>
          <w:bCs/>
          <w:sz w:val="18"/>
          <w:szCs w:val="18"/>
        </w:rPr>
        <w:t xml:space="preserve">（2）投资商品和金融衍生品类资产的风险 </w:t>
      </w:r>
    </w:p>
    <w:p>
      <w:pPr>
        <w:pStyle w:val="12"/>
        <w:spacing w:line="360" w:lineRule="auto"/>
        <w:ind w:firstLine="360"/>
        <w:rPr>
          <w:rFonts w:ascii="宋体" w:hAnsi="宋体"/>
          <w:sz w:val="18"/>
          <w:szCs w:val="18"/>
        </w:rPr>
      </w:pPr>
      <w:r>
        <w:rPr>
          <w:rFonts w:hint="eastAsia" w:ascii="宋体" w:hAnsi="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pPr>
        <w:pStyle w:val="12"/>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pStyle w:val="12"/>
        <w:ind w:firstLine="426"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p>
    <w:p>
      <w:pPr>
        <w:pStyle w:val="12"/>
        <w:ind w:firstLine="426" w:firstLineChars="0"/>
        <w:rPr>
          <w:rFonts w:ascii="宋体" w:hAnsi="宋体" w:cs="仿宋_GB2312"/>
          <w:kern w:val="0"/>
          <w:sz w:val="18"/>
          <w:szCs w:val="18"/>
        </w:rPr>
      </w:pP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pStyle w:val="12"/>
        <w:ind w:firstLine="426" w:firstLineChars="0"/>
        <w:rPr>
          <w:rFonts w:ascii="宋体" w:hAnsi="宋体"/>
          <w:b/>
          <w:bCs/>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p>
    <w:p>
      <w:pPr>
        <w:pStyle w:val="12"/>
        <w:ind w:firstLine="426" w:firstLineChars="0"/>
        <w:rPr>
          <w:rFonts w:ascii="宋体" w:hAnsi="宋体" w:cs="仿宋_GB2312"/>
          <w:kern w:val="0"/>
          <w:sz w:val="18"/>
          <w:szCs w:val="18"/>
        </w:rPr>
      </w:pP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pStyle w:val="12"/>
        <w:ind w:firstLine="426" w:firstLineChars="0"/>
        <w:rPr>
          <w:rFonts w:ascii="宋体" w:hAnsi="宋体"/>
          <w:b/>
          <w:bCs/>
          <w:sz w:val="18"/>
          <w:szCs w:val="18"/>
        </w:rPr>
      </w:pPr>
      <w:r>
        <w:rPr>
          <w:rFonts w:hint="eastAsia" w:ascii="宋体" w:hAnsi="宋体"/>
          <w:b/>
          <w:bCs/>
          <w:sz w:val="18"/>
          <w:szCs w:val="18"/>
        </w:rPr>
        <w:t>3.市场</w:t>
      </w:r>
      <w:r>
        <w:rPr>
          <w:rFonts w:ascii="宋体" w:hAnsi="宋体"/>
          <w:b/>
          <w:bCs/>
          <w:sz w:val="18"/>
          <w:szCs w:val="18"/>
        </w:rPr>
        <w:t>风险</w:t>
      </w:r>
    </w:p>
    <w:p>
      <w:pPr>
        <w:pStyle w:val="12"/>
        <w:ind w:firstLine="426" w:firstLineChars="0"/>
        <w:rPr>
          <w:rFonts w:ascii="宋体" w:hAnsi="宋体" w:cs="仿宋_GB2312"/>
          <w:kern w:val="0"/>
          <w:sz w:val="18"/>
          <w:szCs w:val="18"/>
        </w:rPr>
      </w:pP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pStyle w:val="12"/>
        <w:ind w:firstLine="426" w:firstLineChars="0"/>
        <w:rPr>
          <w:rFonts w:ascii="宋体" w:hAnsi="宋体" w:cs="仿宋_GB2312"/>
          <w:b/>
          <w:kern w:val="0"/>
          <w:sz w:val="18"/>
          <w:szCs w:val="18"/>
        </w:rPr>
      </w:pPr>
      <w:r>
        <w:rPr>
          <w:rFonts w:hint="eastAsia" w:ascii="宋体" w:hAnsi="宋体" w:cs="仿宋_GB2312"/>
          <w:b/>
          <w:kern w:val="0"/>
          <w:sz w:val="18"/>
          <w:szCs w:val="18"/>
        </w:rPr>
        <w:t>4.流动性风险</w:t>
      </w:r>
    </w:p>
    <w:p>
      <w:pPr>
        <w:pStyle w:val="12"/>
        <w:ind w:firstLine="426" w:firstLineChars="0"/>
        <w:rPr>
          <w:rFonts w:ascii="宋体" w:hAnsi="宋体" w:cs="仿宋_GB2312"/>
          <w:bCs/>
          <w:kern w:val="0"/>
          <w:sz w:val="18"/>
          <w:szCs w:val="18"/>
        </w:rPr>
      </w:pP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pStyle w:val="12"/>
        <w:ind w:firstLine="426" w:firstLineChars="0"/>
        <w:rPr>
          <w:rFonts w:ascii="宋体" w:hAnsi="宋体" w:cs="仿宋_GB2312"/>
          <w:b/>
          <w:kern w:val="0"/>
          <w:sz w:val="18"/>
          <w:szCs w:val="18"/>
        </w:rPr>
      </w:pPr>
      <w:r>
        <w:rPr>
          <w:rFonts w:hint="eastAsia" w:ascii="宋体" w:hAnsi="宋体" w:cs="仿宋_GB2312"/>
          <w:b/>
          <w:kern w:val="0"/>
          <w:sz w:val="18"/>
          <w:szCs w:val="18"/>
        </w:rPr>
        <w:t>5.</w:t>
      </w:r>
      <w:r>
        <w:rPr>
          <w:rFonts w:ascii="宋体" w:hAnsi="宋体" w:cs="仿宋_GB2312"/>
          <w:b/>
          <w:kern w:val="0"/>
          <w:sz w:val="18"/>
          <w:szCs w:val="18"/>
        </w:rPr>
        <w:t>法律与政策风险</w:t>
      </w:r>
    </w:p>
    <w:p>
      <w:pPr>
        <w:pStyle w:val="12"/>
        <w:ind w:firstLine="426" w:firstLineChars="0"/>
        <w:rPr>
          <w:rFonts w:ascii="宋体" w:hAnsi="宋体" w:cs="仿宋_GB2312"/>
          <w:kern w:val="0"/>
          <w:sz w:val="18"/>
          <w:szCs w:val="18"/>
        </w:rPr>
      </w:pP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pPr>
        <w:pStyle w:val="12"/>
        <w:ind w:firstLine="426" w:firstLineChars="0"/>
        <w:rPr>
          <w:rFonts w:ascii="宋体" w:hAnsi="宋体"/>
          <w:b/>
          <w:bCs/>
          <w:sz w:val="18"/>
          <w:szCs w:val="18"/>
        </w:rPr>
      </w:pPr>
      <w:r>
        <w:rPr>
          <w:rFonts w:hint="eastAsia" w:ascii="宋体" w:hAnsi="宋体"/>
          <w:b/>
          <w:bCs/>
          <w:sz w:val="18"/>
          <w:szCs w:val="18"/>
        </w:rPr>
        <w:t>6.</w:t>
      </w:r>
      <w:r>
        <w:rPr>
          <w:rFonts w:ascii="宋体" w:hAnsi="宋体"/>
          <w:b/>
          <w:bCs/>
          <w:sz w:val="18"/>
          <w:szCs w:val="18"/>
        </w:rPr>
        <w:t>延期</w:t>
      </w:r>
      <w:r>
        <w:rPr>
          <w:rFonts w:hint="eastAsia" w:ascii="宋体" w:hAnsi="宋体"/>
          <w:b/>
          <w:bCs/>
          <w:sz w:val="18"/>
          <w:szCs w:val="18"/>
        </w:rPr>
        <w:t>终止</w:t>
      </w:r>
      <w:r>
        <w:rPr>
          <w:rFonts w:ascii="宋体" w:hAnsi="宋体"/>
          <w:b/>
          <w:bCs/>
          <w:sz w:val="18"/>
          <w:szCs w:val="18"/>
        </w:rPr>
        <w:t>风险</w:t>
      </w:r>
    </w:p>
    <w:p>
      <w:pPr>
        <w:pStyle w:val="12"/>
        <w:ind w:firstLine="426" w:firstLineChars="0"/>
        <w:rPr>
          <w:rFonts w:ascii="宋体" w:hAnsi="宋体" w:cs="仿宋_GB2312"/>
          <w:kern w:val="0"/>
          <w:sz w:val="18"/>
          <w:szCs w:val="18"/>
        </w:rPr>
      </w:pP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pPr>
        <w:pStyle w:val="12"/>
        <w:ind w:firstLine="426" w:firstLineChars="0"/>
        <w:rPr>
          <w:rFonts w:ascii="宋体" w:hAnsi="宋体" w:cs="仿宋_GB2312"/>
          <w:b/>
          <w:kern w:val="0"/>
          <w:sz w:val="18"/>
          <w:szCs w:val="18"/>
        </w:rPr>
      </w:pPr>
      <w:r>
        <w:rPr>
          <w:rFonts w:hint="eastAsia" w:ascii="宋体" w:hAnsi="宋体" w:cs="仿宋_GB2312"/>
          <w:b/>
          <w:kern w:val="0"/>
          <w:sz w:val="18"/>
          <w:szCs w:val="18"/>
        </w:rPr>
        <w:t>7.</w:t>
      </w:r>
      <w:r>
        <w:rPr>
          <w:rFonts w:ascii="宋体" w:hAnsi="宋体" w:cs="仿宋_GB2312"/>
          <w:b/>
          <w:kern w:val="0"/>
          <w:sz w:val="18"/>
          <w:szCs w:val="18"/>
        </w:rPr>
        <w:t>提前终止风险</w:t>
      </w:r>
    </w:p>
    <w:p>
      <w:pPr>
        <w:pStyle w:val="12"/>
        <w:ind w:firstLine="426" w:firstLineChars="0"/>
        <w:rPr>
          <w:rFonts w:ascii="宋体" w:hAnsi="宋体" w:cs="仿宋_GB2312"/>
          <w:kern w:val="0"/>
          <w:sz w:val="18"/>
          <w:szCs w:val="18"/>
        </w:rPr>
      </w:pPr>
      <w:r>
        <w:rPr>
          <w:rFonts w:hint="eastAsia" w:ascii="宋体" w:hAnsi="宋体" w:cs="仿宋_GB2312"/>
          <w:kern w:val="0"/>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pStyle w:val="12"/>
        <w:ind w:firstLine="426" w:firstLineChars="0"/>
        <w:rPr>
          <w:rFonts w:ascii="黑体" w:hAnsi="黑体" w:eastAsia="黑体" w:cs="黑体"/>
          <w:b/>
          <w:bCs/>
          <w:sz w:val="18"/>
          <w:szCs w:val="18"/>
        </w:rPr>
      </w:pPr>
      <w:r>
        <w:rPr>
          <w:rFonts w:hint="eastAsia" w:ascii="黑体" w:hAnsi="黑体" w:eastAsia="黑体" w:cs="黑体"/>
          <w:b/>
          <w:bCs/>
          <w:sz w:val="18"/>
          <w:szCs w:val="18"/>
        </w:rPr>
        <w:t>8.</w:t>
      </w:r>
      <w:r>
        <w:rPr>
          <w:rFonts w:hint="eastAsia" w:ascii="黑体" w:hAnsi="黑体" w:eastAsia="黑体" w:cs="黑体"/>
          <w:sz w:val="18"/>
          <w:szCs w:val="18"/>
        </w:rPr>
        <w:t>★</w:t>
      </w:r>
      <w:r>
        <w:rPr>
          <w:rFonts w:hint="eastAsia" w:ascii="黑体" w:hAnsi="黑体" w:eastAsia="黑体" w:cs="黑体"/>
          <w:b/>
          <w:bCs/>
          <w:sz w:val="18"/>
          <w:szCs w:val="18"/>
        </w:rPr>
        <w:t>信息传递风险</w:t>
      </w:r>
    </w:p>
    <w:p>
      <w:pPr>
        <w:pStyle w:val="12"/>
        <w:ind w:firstLine="426" w:firstLineChars="0"/>
        <w:rPr>
          <w:rFonts w:ascii="黑体" w:hAnsi="黑体" w:eastAsia="黑体" w:cs="黑体"/>
          <w:kern w:val="0"/>
          <w:sz w:val="18"/>
          <w:szCs w:val="18"/>
        </w:rPr>
      </w:pPr>
      <w:r>
        <w:rPr>
          <w:rFonts w:hint="eastAsia" w:ascii="黑体" w:hAnsi="黑体" w:eastAsia="黑体" w:cs="黑体"/>
          <w:kern w:val="0"/>
          <w:sz w:val="18"/>
          <w:szCs w:val="18"/>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pPr>
        <w:ind w:firstLine="361" w:firstLineChars="200"/>
        <w:rPr>
          <w:rFonts w:ascii="宋体" w:hAnsi="宋体"/>
          <w:b/>
          <w:bCs/>
          <w:sz w:val="18"/>
          <w:szCs w:val="18"/>
        </w:rPr>
      </w:pPr>
      <w:r>
        <w:rPr>
          <w:rFonts w:hint="eastAsia" w:ascii="宋体" w:hAnsi="宋体"/>
          <w:b/>
          <w:bCs/>
          <w:sz w:val="18"/>
          <w:szCs w:val="18"/>
        </w:rPr>
        <w:t>9.</w:t>
      </w:r>
      <w:r>
        <w:rPr>
          <w:rFonts w:ascii="宋体" w:hAnsi="宋体"/>
          <w:b/>
          <w:bCs/>
          <w:sz w:val="18"/>
          <w:szCs w:val="18"/>
        </w:rPr>
        <w:t>不可抗力及意外事件风险</w:t>
      </w:r>
    </w:p>
    <w:p>
      <w:pPr>
        <w:ind w:firstLine="360" w:firstLineChars="200"/>
        <w:rPr>
          <w:rFonts w:ascii="宋体" w:hAnsi="宋体"/>
          <w:bCs/>
          <w:sz w:val="18"/>
          <w:szCs w:val="18"/>
        </w:rPr>
      </w:pPr>
      <w:r>
        <w:rPr>
          <w:rFonts w:hint="eastAsia" w:ascii="宋体" w:hAnsi="宋体"/>
          <w:bCs/>
          <w:sz w:val="18"/>
          <w:szCs w:val="18"/>
        </w:rPr>
        <w:t>因战争、自然灾害、重大政治事件等不可抗力以及其他不可预见的意外事件可能致使理财产品面临损失的风险。</w:t>
      </w:r>
    </w:p>
    <w:p>
      <w:pPr>
        <w:pStyle w:val="12"/>
        <w:ind w:firstLine="361"/>
        <w:rPr>
          <w:rFonts w:ascii="宋体" w:hAnsi="宋体"/>
          <w:b/>
          <w:bCs/>
          <w:sz w:val="18"/>
          <w:szCs w:val="18"/>
        </w:rPr>
      </w:pPr>
      <w:r>
        <w:rPr>
          <w:rFonts w:hint="eastAsia" w:ascii="宋体" w:hAnsi="宋体"/>
          <w:b/>
          <w:bCs/>
          <w:sz w:val="18"/>
          <w:szCs w:val="18"/>
        </w:rPr>
        <w:t>10.</w:t>
      </w:r>
      <w:r>
        <w:rPr>
          <w:rFonts w:ascii="宋体" w:hAnsi="宋体"/>
          <w:b/>
          <w:bCs/>
          <w:sz w:val="18"/>
          <w:szCs w:val="18"/>
        </w:rPr>
        <w:t>管理人风险</w:t>
      </w:r>
    </w:p>
    <w:p>
      <w:pPr>
        <w:pStyle w:val="12"/>
        <w:ind w:firstLine="360"/>
        <w:rPr>
          <w:rFonts w:ascii="宋体" w:hAnsi="宋体"/>
          <w:bCs/>
          <w:sz w:val="18"/>
          <w:szCs w:val="18"/>
        </w:rPr>
      </w:pPr>
      <w:r>
        <w:rPr>
          <w:rFonts w:hint="eastAsia" w:ascii="宋体" w:hAnsi="宋体"/>
          <w:bCs/>
          <w:sz w:val="18"/>
          <w:szCs w:val="18"/>
        </w:rPr>
        <w:t>理财产品管理人或理财投资资产相关服务机构受经验、技能等因素的限制，或者上述主体处理事务不当等，可能导致投资者遭受损失。</w:t>
      </w:r>
    </w:p>
    <w:p>
      <w:pPr>
        <w:pStyle w:val="12"/>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1.理财产品不成立风险</w:t>
      </w:r>
    </w:p>
    <w:p>
      <w:pPr>
        <w:pStyle w:val="12"/>
        <w:ind w:firstLine="360"/>
        <w:rPr>
          <w:rFonts w:ascii="宋体" w:hAnsi="宋体"/>
          <w:bCs/>
          <w:sz w:val="18"/>
          <w:szCs w:val="18"/>
        </w:rPr>
      </w:pP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pPr>
        <w:pStyle w:val="12"/>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2.</w:t>
      </w:r>
      <w:r>
        <w:rPr>
          <w:rFonts w:ascii="宋体" w:hAnsi="宋体"/>
          <w:b/>
          <w:bCs/>
          <w:sz w:val="18"/>
          <w:szCs w:val="18"/>
        </w:rPr>
        <w:t>操作风险</w:t>
      </w:r>
    </w:p>
    <w:p>
      <w:pPr>
        <w:pStyle w:val="12"/>
        <w:ind w:firstLine="360"/>
        <w:rPr>
          <w:rFonts w:ascii="宋体" w:hAnsi="宋体"/>
          <w:bCs/>
          <w:sz w:val="18"/>
          <w:szCs w:val="18"/>
        </w:rPr>
      </w:pP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pPr>
        <w:pStyle w:val="12"/>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3</w:t>
      </w:r>
      <w:r>
        <w:rPr>
          <w:rFonts w:ascii="宋体" w:hAnsi="宋体"/>
          <w:b/>
          <w:bCs/>
          <w:sz w:val="18"/>
          <w:szCs w:val="18"/>
        </w:rPr>
        <w:t>.估值</w:t>
      </w:r>
      <w:r>
        <w:rPr>
          <w:rFonts w:hint="eastAsia" w:ascii="宋体" w:hAnsi="宋体"/>
          <w:b/>
          <w:bCs/>
          <w:sz w:val="18"/>
          <w:szCs w:val="18"/>
        </w:rPr>
        <w:t>波动</w:t>
      </w:r>
      <w:r>
        <w:rPr>
          <w:rFonts w:ascii="宋体" w:hAnsi="宋体"/>
          <w:b/>
          <w:bCs/>
          <w:sz w:val="18"/>
          <w:szCs w:val="18"/>
        </w:rPr>
        <w:t>风险</w:t>
      </w:r>
    </w:p>
    <w:p>
      <w:pPr>
        <w:pStyle w:val="12"/>
        <w:ind w:firstLine="360"/>
        <w:rPr>
          <w:rFonts w:ascii="宋体" w:hAnsi="宋体"/>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本理财产品可能</w:t>
      </w:r>
      <w:r>
        <w:rPr>
          <w:rFonts w:asciiTheme="majorEastAsia" w:hAnsiTheme="majorEastAsia" w:eastAsiaTheme="majorEastAsia"/>
          <w:bCs/>
          <w:color w:val="000000" w:themeColor="text1"/>
          <w:sz w:val="18"/>
          <w:szCs w:val="18"/>
          <w14:textFill>
            <w14:solidFill>
              <w14:schemeClr w14:val="tx1"/>
            </w14:solidFill>
          </w14:textFill>
        </w:rPr>
        <w:t>投资符合监管</w:t>
      </w:r>
      <w:r>
        <w:rPr>
          <w:rFonts w:hint="eastAsia" w:asciiTheme="majorEastAsia" w:hAnsiTheme="majorEastAsia" w:eastAsiaTheme="majorEastAsia"/>
          <w:bCs/>
          <w:color w:val="000000" w:themeColor="text1"/>
          <w:sz w:val="18"/>
          <w:szCs w:val="18"/>
          <w14:textFill>
            <w14:solidFill>
              <w14:schemeClr w14:val="tx1"/>
            </w14:solidFill>
          </w14:textFill>
        </w:rPr>
        <w:t>要求的资产管理产品（包括但不限于信托计划、</w:t>
      </w:r>
      <w:r>
        <w:rPr>
          <w:rFonts w:hint="eastAsia" w:asciiTheme="majorEastAsia" w:hAnsiTheme="majorEastAsia" w:eastAsiaTheme="majorEastAsia"/>
          <w:bCs/>
          <w:color w:val="000000" w:themeColor="text1"/>
          <w:kern w:val="0"/>
          <w:sz w:val="18"/>
          <w:szCs w:val="18"/>
          <w14:textFill>
            <w14:solidFill>
              <w14:schemeClr w14:val="tx1"/>
            </w14:solidFill>
          </w14:textFill>
        </w:rPr>
        <w:t>公募基金、基金公司或子公司资产管理计划、证券公司资产管理计划、</w:t>
      </w:r>
      <w:r>
        <w:rPr>
          <w:rFonts w:hint="eastAsia" w:asciiTheme="majorEastAsia" w:hAnsiTheme="majorEastAsia" w:eastAsiaTheme="majorEastAsia"/>
          <w:bCs/>
          <w:color w:val="000000" w:themeColor="text1"/>
          <w:sz w:val="18"/>
          <w:szCs w:val="18"/>
          <w14:textFill>
            <w14:solidFill>
              <w14:schemeClr w14:val="tx1"/>
            </w14:solidFill>
          </w14:textFill>
        </w:rPr>
        <w:t>期货资产管理计划、</w:t>
      </w:r>
      <w:r>
        <w:rPr>
          <w:rFonts w:hint="eastAsia" w:asciiTheme="majorEastAsia" w:hAnsiTheme="majorEastAsia" w:eastAsiaTheme="majorEastAsia"/>
          <w:bCs/>
          <w:color w:val="000000" w:themeColor="text1"/>
          <w:kern w:val="0"/>
          <w:sz w:val="18"/>
          <w:szCs w:val="18"/>
          <w14:textFill>
            <w14:solidFill>
              <w14:schemeClr w14:val="tx1"/>
            </w14:solidFill>
          </w14:textFill>
        </w:rPr>
        <w:t>保险资产管理计划</w:t>
      </w:r>
      <w:r>
        <w:rPr>
          <w:rFonts w:hint="eastAsia" w:asciiTheme="majorEastAsia" w:hAnsiTheme="majorEastAsia" w:eastAsiaTheme="majorEastAsia"/>
          <w:bCs/>
          <w:color w:val="000000" w:themeColor="text1"/>
          <w:sz w:val="18"/>
          <w:szCs w:val="18"/>
          <w14:textFill>
            <w14:solidFill>
              <w14:schemeClr w14:val="tx1"/>
            </w14:solidFill>
          </w14:textFill>
        </w:rPr>
        <w:t>等），前述资产管理产品的管理人可能收取</w:t>
      </w:r>
      <w:r>
        <w:rPr>
          <w:rFonts w:asciiTheme="majorEastAsia" w:hAnsiTheme="majorEastAsia" w:eastAsiaTheme="majorEastAsia"/>
          <w:bCs/>
          <w:color w:val="000000" w:themeColor="text1"/>
          <w:sz w:val="18"/>
          <w:szCs w:val="18"/>
          <w14:textFill>
            <w14:solidFill>
              <w14:schemeClr w14:val="tx1"/>
            </w14:solidFill>
          </w14:textFill>
        </w:rPr>
        <w:t>业绩报酬，</w:t>
      </w:r>
      <w:r>
        <w:rPr>
          <w:rFonts w:hint="eastAsia" w:asciiTheme="majorEastAsia" w:hAnsiTheme="majorEastAsia" w:eastAsiaTheme="majorEastAsia"/>
          <w:bCs/>
          <w:color w:val="000000" w:themeColor="text1"/>
          <w:sz w:val="18"/>
          <w:szCs w:val="18"/>
          <w14:textFill>
            <w14:solidFill>
              <w14:schemeClr w14:val="tx1"/>
            </w14:solidFill>
          </w14:textFill>
        </w:rPr>
        <w:t>当前述资产管理产品计提业绩报酬时，本理财产品的产品份额净值存在下跌的风险。</w:t>
      </w:r>
    </w:p>
    <w:p>
      <w:pPr>
        <w:pStyle w:val="12"/>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4.</w:t>
      </w:r>
      <w:r>
        <w:rPr>
          <w:rFonts w:ascii="宋体" w:hAnsi="宋体"/>
          <w:b/>
          <w:bCs/>
          <w:sz w:val="18"/>
          <w:szCs w:val="18"/>
        </w:rPr>
        <w:t>估值差错风险</w:t>
      </w:r>
    </w:p>
    <w:p>
      <w:pPr>
        <w:pStyle w:val="12"/>
        <w:ind w:firstLine="360"/>
        <w:rPr>
          <w:rFonts w:ascii="宋体" w:hAnsi="宋体"/>
          <w:bCs/>
          <w:sz w:val="18"/>
          <w:szCs w:val="18"/>
        </w:rPr>
      </w:pP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理财投资基础资产时涉及对资产估值不准确、及时的，理财产品管理人及产品托管人对理财产品费用计提出现错误，将导致本产品估值差错，可能影响理财产品份额净值。</w:t>
      </w:r>
    </w:p>
    <w:p>
      <w:pPr>
        <w:pStyle w:val="12"/>
        <w:ind w:firstLine="361"/>
        <w:rPr>
          <w:rFonts w:ascii="黑体" w:hAnsi="黑体" w:eastAsia="黑体" w:cs="黑体"/>
          <w:b/>
          <w:bCs/>
          <w:sz w:val="18"/>
          <w:szCs w:val="18"/>
        </w:rPr>
      </w:pPr>
      <w:r>
        <w:rPr>
          <w:rFonts w:hint="eastAsia" w:ascii="黑体" w:hAnsi="黑体" w:eastAsia="黑体" w:cs="黑体"/>
          <w:b/>
          <w:bCs/>
          <w:sz w:val="18"/>
          <w:szCs w:val="18"/>
        </w:rPr>
        <w:t>15.</w:t>
      </w:r>
      <w:r>
        <w:rPr>
          <w:rFonts w:hint="eastAsia" w:ascii="黑体" w:hAnsi="黑体" w:eastAsia="黑体" w:cs="黑体"/>
          <w:sz w:val="18"/>
          <w:szCs w:val="18"/>
        </w:rPr>
        <w:t>★</w:t>
      </w:r>
      <w:r>
        <w:rPr>
          <w:rFonts w:hint="eastAsia" w:ascii="黑体" w:hAnsi="黑体" w:eastAsia="黑体" w:cs="黑体"/>
          <w:b/>
          <w:bCs/>
          <w:sz w:val="18"/>
          <w:szCs w:val="18"/>
        </w:rPr>
        <w:t>代销风险</w:t>
      </w:r>
    </w:p>
    <w:p>
      <w:pPr>
        <w:pStyle w:val="12"/>
        <w:ind w:firstLine="360"/>
        <w:rPr>
          <w:rFonts w:ascii="黑体" w:hAnsi="黑体" w:eastAsia="黑体" w:cs="黑体"/>
          <w:bCs/>
          <w:sz w:val="18"/>
          <w:szCs w:val="18"/>
        </w:rPr>
      </w:pPr>
      <w:r>
        <w:rPr>
          <w:rFonts w:hint="eastAsia" w:ascii="黑体" w:hAnsi="黑体" w:eastAsia="黑体" w:cs="黑体"/>
          <w:bCs/>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276" w:lineRule="auto"/>
        <w:ind w:firstLine="361" w:firstLineChars="200"/>
        <w:rPr>
          <w:rFonts w:ascii="黑体" w:hAnsi="黑体" w:eastAsia="黑体" w:cs="仿宋_GB2312"/>
          <w:b/>
          <w:bCs/>
          <w:kern w:val="0"/>
          <w:sz w:val="18"/>
          <w:szCs w:val="18"/>
        </w:rPr>
      </w:pPr>
      <w:r>
        <w:rPr>
          <w:rFonts w:ascii="黑体" w:hAnsi="黑体" w:eastAsia="黑体"/>
          <w:b/>
          <w:bCs/>
          <w:sz w:val="18"/>
          <w:szCs w:val="18"/>
        </w:rPr>
        <w:t>1</w:t>
      </w:r>
      <w:r>
        <w:rPr>
          <w:rFonts w:hint="eastAsia" w:ascii="黑体" w:hAnsi="黑体" w:eastAsia="黑体"/>
          <w:b/>
          <w:bCs/>
          <w:sz w:val="18"/>
          <w:szCs w:val="18"/>
        </w:rPr>
        <w:t>6</w:t>
      </w:r>
      <w:r>
        <w:rPr>
          <w:rFonts w:ascii="黑体" w:hAnsi="黑体" w:eastAsia="黑体"/>
          <w:b/>
          <w:bCs/>
          <w:sz w:val="18"/>
          <w:szCs w:val="18"/>
        </w:rPr>
        <w:t>.</w:t>
      </w:r>
      <w:r>
        <w:rPr>
          <w:rFonts w:hint="eastAsia" w:ascii="黑体" w:hAnsi="黑体" w:eastAsia="黑体" w:cs="仿宋_GB2312"/>
          <w:b/>
          <w:bCs/>
          <w:kern w:val="0"/>
          <w:sz w:val="18"/>
          <w:szCs w:val="18"/>
        </w:rPr>
        <w:t>★不同理财产品份额类别存在差异的风险</w:t>
      </w:r>
    </w:p>
    <w:p>
      <w:pPr>
        <w:spacing w:line="276" w:lineRule="auto"/>
        <w:ind w:firstLine="360" w:firstLineChars="200"/>
        <w:rPr>
          <w:rFonts w:ascii="黑体" w:hAnsi="黑体" w:eastAsia="黑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投资者认购申购和赎回的数量限制、投资者持有本产品的最高限额最低限额、计算和公告产品份额净值方面存在差异。</w:t>
      </w:r>
    </w:p>
    <w:p>
      <w:pPr>
        <w:pStyle w:val="12"/>
        <w:ind w:firstLineChars="0"/>
        <w:rPr>
          <w:rFonts w:ascii="宋体" w:hAnsi="宋体"/>
          <w:b/>
          <w:bCs/>
          <w:sz w:val="18"/>
          <w:szCs w:val="18"/>
        </w:rPr>
      </w:pPr>
      <w:r>
        <w:rPr>
          <w:rFonts w:hint="eastAsia" w:ascii="宋体" w:hAnsi="宋体"/>
          <w:b/>
          <w:bCs/>
          <w:sz w:val="18"/>
          <w:szCs w:val="18"/>
        </w:rPr>
        <w:t>17.关联交易风险</w:t>
      </w:r>
    </w:p>
    <w:p>
      <w:pPr>
        <w:pStyle w:val="12"/>
        <w:ind w:firstLineChars="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pPr>
        <w:autoSpaceDE w:val="0"/>
        <w:autoSpaceDN w:val="0"/>
        <w:adjustRightInd w:val="0"/>
        <w:ind w:firstLine="420"/>
        <w:jc w:val="left"/>
        <w:rPr>
          <w:rFonts w:ascii="黑体" w:hAnsi="黑体" w:eastAsia="黑体"/>
          <w:sz w:val="18"/>
          <w:szCs w:val="18"/>
        </w:rPr>
      </w:pPr>
      <w:r>
        <w:rPr>
          <w:rFonts w:hint="eastAsia" w:ascii="黑体" w:hAnsi="黑体" w:eastAsia="黑体" w:cs="仿宋_GB2312"/>
          <w:kern w:val="0"/>
          <w:sz w:val="18"/>
          <w:szCs w:val="18"/>
        </w:rPr>
        <w:t>（三）</w:t>
      </w:r>
      <w:r>
        <w:rPr>
          <w:rFonts w:hint="eastAsia" w:hAnsi="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bCs/>
          <w:sz w:val="18"/>
          <w:szCs w:val="18"/>
        </w:rPr>
        <w:t>产品管理人对本产品的理财本金和收益不提供保证承诺，</w:t>
      </w:r>
      <w:r>
        <w:rPr>
          <w:rFonts w:hint="eastAsia" w:ascii="黑体" w:hAnsi="黑体" w:eastAsia="黑体"/>
          <w:sz w:val="18"/>
          <w:szCs w:val="18"/>
        </w:rPr>
        <w:t>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autoSpaceDE w:val="0"/>
        <w:autoSpaceDN w:val="0"/>
        <w:adjustRightInd w:val="0"/>
        <w:ind w:firstLine="420"/>
        <w:jc w:val="left"/>
        <w:rPr>
          <w:rFonts w:ascii="黑体" w:hAnsi="黑体" w:eastAsia="黑体" w:cs="仿宋_GB2312"/>
          <w:kern w:val="0"/>
          <w:sz w:val="18"/>
          <w:szCs w:val="18"/>
        </w:rPr>
      </w:pPr>
      <w:r>
        <w:rPr>
          <w:rFonts w:hint="eastAsia" w:ascii="宋体"/>
          <w:b/>
          <w:bCs/>
          <w:color w:val="000000"/>
          <w:kern w:val="0"/>
          <w:sz w:val="18"/>
          <w:szCs w:val="18"/>
        </w:rPr>
        <w:t>五、【非机构投资者适用】</w:t>
      </w:r>
      <w:r>
        <w:rPr>
          <w:rFonts w:hint="eastAsia" w:ascii="宋体" w:hAnsi="宋体" w:cs="仿宋_GB2312"/>
          <w:kern w:val="0"/>
          <w:sz w:val="18"/>
          <w:szCs w:val="18"/>
        </w:rPr>
        <w:t>《投资者风险承受能力评估问卷》用于评估非机构投资者对金融工具及投资目标的相关风险的态度。非机构投资者可根据评估结果确定所属投资者类型，购买适合的理财产品。</w:t>
      </w:r>
      <w:r>
        <w:rPr>
          <w:rFonts w:hint="eastAsia" w:ascii="黑体" w:hAnsi="黑体" w:eastAsia="黑体" w:cs="仿宋_GB2312"/>
          <w:kern w:val="0"/>
          <w:sz w:val="18"/>
          <w:szCs w:val="18"/>
        </w:rPr>
        <w:t>如影响您风险承受能力的因素发生变化，请您及时重新完成风险承受能力评估。其他类型投资者的风险承受能力评估按照《（代理）销售协议书》约定或销售机构的销售政策执行。</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sz w:val="18"/>
          <w:szCs w:val="18"/>
        </w:rPr>
        <w:t>六、【产品风险评级为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的理财产品适用】当销售机构销售产品风险评级为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pPr>
        <w:ind w:left="540"/>
        <w:jc w:val="right"/>
        <w:rPr>
          <w:rFonts w:ascii="宋体" w:hAnsi="宋体"/>
          <w:sz w:val="18"/>
          <w:szCs w:val="18"/>
        </w:rPr>
      </w:pPr>
    </w:p>
    <w:p>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pPr>
        <w:wordWrap w:val="0"/>
        <w:ind w:left="540"/>
        <w:jc w:val="right"/>
        <w:rPr>
          <w:rFonts w:ascii="宋体" w:hAnsi="宋体"/>
          <w:sz w:val="18"/>
          <w:szCs w:val="18"/>
        </w:rPr>
      </w:pPr>
      <w:r>
        <w:rPr>
          <w:rFonts w:hint="eastAsia" w:ascii="宋体" w:hAnsi="宋体"/>
          <w:sz w:val="18"/>
          <w:szCs w:val="18"/>
          <w:lang w:val="en-US" w:eastAsia="zh-CN"/>
        </w:rPr>
        <w:t xml:space="preserve">  </w:t>
      </w:r>
      <w:r>
        <w:rPr>
          <w:rFonts w:hint="eastAsia" w:ascii="宋体" w:hAnsi="宋体"/>
          <w:sz w:val="18"/>
          <w:szCs w:val="18"/>
        </w:rPr>
        <w:t>销售机构（</w:t>
      </w:r>
      <w:r>
        <w:rPr>
          <w:rFonts w:hint="eastAsia" w:ascii="宋体" w:hAnsi="宋体"/>
          <w:sz w:val="18"/>
          <w:szCs w:val="18"/>
          <w:lang w:val="en-US" w:eastAsia="zh-CN"/>
        </w:rPr>
        <w:t>福建省农村信用社联合社）</w:t>
      </w:r>
      <w:bookmarkStart w:id="217" w:name="_GoBack"/>
      <w:bookmarkEnd w:id="217"/>
    </w:p>
    <w:p>
      <w:pPr>
        <w:widowControl/>
        <w:jc w:val="left"/>
        <w:rPr>
          <w:rFonts w:ascii="宋体" w:hAnsi="宋体"/>
          <w:sz w:val="18"/>
          <w:szCs w:val="18"/>
        </w:rPr>
      </w:pPr>
      <w:r>
        <w:rPr>
          <w:rFonts w:ascii="宋体" w:hAnsi="宋体"/>
          <w:sz w:val="18"/>
          <w:szCs w:val="18"/>
        </w:rPr>
        <w:br w:type="page"/>
      </w:r>
    </w:p>
    <w:p>
      <w:pPr>
        <w:ind w:left="540"/>
        <w:jc w:val="right"/>
        <w:rPr>
          <w:rFonts w:ascii="宋体" w:hAnsi="宋体"/>
          <w:sz w:val="18"/>
          <w:szCs w:val="18"/>
        </w:rPr>
      </w:pPr>
    </w:p>
    <w:p>
      <w:pPr>
        <w:ind w:left="540"/>
        <w:jc w:val="right"/>
        <w:rPr>
          <w:rFonts w:ascii="宋体" w:hAnsi="宋体"/>
          <w:sz w:val="18"/>
          <w:szCs w:val="1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pPr>
              <w:spacing w:line="280" w:lineRule="atLeast"/>
              <w:ind w:firstLine="360" w:firstLineChars="200"/>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单方面拥有某些权利的条款已向本人予以说明，本人完全理解并自愿接受。</w:t>
            </w:r>
          </w:p>
          <w:p>
            <w:pPr>
              <w:spacing w:line="280" w:lineRule="atLeast"/>
              <w:jc w:val="left"/>
              <w:rPr>
                <w:rFonts w:ascii="宋体" w:hAnsi="宋体" w:cs="Arial"/>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pPr>
              <w:spacing w:line="280" w:lineRule="atLeast"/>
              <w:jc w:val="left"/>
              <w:rPr>
                <w:rFonts w:ascii="宋体" w:hAnsi="宋体" w:cs="Arial"/>
                <w:kern w:val="0"/>
                <w:sz w:val="18"/>
                <w:szCs w:val="18"/>
              </w:rPr>
            </w:pPr>
          </w:p>
          <w:p>
            <w:pPr>
              <w:spacing w:line="280" w:lineRule="atLeast"/>
              <w:jc w:val="left"/>
              <w:rPr>
                <w:kern w:val="0"/>
                <w:sz w:val="18"/>
                <w:szCs w:val="18"/>
                <w:u w:val="single"/>
              </w:rPr>
            </w:pPr>
            <w:r>
              <w:rPr>
                <w:rFonts w:hint="eastAsia" w:ascii="宋体" w:hAnsi="宋体" w:cs="Arial"/>
                <w:kern w:val="0"/>
                <w:sz w:val="18"/>
                <w:szCs w:val="18"/>
              </w:rPr>
              <w:t>请投资者在此抄录：</w:t>
            </w:r>
          </w:p>
          <w:p>
            <w:pPr>
              <w:spacing w:line="280" w:lineRule="atLeast"/>
              <w:jc w:val="left"/>
              <w:rPr>
                <w:kern w:val="0"/>
                <w:sz w:val="18"/>
                <w:szCs w:val="18"/>
                <w:u w:val="single"/>
              </w:rPr>
            </w:pPr>
          </w:p>
          <w:p>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投资者签字：</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ind w:left="4200" w:firstLine="1080" w:firstLineChars="6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b/>
                <w:kern w:val="0"/>
                <w:sz w:val="20"/>
                <w:szCs w:val="20"/>
              </w:rPr>
              <w:t>（本风险揭示书共有三份签署文本，第一联销售机构留存，第二联投资者留存，第三联产品管理人留存。）</w:t>
            </w:r>
          </w:p>
          <w:p>
            <w:pPr>
              <w:spacing w:line="280" w:lineRule="atLeast"/>
              <w:jc w:val="right"/>
              <w:rPr>
                <w:rFonts w:ascii="宋体" w:hAnsi="宋体"/>
                <w:kern w:val="0"/>
                <w:sz w:val="18"/>
                <w:szCs w:val="18"/>
              </w:rPr>
            </w:pPr>
          </w:p>
        </w:tc>
      </w:tr>
    </w:tbl>
    <w:p>
      <w:pPr>
        <w:autoSpaceDE w:val="0"/>
        <w:autoSpaceDN w:val="0"/>
        <w:adjustRightInd w:val="0"/>
        <w:spacing w:line="360" w:lineRule="auto"/>
        <w:ind w:firstLine="420"/>
        <w:jc w:val="left"/>
        <w:rPr>
          <w:rFonts w:ascii="宋体" w:hAnsi="宋体"/>
          <w:sz w:val="24"/>
        </w:rPr>
      </w:pPr>
    </w:p>
    <w:p>
      <w:pPr>
        <w:autoSpaceDE w:val="0"/>
        <w:autoSpaceDN w:val="0"/>
        <w:adjustRightInd w:val="0"/>
        <w:spacing w:line="360" w:lineRule="auto"/>
        <w:ind w:firstLine="420"/>
        <w:jc w:val="left"/>
        <w:rPr>
          <w:rFonts w:ascii="宋体" w:hAnsi="宋体"/>
          <w:sz w:val="24"/>
        </w:rPr>
      </w:pPr>
    </w:p>
    <w:p>
      <w:pPr>
        <w:autoSpaceDE w:val="0"/>
        <w:autoSpaceDN w:val="0"/>
        <w:adjustRightInd w:val="0"/>
        <w:spacing w:line="360" w:lineRule="auto"/>
        <w:ind w:firstLine="420"/>
        <w:jc w:val="left"/>
        <w:rPr>
          <w:rFonts w:ascii="宋体" w:hAnsi="宋体"/>
          <w:sz w:val="24"/>
        </w:rPr>
      </w:pPr>
    </w:p>
    <w:p>
      <w:pPr>
        <w:autoSpaceDE w:val="0"/>
        <w:autoSpaceDN w:val="0"/>
        <w:adjustRightInd w:val="0"/>
        <w:spacing w:line="360" w:lineRule="auto"/>
        <w:ind w:firstLine="420"/>
        <w:jc w:val="left"/>
        <w:rPr>
          <w:rFonts w:ascii="宋体" w:hAnsi="宋体"/>
          <w:sz w:val="24"/>
        </w:rPr>
      </w:pPr>
    </w:p>
    <w:p>
      <w:pPr>
        <w:rPr>
          <w:rFonts w:ascii="宋体" w:hAnsi="宋体" w:cs="Arial"/>
          <w:sz w:val="24"/>
        </w:rPr>
      </w:pPr>
    </w:p>
    <w:p>
      <w:pPr>
        <w:rPr>
          <w:rFonts w:ascii="宋体" w:hAnsi="宋体" w:cs="Arial"/>
          <w:sz w:val="24"/>
        </w:rPr>
      </w:pPr>
    </w:p>
    <w:p>
      <w:pPr>
        <w:rPr>
          <w:rFonts w:ascii="宋体" w:hAnsi="宋体" w:cs="Arial"/>
          <w:sz w:val="24"/>
        </w:rPr>
      </w:pPr>
    </w:p>
    <w:p>
      <w:pPr>
        <w:rPr>
          <w:rFonts w:ascii="宋体" w:hAnsi="宋体" w:cs="Arial"/>
          <w:sz w:val="24"/>
        </w:rPr>
      </w:pPr>
    </w:p>
    <w:p>
      <w:pPr>
        <w:rPr>
          <w:rFonts w:ascii="宋体" w:hAnsi="宋体" w:cs="Arial"/>
          <w:sz w:val="24"/>
        </w:rPr>
      </w:pPr>
    </w:p>
    <w:p>
      <w:pPr>
        <w:rPr>
          <w:rFonts w:ascii="宋体" w:hAnsi="宋体" w:cs="Arial"/>
          <w:sz w:val="24"/>
        </w:rPr>
      </w:pPr>
    </w:p>
    <w:p>
      <w:pPr>
        <w:widowControl/>
        <w:jc w:val="left"/>
        <w:rPr>
          <w:rFonts w:ascii="宋体" w:hAnsi="宋体" w:cs="Arial"/>
          <w:sz w:val="24"/>
        </w:rPr>
      </w:pPr>
      <w:r>
        <w:rPr>
          <w:rFonts w:ascii="宋体" w:hAnsi="宋体" w:cs="Arial"/>
          <w:sz w:val="24"/>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r>
              <w:rPr>
                <w:rFonts w:ascii="宋体" w:hAnsi="宋体" w:cs="Arial"/>
                <w:b/>
                <w:kern w:val="0"/>
                <w:sz w:val="20"/>
                <w:szCs w:val="21"/>
              </w:rPr>
              <w:t>一般机构客户</w:t>
            </w:r>
            <w:r>
              <w:rPr>
                <w:rFonts w:hint="eastAsia" w:ascii="宋体" w:hAnsi="宋体" w:cs="Arial"/>
                <w:b/>
                <w:kern w:val="0"/>
                <w:sz w:val="20"/>
                <w:szCs w:val="21"/>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pPr>
              <w:spacing w:line="280" w:lineRule="atLeast"/>
              <w:ind w:firstLine="360" w:firstLineChars="200"/>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（签字或盖章）：</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pPr>
        <w:widowControl/>
        <w:jc w:val="left"/>
        <w:rPr>
          <w:rFonts w:ascii="宋体" w:hAnsi="宋体"/>
          <w:b/>
          <w:sz w:val="28"/>
          <w:szCs w:val="28"/>
        </w:rPr>
      </w:pPr>
      <w:r>
        <w:rPr>
          <w:rFonts w:ascii="宋体" w:hAnsi="宋体"/>
          <w:b/>
          <w:sz w:val="28"/>
          <w:szCs w:val="28"/>
        </w:rPr>
        <w:br w:type="page"/>
      </w:r>
    </w:p>
    <w:tbl>
      <w:tblPr>
        <w:tblStyle w:val="8"/>
        <w:tblW w:w="838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8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3" w:hRule="atLeast"/>
        </w:trPr>
        <w:tc>
          <w:tcPr>
            <w:tcW w:w="8388"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（适用于机构投资者：金融同业</w:t>
            </w:r>
            <w:r>
              <w:rPr>
                <w:rFonts w:ascii="宋体" w:hAnsi="宋体" w:cs="Arial"/>
                <w:b/>
                <w:kern w:val="0"/>
                <w:sz w:val="20"/>
                <w:szCs w:val="21"/>
              </w:rPr>
              <w:t>客户</w:t>
            </w:r>
            <w:r>
              <w:rPr>
                <w:rFonts w:hint="eastAsia" w:ascii="宋体" w:hAnsi="宋体" w:cs="Arial"/>
                <w:b/>
                <w:kern w:val="0"/>
                <w:sz w:val="20"/>
                <w:szCs w:val="21"/>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16" w:hRule="atLeast"/>
        </w:trPr>
        <w:tc>
          <w:tcPr>
            <w:tcW w:w="8388" w:type="dxa"/>
          </w:tcPr>
          <w:p>
            <w:pPr>
              <w:spacing w:line="280" w:lineRule="atLeast"/>
              <w:ind w:firstLine="360" w:firstLineChars="200"/>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（签字或盖章）：</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p>
      <w:pPr>
        <w:spacing w:line="360" w:lineRule="auto"/>
        <w:jc w:val="left"/>
        <w:rPr>
          <w:rFonts w:hint="eastAsia" w:ascii="宋体" w:hAnsi="宋体"/>
          <w:b/>
          <w:sz w:val="18"/>
          <w:szCs w:val="18"/>
        </w:rPr>
        <w:sectPr>
          <w:headerReference r:id="rId9" w:type="default"/>
          <w:footerReference r:id="rId10" w:type="default"/>
          <w:pgSz w:w="11906" w:h="16838"/>
          <w:pgMar w:top="1440" w:right="1800" w:bottom="1440" w:left="1800" w:header="567" w:footer="964" w:gutter="0"/>
          <w:cols w:space="425" w:num="1"/>
          <w:docGrid w:type="lines" w:linePitch="312" w:charSpace="0"/>
        </w:sectPr>
      </w:pPr>
    </w:p>
    <w:p>
      <w:pPr>
        <w:adjustRightInd w:val="0"/>
        <w:spacing w:line="276" w:lineRule="auto"/>
        <w:jc w:val="center"/>
        <w:rPr>
          <w:rStyle w:val="10"/>
          <w:rFonts w:ascii="黑体" w:hAnsi="黑体" w:eastAsia="黑体"/>
          <w:sz w:val="28"/>
          <w:szCs w:val="28"/>
        </w:rPr>
      </w:pPr>
      <w:r>
        <w:rPr>
          <w:rStyle w:val="10"/>
          <w:rFonts w:hint="eastAsia" w:ascii="黑体" w:hAnsi="黑体" w:eastAsia="黑体"/>
          <w:sz w:val="28"/>
          <w:szCs w:val="28"/>
        </w:rPr>
        <w:t>兴银理财【稳利安盈封闭式】理财产品</w:t>
      </w:r>
    </w:p>
    <w:p>
      <w:pPr>
        <w:adjustRightInd w:val="0"/>
        <w:spacing w:line="276" w:lineRule="auto"/>
        <w:jc w:val="center"/>
        <w:rPr>
          <w:rStyle w:val="10"/>
          <w:rFonts w:ascii="黑体" w:hAnsi="黑体" w:eastAsia="黑体"/>
          <w:sz w:val="28"/>
          <w:szCs w:val="28"/>
        </w:rPr>
      </w:pPr>
      <w:r>
        <w:rPr>
          <w:rStyle w:val="10"/>
          <w:rFonts w:hint="eastAsia" w:ascii="黑体" w:hAnsi="黑体" w:eastAsia="黑体"/>
          <w:sz w:val="28"/>
          <w:szCs w:val="28"/>
        </w:rPr>
        <w:t>投资者权益须知</w:t>
      </w:r>
    </w:p>
    <w:p>
      <w:pPr>
        <w:pStyle w:val="14"/>
        <w:jc w:val="center"/>
        <w:rPr>
          <w:rFonts w:hAnsi="宋体"/>
          <w:b/>
          <w:color w:val="auto"/>
          <w:sz w:val="28"/>
          <w:szCs w:val="28"/>
        </w:rPr>
      </w:pPr>
      <w:r>
        <w:rPr>
          <w:rFonts w:hint="eastAsia" w:hAnsi="宋体"/>
          <w:b/>
          <w:color w:val="auto"/>
          <w:sz w:val="28"/>
          <w:szCs w:val="28"/>
        </w:rPr>
        <w:t>（适用于个人投资者）</w:t>
      </w:r>
    </w:p>
    <w:p>
      <w:pPr>
        <w:rPr>
          <w:rFonts w:ascii="宋体" w:hAnsi="宋体"/>
          <w:b/>
          <w:sz w:val="18"/>
          <w:szCs w:val="18"/>
        </w:rPr>
      </w:pPr>
      <w:r>
        <w:rPr>
          <w:rFonts w:hint="eastAsia" w:ascii="宋体" w:hAnsi="宋体"/>
          <w:b/>
          <w:sz w:val="18"/>
          <w:szCs w:val="18"/>
        </w:rPr>
        <w:t>尊敬的投资者：</w:t>
      </w:r>
    </w:p>
    <w:p>
      <w:pPr>
        <w:spacing w:line="320" w:lineRule="exact"/>
        <w:ind w:firstLine="360" w:firstLineChars="200"/>
        <w:jc w:val="left"/>
        <w:rPr>
          <w:rFonts w:ascii="宋体" w:hAnsi="宋体"/>
          <w:sz w:val="18"/>
          <w:szCs w:val="18"/>
        </w:rPr>
      </w:pPr>
      <w:r>
        <w:rPr>
          <w:rFonts w:hint="eastAsia" w:ascii="宋体" w:hAnsi="宋体"/>
          <w:sz w:val="18"/>
          <w:szCs w:val="18"/>
        </w:rPr>
        <w:t>感谢您通过销售机构【</w:t>
      </w:r>
      <w:r>
        <w:rPr>
          <w:rFonts w:hint="eastAsia" w:ascii="宋体" w:hAnsi="宋体"/>
          <w:sz w:val="18"/>
          <w:szCs w:val="18"/>
          <w:lang w:val="en-US" w:eastAsia="zh-CN"/>
        </w:rPr>
        <w:t>福建省农村信用社联合社</w:t>
      </w:r>
      <w:r>
        <w:rPr>
          <w:rFonts w:hint="eastAsia" w:ascii="宋体" w:hAnsi="宋体"/>
          <w:sz w:val="18"/>
          <w:szCs w:val="18"/>
        </w:rPr>
        <w:t>】以(□ 直销：产品管理人销售/</w:t>
      </w:r>
      <w:r>
        <w:rPr>
          <w:rFonts w:hint="eastAsia" w:asciiTheme="majorEastAsia" w:hAnsiTheme="majorEastAsia" w:eastAsiaTheme="majorEastAsia"/>
          <w:bCs/>
          <w:sz w:val="18"/>
          <w:szCs w:val="18"/>
        </w:rPr>
        <w:t>■</w:t>
      </w:r>
      <w:r>
        <w:rPr>
          <w:rFonts w:hint="eastAsia" w:ascii="宋体" w:hAnsi="宋体"/>
          <w:sz w:val="18"/>
          <w:szCs w:val="18"/>
        </w:rPr>
        <w:t xml:space="preserve"> 代销：代理销售机构销售)的形式购买兴银理财有限责任公司（以下简称“兴银理财”）作为产品管理人管理的理财产品。</w:t>
      </w:r>
    </w:p>
    <w:p>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pPr>
        <w:ind w:firstLine="360" w:firstLineChars="200"/>
        <w:rPr>
          <w:rFonts w:ascii="宋体" w:hAnsi="宋体"/>
          <w:sz w:val="18"/>
          <w:szCs w:val="18"/>
        </w:rPr>
      </w:pPr>
    </w:p>
    <w:p>
      <w:pPr>
        <w:ind w:firstLine="361" w:firstLineChars="200"/>
        <w:rPr>
          <w:rFonts w:ascii="宋体" w:hAnsi="宋体"/>
          <w:b/>
          <w:sz w:val="18"/>
          <w:szCs w:val="18"/>
        </w:rPr>
      </w:pPr>
      <w:r>
        <w:rPr>
          <w:rFonts w:hint="eastAsia" w:ascii="宋体" w:hAnsi="宋体"/>
          <w:b/>
          <w:sz w:val="18"/>
          <w:szCs w:val="18"/>
        </w:rPr>
        <w:t>一、理财产品购买流程</w:t>
      </w:r>
    </w:p>
    <w:p>
      <w:pPr>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pPr>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pPr>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pPr>
        <w:ind w:firstLine="361" w:firstLineChars="200"/>
        <w:rPr>
          <w:rFonts w:ascii="宋体" w:hAnsi="宋体"/>
          <w:b/>
          <w:sz w:val="18"/>
          <w:szCs w:val="18"/>
        </w:rPr>
      </w:pPr>
      <w:r>
        <w:rPr>
          <w:rFonts w:hint="eastAsia" w:ascii="宋体" w:hAnsi="宋体"/>
          <w:b/>
          <w:sz w:val="18"/>
          <w:szCs w:val="18"/>
        </w:rPr>
        <w:t>二、投资者风险承受能力与产品风险评级</w:t>
      </w:r>
    </w:p>
    <w:p>
      <w:pPr>
        <w:ind w:firstLine="361" w:firstLineChars="200"/>
        <w:rPr>
          <w:rFonts w:ascii="宋体" w:hAnsi="宋体"/>
          <w:b/>
          <w:sz w:val="18"/>
          <w:szCs w:val="18"/>
        </w:rPr>
      </w:pPr>
      <w:r>
        <w:rPr>
          <w:rFonts w:hint="eastAsia" w:ascii="宋体" w:hAnsi="宋体"/>
          <w:b/>
          <w:sz w:val="18"/>
          <w:szCs w:val="18"/>
        </w:rPr>
        <w:t>（一）投资者风险承受能力评估说明</w:t>
      </w:r>
    </w:p>
    <w:p>
      <w:pPr>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b/>
          <w:sz w:val="18"/>
          <w:szCs w:val="18"/>
        </w:rPr>
        <w:t>如影响您风险承受能力的因素发生变化，请您及时重新完成风险承受能力评估。</w:t>
      </w:r>
    </w:p>
    <w:p>
      <w:pPr>
        <w:ind w:firstLine="360" w:firstLineChars="200"/>
        <w:rPr>
          <w:rFonts w:ascii="宋体" w:hAnsi="宋体"/>
          <w:sz w:val="18"/>
          <w:szCs w:val="18"/>
        </w:rPr>
      </w:pPr>
      <w:r>
        <w:rPr>
          <w:rFonts w:ascii="宋体" w:hAnsi="宋体"/>
          <w:sz w:val="18"/>
          <w:szCs w:val="18"/>
        </w:rPr>
        <w:t>2</w:t>
      </w:r>
      <w:r>
        <w:rPr>
          <w:rFonts w:hint="eastAsia" w:ascii="宋体" w:hAnsi="宋体"/>
          <w:sz w:val="18"/>
          <w:szCs w:val="18"/>
        </w:rPr>
        <w:t xml:space="preserve">. </w:t>
      </w:r>
      <w:r>
        <w:rPr>
          <w:rFonts w:hint="eastAsia" w:ascii="宋体" w:hAnsi="宋体"/>
          <w:b/>
          <w:sz w:val="18"/>
          <w:szCs w:val="18"/>
        </w:rPr>
        <w:t>投资者风险承受能力评级与理财产品风险评级</w:t>
      </w:r>
    </w:p>
    <w:p>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w:t>
      </w:r>
      <w:r>
        <w:rPr>
          <w:rFonts w:hint="eastAsia" w:ascii="宋体" w:hAnsi="宋体"/>
          <w:sz w:val="18"/>
          <w:szCs w:val="18"/>
          <w:lang w:val="en-US" w:eastAsia="zh-CN"/>
        </w:rPr>
        <w:t>机构</w:t>
      </w:r>
      <w:r>
        <w:rPr>
          <w:rFonts w:hint="eastAsia" w:ascii="宋体" w:hAnsi="宋体"/>
          <w:sz w:val="18"/>
          <w:szCs w:val="18"/>
        </w:rPr>
        <w:t>投资者由低至高分为【</w:t>
      </w:r>
      <w:r>
        <w:rPr>
          <w:rFonts w:hint="eastAsia" w:ascii="宋体" w:hAnsi="宋体"/>
          <w:sz w:val="18"/>
          <w:szCs w:val="18"/>
          <w:lang w:val="en-US" w:eastAsia="zh-CN"/>
        </w:rPr>
        <w:t>保守型、谨慎型、稳健型、进取型、激进型</w:t>
      </w:r>
      <w:r>
        <w:rPr>
          <w:rFonts w:hint="eastAsia" w:ascii="宋体" w:hAnsi="宋体"/>
          <w:sz w:val="18"/>
          <w:szCs w:val="18"/>
        </w:rPr>
        <w:t>】</w:t>
      </w:r>
      <w:r>
        <w:rPr>
          <w:rFonts w:ascii="宋体" w:hAnsi="宋体"/>
          <w:sz w:val="18"/>
          <w:szCs w:val="18"/>
        </w:rPr>
        <w:t>。其中，</w:t>
      </w:r>
      <w:r>
        <w:rPr>
          <w:rFonts w:hint="eastAsia" w:ascii="宋体" w:hAnsi="宋体"/>
          <w:sz w:val="18"/>
          <w:szCs w:val="18"/>
        </w:rPr>
        <w:t>【</w:t>
      </w:r>
      <w:r>
        <w:rPr>
          <w:rFonts w:hint="eastAsia" w:ascii="宋体" w:hAnsi="宋体"/>
          <w:sz w:val="18"/>
          <w:szCs w:val="18"/>
          <w:lang w:val="en-US" w:eastAsia="zh-CN"/>
        </w:rPr>
        <w:t>保守型</w:t>
      </w:r>
      <w:r>
        <w:rPr>
          <w:rFonts w:hint="eastAsia" w:ascii="宋体" w:hAnsi="宋体"/>
          <w:sz w:val="18"/>
          <w:szCs w:val="18"/>
        </w:rPr>
        <w:t>】</w:t>
      </w:r>
      <w:r>
        <w:rPr>
          <w:rFonts w:ascii="宋体" w:hAnsi="宋体"/>
          <w:sz w:val="18"/>
          <w:szCs w:val="18"/>
        </w:rPr>
        <w:t>为风险承受能力最低类别，</w:t>
      </w:r>
      <w:r>
        <w:rPr>
          <w:rFonts w:hint="eastAsia" w:ascii="宋体" w:hAnsi="宋体"/>
          <w:sz w:val="18"/>
          <w:szCs w:val="18"/>
        </w:rPr>
        <w:t>【</w:t>
      </w:r>
      <w:r>
        <w:rPr>
          <w:rFonts w:hint="eastAsia" w:ascii="宋体" w:hAnsi="宋体"/>
          <w:sz w:val="18"/>
          <w:szCs w:val="18"/>
          <w:lang w:val="en-US" w:eastAsia="zh-CN"/>
        </w:rPr>
        <w:t>激进型</w:t>
      </w:r>
      <w:r>
        <w:rPr>
          <w:rFonts w:hint="eastAsia" w:ascii="宋体" w:hAnsi="宋体"/>
          <w:sz w:val="18"/>
          <w:szCs w:val="18"/>
        </w:rPr>
        <w:t>】</w:t>
      </w:r>
      <w:r>
        <w:rPr>
          <w:rFonts w:ascii="宋体" w:hAnsi="宋体"/>
          <w:sz w:val="18"/>
          <w:szCs w:val="18"/>
        </w:rPr>
        <w:t>为风险承受能力最高类别。风险承受能力评级越高适合购买的理财产品风险评级越高，适合购买的理财产品类型越丰富</w:t>
      </w:r>
      <w:r>
        <w:rPr>
          <w:rFonts w:hint="eastAsia" w:ascii="宋体" w:hAnsi="宋体"/>
          <w:sz w:val="18"/>
          <w:szCs w:val="18"/>
        </w:rPr>
        <w:t>，</w:t>
      </w:r>
      <w:r>
        <w:rPr>
          <w:rFonts w:ascii="宋体" w:hAnsi="宋体"/>
          <w:sz w:val="18"/>
          <w:szCs w:val="18"/>
        </w:rPr>
        <w:t>投资者风险承受能力风险评级类型与适合购买的理财产品的对应关系为：</w:t>
      </w:r>
    </w:p>
    <w:tbl>
      <w:tblPr>
        <w:tblStyle w:val="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2"/>
        <w:gridCol w:w="1276"/>
        <w:gridCol w:w="1275"/>
        <w:gridCol w:w="241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8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风险调查问卷分值</w:t>
            </w:r>
          </w:p>
        </w:tc>
        <w:tc>
          <w:tcPr>
            <w:tcW w:w="1276" w:type="dxa"/>
            <w:vMerge w:val="restart"/>
            <w:tcBorders>
              <w:top w:val="single" w:color="auto" w:sz="4" w:space="0"/>
              <w:left w:val="single" w:color="auto" w:sz="4" w:space="0"/>
              <w:right w:val="single" w:color="auto" w:sz="4" w:space="0"/>
            </w:tcBorders>
            <w:vAlign w:val="center"/>
          </w:tcPr>
          <w:p>
            <w:pPr>
              <w:spacing w:line="0" w:lineRule="atLeas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投资者类型</w:t>
            </w:r>
          </w:p>
        </w:tc>
        <w:tc>
          <w:tcPr>
            <w:tcW w:w="1275" w:type="dxa"/>
            <w:vMerge w:val="restart"/>
            <w:tcBorders>
              <w:top w:val="single" w:color="auto" w:sz="4" w:space="0"/>
              <w:left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投资者风险承受等级</w:t>
            </w:r>
          </w:p>
        </w:tc>
        <w:tc>
          <w:tcPr>
            <w:tcW w:w="2410" w:type="dxa"/>
            <w:vMerge w:val="restart"/>
            <w:tcBorders>
              <w:top w:val="single" w:color="auto" w:sz="4" w:space="0"/>
              <w:left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风险特征描述</w:t>
            </w:r>
          </w:p>
        </w:tc>
        <w:tc>
          <w:tcPr>
            <w:tcW w:w="1418" w:type="dxa"/>
            <w:vMerge w:val="restart"/>
            <w:tcBorders>
              <w:top w:val="single" w:color="auto" w:sz="4" w:space="0"/>
              <w:left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适合理财评级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自然人</w:t>
            </w:r>
          </w:p>
        </w:tc>
        <w:tc>
          <w:tcPr>
            <w:tcW w:w="99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法人单位</w:t>
            </w:r>
          </w:p>
        </w:tc>
        <w:tc>
          <w:tcPr>
            <w:tcW w:w="1276" w:type="dxa"/>
            <w:vMerge w:val="continue"/>
            <w:tcBorders>
              <w:left w:val="single" w:color="auto" w:sz="4" w:space="0"/>
              <w:bottom w:val="single" w:color="auto" w:sz="4" w:space="0"/>
              <w:right w:val="single" w:color="auto" w:sz="4" w:space="0"/>
            </w:tcBorders>
            <w:vAlign w:val="center"/>
          </w:tcPr>
          <w:p>
            <w:pPr>
              <w:spacing w:line="0" w:lineRule="atLeast"/>
              <w:ind w:firstLine="180" w:firstLineChars="100"/>
              <w:rPr>
                <w:rFonts w:hint="eastAsia" w:asciiTheme="minorEastAsia" w:hAnsiTheme="minorEastAsia" w:eastAsiaTheme="minorEastAsia" w:cstheme="minorEastAsia"/>
                <w:sz w:val="18"/>
                <w:szCs w:val="18"/>
              </w:rPr>
            </w:pPr>
          </w:p>
        </w:tc>
        <w:tc>
          <w:tcPr>
            <w:tcW w:w="1275" w:type="dxa"/>
            <w:vMerge w:val="continue"/>
            <w:tcBorders>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p>
        </w:tc>
        <w:tc>
          <w:tcPr>
            <w:tcW w:w="2410" w:type="dxa"/>
            <w:vMerge w:val="continue"/>
            <w:tcBorders>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p>
        </w:tc>
        <w:tc>
          <w:tcPr>
            <w:tcW w:w="1418" w:type="dxa"/>
            <w:vMerge w:val="continue"/>
            <w:tcBorders>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81－100</w:t>
            </w:r>
          </w:p>
        </w:tc>
        <w:tc>
          <w:tcPr>
            <w:tcW w:w="99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86-100</w:t>
            </w:r>
          </w:p>
        </w:tc>
        <w:tc>
          <w:tcPr>
            <w:tcW w:w="127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激进型</w:t>
            </w:r>
          </w:p>
        </w:tc>
        <w:tc>
          <w:tcPr>
            <w:tcW w:w="12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高风险</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属于可以承受高风险级别的投资者。适合投资于商品及金融衍生品类产品。</w:t>
            </w:r>
          </w:p>
        </w:tc>
        <w:tc>
          <w:tcPr>
            <w:tcW w:w="1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高风险R5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61－80</w:t>
            </w:r>
          </w:p>
        </w:tc>
        <w:tc>
          <w:tcPr>
            <w:tcW w:w="99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71-85</w:t>
            </w:r>
          </w:p>
        </w:tc>
        <w:tc>
          <w:tcPr>
            <w:tcW w:w="127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进取型</w:t>
            </w:r>
          </w:p>
        </w:tc>
        <w:tc>
          <w:tcPr>
            <w:tcW w:w="12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中高风险</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属于可以承担较高风险级别的投资者。适合投资于权益类产品。</w:t>
            </w:r>
          </w:p>
        </w:tc>
        <w:tc>
          <w:tcPr>
            <w:tcW w:w="1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中高风险R4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ind w:firstLine="90" w:firstLineChars="5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36－60</w:t>
            </w:r>
          </w:p>
        </w:tc>
        <w:tc>
          <w:tcPr>
            <w:tcW w:w="99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46-70</w:t>
            </w:r>
          </w:p>
        </w:tc>
        <w:tc>
          <w:tcPr>
            <w:tcW w:w="127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稳健型</w:t>
            </w:r>
          </w:p>
        </w:tc>
        <w:tc>
          <w:tcPr>
            <w:tcW w:w="1275" w:type="dxa"/>
            <w:tcBorders>
              <w:top w:val="single" w:color="auto" w:sz="4" w:space="0"/>
              <w:left w:val="single" w:color="auto" w:sz="4" w:space="0"/>
              <w:bottom w:val="single" w:color="auto" w:sz="4" w:space="0"/>
              <w:right w:val="single" w:color="auto" w:sz="4" w:space="0"/>
            </w:tcBorders>
            <w:vAlign w:val="center"/>
          </w:tcPr>
          <w:p>
            <w:pPr>
              <w:pStyle w:val="14"/>
              <w:spacing w:line="540" w:lineRule="exact"/>
              <w:contextualSpacing/>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中等风险</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属于可以承担中等风险级别的投资者。适合投资于混合类产品。</w:t>
            </w:r>
          </w:p>
        </w:tc>
        <w:tc>
          <w:tcPr>
            <w:tcW w:w="1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中等风险R3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ind w:firstLine="90" w:firstLineChars="5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16－35</w:t>
            </w:r>
          </w:p>
        </w:tc>
        <w:tc>
          <w:tcPr>
            <w:tcW w:w="99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31-45</w:t>
            </w:r>
          </w:p>
        </w:tc>
        <w:tc>
          <w:tcPr>
            <w:tcW w:w="127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谨慎型</w:t>
            </w:r>
          </w:p>
        </w:tc>
        <w:tc>
          <w:tcPr>
            <w:tcW w:w="12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中低风险</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属于可以承担较低风险级别的投资者。适合投资于含股权性质或债项评级低于AA+的固定收益类产品。</w:t>
            </w:r>
          </w:p>
        </w:tc>
        <w:tc>
          <w:tcPr>
            <w:tcW w:w="1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中低风险R2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-9－15</w:t>
            </w:r>
          </w:p>
        </w:tc>
        <w:tc>
          <w:tcPr>
            <w:tcW w:w="99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小于等于30</w:t>
            </w:r>
          </w:p>
        </w:tc>
        <w:tc>
          <w:tcPr>
            <w:tcW w:w="127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180" w:firstLineChars="1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保守型</w:t>
            </w:r>
          </w:p>
        </w:tc>
        <w:tc>
          <w:tcPr>
            <w:tcW w:w="12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低风险</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属于可以承担低风险级别的投资者。适合投资于股权或债项评级高于AA+（含）以上的固定收益类产品。</w:t>
            </w:r>
          </w:p>
        </w:tc>
        <w:tc>
          <w:tcPr>
            <w:tcW w:w="1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低风险R1</w:t>
            </w:r>
          </w:p>
        </w:tc>
      </w:tr>
    </w:tbl>
    <w:p>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（二）针对“理财产品风险评级”、“投资者风险承受能力”、“适合投资者类型”的不同划分与表述的特别提示</w:t>
      </w:r>
    </w:p>
    <w:p>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pPr>
        <w:ind w:firstLine="360" w:firstLineChars="200"/>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pPr>
        <w:ind w:firstLine="361" w:firstLineChars="200"/>
        <w:rPr>
          <w:rFonts w:ascii="宋体" w:hAnsi="宋体"/>
          <w:b/>
          <w:sz w:val="18"/>
          <w:szCs w:val="18"/>
        </w:rPr>
      </w:pPr>
      <w:r>
        <w:rPr>
          <w:rFonts w:hint="eastAsia" w:ascii="宋体" w:hAnsi="宋体"/>
          <w:b/>
          <w:sz w:val="18"/>
          <w:szCs w:val="18"/>
        </w:rPr>
        <w:t>三、关于理财产品的信息披露</w:t>
      </w:r>
    </w:p>
    <w:p>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pPr>
        <w:ind w:firstLine="361" w:firstLineChars="200"/>
        <w:rPr>
          <w:rFonts w:asciiTheme="minorEastAsia" w:hAnsiTheme="minorEastAsia"/>
          <w:b/>
          <w:sz w:val="18"/>
          <w:szCs w:val="18"/>
        </w:rPr>
      </w:pPr>
      <w:r>
        <w:rPr>
          <w:rFonts w:hint="eastAsia" w:ascii="宋体" w:hAnsi="宋体"/>
          <w:b/>
          <w:sz w:val="18"/>
          <w:szCs w:val="18"/>
        </w:rPr>
        <w:t>四、关于投诉与建议</w:t>
      </w:r>
    </w:p>
    <w:p>
      <w:pPr>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pPr>
        <w:ind w:firstLine="360" w:firstLineChars="200"/>
        <w:rPr>
          <w:rFonts w:ascii="宋体" w:hAnsi="宋体"/>
          <w:sz w:val="18"/>
          <w:szCs w:val="18"/>
        </w:rPr>
      </w:pPr>
      <w:r>
        <w:rPr>
          <w:rFonts w:hint="eastAsia" w:ascii="宋体" w:hAnsi="宋体"/>
          <w:sz w:val="18"/>
          <w:szCs w:val="18"/>
        </w:rPr>
        <w:t>（二）联络方式</w:t>
      </w:r>
      <w:r>
        <w:rPr>
          <w:rFonts w:ascii="宋体" w:hAnsi="宋体"/>
          <w:sz w:val="18"/>
          <w:szCs w:val="18"/>
        </w:rPr>
        <w:t xml:space="preserve"> </w:t>
      </w:r>
    </w:p>
    <w:p>
      <w:pPr>
        <w:ind w:firstLine="360" w:firstLineChars="200"/>
        <w:rPr>
          <w:rFonts w:ascii="宋体" w:hAnsi="宋体"/>
          <w:sz w:val="18"/>
          <w:szCs w:val="18"/>
        </w:rPr>
      </w:pPr>
      <w:r>
        <w:rPr>
          <w:rFonts w:hint="eastAsia" w:ascii="宋体" w:hAnsi="宋体"/>
          <w:sz w:val="18"/>
          <w:szCs w:val="18"/>
        </w:rPr>
        <w:t>1、产品管理人：兴银理财有限责任公司</w:t>
      </w:r>
    </w:p>
    <w:p>
      <w:pPr>
        <w:ind w:firstLine="360" w:firstLineChars="200"/>
        <w:rPr>
          <w:rFonts w:ascii="宋体" w:hAnsi="宋体"/>
          <w:sz w:val="18"/>
          <w:szCs w:val="18"/>
        </w:rPr>
      </w:pPr>
      <w:r>
        <w:rPr>
          <w:rFonts w:hint="eastAsia" w:ascii="宋体" w:hAnsi="宋体"/>
          <w:sz w:val="18"/>
          <w:szCs w:val="18"/>
        </w:rPr>
        <w:t>客户服务热线：40015-95561。</w:t>
      </w:r>
    </w:p>
    <w:p>
      <w:pPr>
        <w:spacing w:line="280" w:lineRule="atLeast"/>
        <w:ind w:firstLine="360" w:firstLineChars="200"/>
        <w:rPr>
          <w:rFonts w:ascii="宋体" w:hAnsi="宋体"/>
          <w:sz w:val="18"/>
          <w:szCs w:val="18"/>
        </w:rPr>
      </w:pPr>
      <w:r>
        <w:rPr>
          <w:rFonts w:hint="eastAsia" w:ascii="宋体" w:hAnsi="宋体"/>
          <w:sz w:val="18"/>
          <w:szCs w:val="18"/>
        </w:rPr>
        <w:t>2、</w:t>
      </w:r>
      <w:r>
        <w:rPr>
          <w:rFonts w:ascii="宋体" w:hAnsi="宋体"/>
          <w:sz w:val="18"/>
          <w:szCs w:val="18"/>
        </w:rPr>
        <w:t>销售机构</w:t>
      </w:r>
      <w:r>
        <w:rPr>
          <w:rFonts w:hint="eastAsia" w:ascii="宋体" w:hAnsi="宋体"/>
          <w:sz w:val="18"/>
          <w:szCs w:val="18"/>
        </w:rPr>
        <w:t>：兴业银行股份有限公司</w:t>
      </w:r>
    </w:p>
    <w:p>
      <w:pPr>
        <w:spacing w:line="280" w:lineRule="atLeast"/>
        <w:ind w:firstLine="360" w:firstLineChars="200"/>
        <w:rPr>
          <w:rFonts w:ascii="宋体" w:hAnsi="宋体"/>
          <w:sz w:val="18"/>
          <w:szCs w:val="18"/>
        </w:rPr>
      </w:pPr>
      <w:r>
        <w:rPr>
          <w:rFonts w:hint="eastAsia" w:ascii="宋体" w:hAnsi="宋体"/>
          <w:sz w:val="18"/>
          <w:szCs w:val="18"/>
        </w:rPr>
        <w:t>兴业银行理财经理或兴业银行各营业网点。</w:t>
      </w:r>
    </w:p>
    <w:p>
      <w:pPr>
        <w:spacing w:line="280" w:lineRule="atLeast"/>
        <w:ind w:firstLine="360" w:firstLineChars="200"/>
        <w:rPr>
          <w:rFonts w:ascii="宋体" w:hAnsi="宋体"/>
          <w:sz w:val="18"/>
          <w:szCs w:val="18"/>
        </w:rPr>
      </w:pPr>
      <w:r>
        <w:rPr>
          <w:rFonts w:ascii="宋体" w:hAnsi="宋体"/>
          <w:sz w:val="18"/>
          <w:szCs w:val="18"/>
        </w:rPr>
        <w:t>兴业银行</w:t>
      </w:r>
      <w:r>
        <w:rPr>
          <w:rFonts w:hint="eastAsia" w:ascii="宋体" w:hAnsi="宋体"/>
          <w:sz w:val="18"/>
          <w:szCs w:val="18"/>
        </w:rPr>
        <w:t>客户投诉电话：【</w:t>
      </w:r>
      <w:r>
        <w:rPr>
          <w:rFonts w:asciiTheme="minorEastAsia" w:hAnsiTheme="minorEastAsia"/>
          <w:sz w:val="18"/>
          <w:szCs w:val="18"/>
        </w:rPr>
        <w:t>95561</w:t>
      </w:r>
      <w:r>
        <w:rPr>
          <w:rFonts w:hint="eastAsia" w:ascii="宋体" w:hAnsi="宋体"/>
          <w:sz w:val="18"/>
          <w:szCs w:val="18"/>
        </w:rPr>
        <w:t>】。</w:t>
      </w:r>
    </w:p>
    <w:p>
      <w:pPr>
        <w:spacing w:line="280" w:lineRule="atLeast"/>
        <w:ind w:firstLine="360" w:firstLineChars="200"/>
        <w:rPr>
          <w:rFonts w:ascii="宋体" w:hAnsi="宋体"/>
          <w:sz w:val="18"/>
          <w:szCs w:val="18"/>
        </w:rPr>
      </w:pPr>
      <w:r>
        <w:rPr>
          <w:rFonts w:hint="eastAsia" w:ascii="宋体" w:hAnsi="宋体"/>
          <w:sz w:val="18"/>
          <w:szCs w:val="18"/>
        </w:rPr>
        <w:t>兴业银行总行消费者投诉受理邮箱：【9</w:t>
      </w:r>
      <w:r>
        <w:rPr>
          <w:rFonts w:ascii="宋体" w:hAnsi="宋体"/>
          <w:sz w:val="18"/>
          <w:szCs w:val="18"/>
        </w:rPr>
        <w:t>5561</w:t>
      </w:r>
      <w:r>
        <w:rPr>
          <w:rFonts w:hint="eastAsia" w:ascii="宋体" w:hAnsi="宋体"/>
          <w:sz w:val="18"/>
          <w:szCs w:val="18"/>
        </w:rPr>
        <w:t>@</w:t>
      </w:r>
      <w:r>
        <w:rPr>
          <w:rFonts w:asciiTheme="minorEastAsia" w:hAnsiTheme="minorEastAsia"/>
          <w:sz w:val="18"/>
          <w:szCs w:val="18"/>
        </w:rPr>
        <w:t>cib.com.cn</w:t>
      </w:r>
      <w:r>
        <w:rPr>
          <w:rFonts w:hint="eastAsia" w:ascii="宋体" w:hAnsi="宋体"/>
          <w:sz w:val="18"/>
          <w:szCs w:val="18"/>
        </w:rPr>
        <w:t>】。</w:t>
      </w:r>
    </w:p>
    <w:p>
      <w:pPr>
        <w:ind w:left="357" w:leftChars="170" w:firstLine="0" w:firstLineChars="0"/>
        <w:rPr>
          <w:rFonts w:ascii="宋体" w:hAnsi="宋体"/>
          <w:sz w:val="18"/>
          <w:szCs w:val="18"/>
        </w:rPr>
      </w:pPr>
      <w:r>
        <w:rPr>
          <w:rFonts w:hint="eastAsia" w:ascii="宋体" w:hAnsi="宋体"/>
          <w:sz w:val="18"/>
          <w:szCs w:val="18"/>
        </w:rPr>
        <w:t>3、销售机构：</w:t>
      </w:r>
      <w:r>
        <w:rPr>
          <w:rFonts w:hint="eastAsia" w:asciiTheme="minorEastAsia" w:hAnsiTheme="minorEastAsia" w:eastAsiaTheme="minorEastAsia" w:cstheme="minorEastAsia"/>
          <w:sz w:val="18"/>
          <w:szCs w:val="18"/>
        </w:rPr>
        <w:t>通过【福建省农村信用社联合社】（作为销售服务机构）购买本产品的，请联系【福建省农村信用社联合社】，【福建省农村信用社联合社】客户服务热线：【0591-96336】；【福建省农村信用社联合社】门户网站：【www.fjnx.com.cn】</w:t>
      </w:r>
      <w:r>
        <w:rPr>
          <w:rFonts w:hint="eastAsia" w:asciiTheme="minorEastAsia" w:hAnsiTheme="minorEastAsia" w:eastAsiaTheme="minorEastAsia" w:cstheme="minorEastAsia"/>
          <w:sz w:val="18"/>
          <w:szCs w:val="18"/>
          <w:lang w:eastAsia="zh-CN"/>
        </w:rPr>
        <w:t>。</w:t>
      </w:r>
      <w:r>
        <w:rPr>
          <w:rFonts w:ascii="宋体" w:hAnsi="宋体"/>
          <w:b/>
          <w:sz w:val="28"/>
          <w:szCs w:val="28"/>
        </w:rPr>
        <w:br w:type="page"/>
      </w:r>
    </w:p>
    <w:p>
      <w:pPr>
        <w:adjustRightInd w:val="0"/>
        <w:spacing w:line="280" w:lineRule="atLeast"/>
        <w:jc w:val="center"/>
        <w:rPr>
          <w:rStyle w:val="10"/>
          <w:rFonts w:ascii="黑体" w:hAnsi="黑体" w:eastAsia="黑体"/>
          <w:sz w:val="28"/>
          <w:szCs w:val="28"/>
        </w:rPr>
      </w:pPr>
      <w:r>
        <w:rPr>
          <w:rStyle w:val="10"/>
          <w:rFonts w:hint="eastAsia" w:ascii="黑体" w:hAnsi="黑体" w:eastAsia="黑体"/>
          <w:sz w:val="28"/>
          <w:szCs w:val="28"/>
        </w:rPr>
        <w:t>兴银理财【稳利安盈封闭式】理财产品</w:t>
      </w:r>
    </w:p>
    <w:p>
      <w:pPr>
        <w:adjustRightInd w:val="0"/>
        <w:spacing w:line="280" w:lineRule="atLeast"/>
        <w:jc w:val="center"/>
        <w:rPr>
          <w:rStyle w:val="10"/>
          <w:rFonts w:ascii="黑体" w:hAnsi="黑体" w:eastAsia="黑体"/>
          <w:sz w:val="28"/>
          <w:szCs w:val="28"/>
        </w:rPr>
      </w:pPr>
      <w:r>
        <w:rPr>
          <w:rStyle w:val="10"/>
          <w:rFonts w:hint="eastAsia" w:ascii="黑体" w:hAnsi="黑体" w:eastAsia="黑体"/>
          <w:sz w:val="28"/>
          <w:szCs w:val="28"/>
        </w:rPr>
        <w:t>投资者权益须知</w:t>
      </w:r>
    </w:p>
    <w:p>
      <w:pPr>
        <w:pStyle w:val="14"/>
        <w:spacing w:line="280" w:lineRule="atLeast"/>
        <w:jc w:val="center"/>
        <w:rPr>
          <w:rFonts w:hAnsi="宋体"/>
          <w:b/>
          <w:color w:val="auto"/>
          <w:sz w:val="28"/>
          <w:szCs w:val="28"/>
        </w:rPr>
      </w:pPr>
      <w:r>
        <w:rPr>
          <w:rFonts w:hint="eastAsia" w:hAnsi="宋体"/>
          <w:b/>
          <w:color w:val="auto"/>
          <w:sz w:val="28"/>
          <w:szCs w:val="28"/>
        </w:rPr>
        <w:t>（适用于机构投资者：</w:t>
      </w:r>
      <w:r>
        <w:rPr>
          <w:rFonts w:hAnsi="宋体"/>
          <w:b/>
          <w:color w:val="auto"/>
          <w:sz w:val="28"/>
          <w:szCs w:val="28"/>
        </w:rPr>
        <w:t>一般机构客户</w:t>
      </w:r>
      <w:r>
        <w:rPr>
          <w:rFonts w:hint="eastAsia" w:hAnsi="宋体"/>
          <w:b/>
          <w:color w:val="auto"/>
          <w:sz w:val="28"/>
          <w:szCs w:val="28"/>
        </w:rPr>
        <w:t>）</w:t>
      </w:r>
    </w:p>
    <w:p>
      <w:pPr>
        <w:spacing w:line="280" w:lineRule="atLeast"/>
        <w:rPr>
          <w:rFonts w:ascii="宋体" w:hAnsi="宋体"/>
          <w:b/>
          <w:sz w:val="18"/>
          <w:szCs w:val="18"/>
        </w:rPr>
      </w:pPr>
      <w:r>
        <w:rPr>
          <w:rFonts w:hint="eastAsia" w:ascii="宋体" w:hAnsi="宋体"/>
          <w:b/>
          <w:sz w:val="18"/>
          <w:szCs w:val="18"/>
        </w:rPr>
        <w:t>尊敬的投资者：</w:t>
      </w:r>
    </w:p>
    <w:p>
      <w:pPr>
        <w:spacing w:line="320" w:lineRule="exact"/>
        <w:ind w:firstLine="360" w:firstLineChars="200"/>
        <w:jc w:val="left"/>
        <w:rPr>
          <w:rFonts w:ascii="宋体" w:hAnsi="宋体"/>
          <w:sz w:val="18"/>
          <w:szCs w:val="18"/>
        </w:rPr>
      </w:pPr>
      <w:r>
        <w:rPr>
          <w:rFonts w:hint="eastAsia" w:ascii="宋体" w:hAnsi="宋体"/>
          <w:sz w:val="18"/>
          <w:szCs w:val="18"/>
        </w:rPr>
        <w:t>感谢您通过销售机构【】以(□ 直销：产品管理人销售/□ 代销：代理销售机构销售)的形式购买兴银理财有限责任公司（以下简称“兴银理财”）作为产品管理人管理的理财产品。</w:t>
      </w:r>
    </w:p>
    <w:p>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pPr>
        <w:spacing w:line="280" w:lineRule="atLeast"/>
        <w:ind w:firstLine="360" w:firstLineChars="200"/>
        <w:rPr>
          <w:rFonts w:ascii="宋体" w:hAnsi="宋体"/>
          <w:sz w:val="18"/>
          <w:szCs w:val="18"/>
        </w:rPr>
      </w:pPr>
    </w:p>
    <w:p>
      <w:pPr>
        <w:spacing w:line="280" w:lineRule="atLeast"/>
        <w:ind w:firstLine="361" w:firstLineChars="200"/>
        <w:rPr>
          <w:rFonts w:ascii="宋体" w:hAnsi="宋体"/>
          <w:b/>
          <w:sz w:val="18"/>
          <w:szCs w:val="18"/>
        </w:rPr>
      </w:pPr>
      <w:r>
        <w:rPr>
          <w:rFonts w:hint="eastAsia" w:ascii="宋体" w:hAnsi="宋体"/>
          <w:b/>
          <w:sz w:val="18"/>
          <w:szCs w:val="18"/>
        </w:rPr>
        <w:t>一、理财产品购买流程</w:t>
      </w:r>
    </w:p>
    <w:p>
      <w:pPr>
        <w:spacing w:line="280" w:lineRule="atLeast"/>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pPr>
        <w:spacing w:line="280" w:lineRule="atLeast"/>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pPr>
        <w:spacing w:line="280" w:lineRule="atLeast"/>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pPr>
        <w:spacing w:line="280" w:lineRule="atLeast"/>
        <w:ind w:firstLine="361" w:firstLineChars="200"/>
        <w:rPr>
          <w:rFonts w:ascii="宋体" w:hAnsi="宋体"/>
          <w:b/>
          <w:sz w:val="18"/>
          <w:szCs w:val="18"/>
        </w:rPr>
      </w:pPr>
      <w:r>
        <w:rPr>
          <w:rFonts w:hint="eastAsia" w:ascii="宋体" w:hAnsi="宋体"/>
          <w:b/>
          <w:sz w:val="18"/>
          <w:szCs w:val="18"/>
        </w:rPr>
        <w:t>二、投资者风险承受能力与产品风险评级</w:t>
      </w:r>
    </w:p>
    <w:p>
      <w:pPr>
        <w:spacing w:line="280" w:lineRule="atLeast"/>
        <w:ind w:firstLine="361" w:firstLineChars="200"/>
        <w:rPr>
          <w:rFonts w:ascii="宋体" w:hAnsi="宋体"/>
          <w:b/>
          <w:sz w:val="18"/>
          <w:szCs w:val="18"/>
        </w:rPr>
      </w:pPr>
      <w:r>
        <w:rPr>
          <w:rFonts w:hint="eastAsia" w:ascii="宋体" w:hAnsi="宋体"/>
          <w:b/>
          <w:sz w:val="18"/>
          <w:szCs w:val="18"/>
        </w:rPr>
        <w:t>（一）投资者风险承受能力评估说明</w:t>
      </w:r>
    </w:p>
    <w:p>
      <w:pPr>
        <w:spacing w:line="280" w:lineRule="atLeas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 xml:space="preserve"> </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宋体" w:hAnsi="宋体"/>
          <w:b/>
          <w:sz w:val="18"/>
          <w:szCs w:val="18"/>
        </w:rPr>
        <w:t>如影响您风险承受能力的因素发生变化，请您及时重新完成风险承受能力评估。</w:t>
      </w:r>
    </w:p>
    <w:p>
      <w:pPr>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hint="eastAsia" w:ascii="宋体" w:hAnsi="宋体"/>
          <w:b/>
          <w:sz w:val="18"/>
          <w:szCs w:val="18"/>
        </w:rPr>
        <w:t>投资者风险承受能力评级与理财产品风险评级</w:t>
      </w:r>
    </w:p>
    <w:p>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投资者风险承受能力，机构投资者由低至高分为【】</w:t>
      </w:r>
      <w:r>
        <w:rPr>
          <w:rFonts w:ascii="宋体" w:hAnsi="宋体"/>
          <w:sz w:val="18"/>
          <w:szCs w:val="18"/>
        </w:rPr>
        <w:t>。其中，</w:t>
      </w:r>
      <w:r>
        <w:rPr>
          <w:rFonts w:hint="eastAsia" w:ascii="宋体" w:hAnsi="宋体"/>
          <w:sz w:val="18"/>
          <w:szCs w:val="18"/>
        </w:rPr>
        <w:t>【】</w:t>
      </w:r>
      <w:r>
        <w:rPr>
          <w:rFonts w:ascii="宋体" w:hAnsi="宋体"/>
          <w:sz w:val="18"/>
          <w:szCs w:val="18"/>
        </w:rPr>
        <w:t>为风险承受能力最低类别，</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7"/>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77"/>
        <w:gridCol w:w="4840"/>
        <w:gridCol w:w="286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pPr>
              <w:jc w:val="center"/>
              <w:rPr>
                <w:rFonts w:ascii="宋体" w:hAnsi="宋体"/>
                <w:sz w:val="18"/>
                <w:szCs w:val="18"/>
              </w:rPr>
            </w:pPr>
            <w:r>
              <w:rPr>
                <w:rFonts w:hint="eastAsia" w:ascii="宋体" w:hAnsi="宋体"/>
                <w:sz w:val="18"/>
                <w:szCs w:val="18"/>
              </w:rPr>
              <w:t>理财产品风险评级及风险评级说明</w:t>
            </w:r>
          </w:p>
        </w:tc>
        <w:tc>
          <w:tcPr>
            <w:tcW w:w="2865" w:type="dxa"/>
            <w:tcBorders>
              <w:top w:val="single" w:color="auto" w:sz="12" w:space="0"/>
              <w:left w:val="single" w:color="auto" w:sz="12" w:space="0"/>
              <w:right w:val="single" w:color="auto" w:sz="12" w:space="0"/>
            </w:tcBorders>
            <w:vAlign w:val="center"/>
          </w:tcPr>
          <w:p>
            <w:pPr>
              <w:jc w:val="center"/>
              <w:rPr>
                <w:rFonts w:ascii="宋体" w:hAnsi="宋体"/>
                <w:sz w:val="18"/>
                <w:szCs w:val="18"/>
              </w:rPr>
            </w:pPr>
            <w:r>
              <w:rPr>
                <w:rFonts w:hint="eastAsia" w:ascii="宋体" w:hAnsi="宋体"/>
                <w:sz w:val="18"/>
                <w:szCs w:val="18"/>
              </w:rPr>
              <w:t>对应的投资者风险承受能力评级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r>
    </w:tbl>
    <w:p>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（二）针对“理财产品风险评级”、“投资者风险承受能力”、“适合投资者类型”的不同划分与表述的特别提示</w:t>
      </w:r>
    </w:p>
    <w:p>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pPr>
        <w:ind w:firstLine="360" w:firstLineChars="200"/>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pPr>
        <w:spacing w:line="280" w:lineRule="atLeast"/>
        <w:ind w:firstLine="361" w:firstLineChars="200"/>
        <w:rPr>
          <w:rFonts w:ascii="宋体" w:hAnsi="宋体"/>
          <w:b/>
          <w:sz w:val="18"/>
          <w:szCs w:val="18"/>
        </w:rPr>
      </w:pPr>
      <w:r>
        <w:rPr>
          <w:rFonts w:hint="eastAsia" w:ascii="宋体" w:hAnsi="宋体"/>
          <w:b/>
          <w:sz w:val="18"/>
          <w:szCs w:val="18"/>
        </w:rPr>
        <w:t>三、关于理财产品的信息披露</w:t>
      </w:r>
    </w:p>
    <w:p>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pPr>
        <w:spacing w:line="280" w:lineRule="atLeast"/>
        <w:ind w:firstLine="360" w:firstLineChars="200"/>
        <w:rPr>
          <w:rFonts w:asciiTheme="minorEastAsia" w:hAnsiTheme="minorEastAsia"/>
          <w:sz w:val="18"/>
          <w:szCs w:val="18"/>
        </w:rPr>
      </w:pPr>
      <w:r>
        <w:rPr>
          <w:rFonts w:hint="eastAsia" w:asciiTheme="minorEastAsia" w:hAnsiTheme="minorEastAsia"/>
          <w:sz w:val="18"/>
          <w:szCs w:val="18"/>
        </w:rPr>
        <w:t xml:space="preserve"> </w:t>
      </w:r>
      <w:r>
        <w:rPr>
          <w:rFonts w:hint="eastAsia" w:ascii="宋体" w:hAnsi="宋体"/>
          <w:b/>
          <w:sz w:val="18"/>
          <w:szCs w:val="18"/>
        </w:rPr>
        <w:t>四、关于投诉与建议</w:t>
      </w:r>
    </w:p>
    <w:p>
      <w:pPr>
        <w:spacing w:line="280" w:lineRule="atLeast"/>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pPr>
        <w:spacing w:line="280" w:lineRule="atLeast"/>
        <w:ind w:firstLine="360" w:firstLineChars="200"/>
        <w:rPr>
          <w:rFonts w:ascii="宋体" w:hAnsi="宋体"/>
          <w:sz w:val="18"/>
          <w:szCs w:val="18"/>
        </w:rPr>
      </w:pPr>
      <w:r>
        <w:rPr>
          <w:rFonts w:hint="eastAsia" w:ascii="宋体" w:hAnsi="宋体"/>
          <w:sz w:val="18"/>
          <w:szCs w:val="18"/>
        </w:rPr>
        <w:t>（二）联络方式：</w:t>
      </w:r>
    </w:p>
    <w:p>
      <w:pPr>
        <w:ind w:firstLine="360" w:firstLineChars="200"/>
        <w:rPr>
          <w:rFonts w:ascii="宋体" w:hAnsi="宋体"/>
          <w:sz w:val="18"/>
          <w:szCs w:val="18"/>
        </w:rPr>
      </w:pPr>
      <w:r>
        <w:rPr>
          <w:rFonts w:hint="eastAsia" w:ascii="宋体" w:hAnsi="宋体"/>
          <w:sz w:val="18"/>
          <w:szCs w:val="18"/>
        </w:rPr>
        <w:t>1、产品管理人：兴银理财有限责任公司</w:t>
      </w:r>
    </w:p>
    <w:p>
      <w:pPr>
        <w:ind w:firstLine="360" w:firstLineChars="200"/>
        <w:rPr>
          <w:rFonts w:ascii="宋体" w:hAnsi="宋体"/>
          <w:sz w:val="18"/>
          <w:szCs w:val="18"/>
        </w:rPr>
      </w:pPr>
      <w:r>
        <w:rPr>
          <w:rFonts w:hint="eastAsia" w:ascii="宋体" w:hAnsi="宋体"/>
          <w:sz w:val="18"/>
          <w:szCs w:val="18"/>
        </w:rPr>
        <w:t>客户服务热线：40015-95561。</w:t>
      </w:r>
    </w:p>
    <w:p>
      <w:pPr>
        <w:spacing w:line="280" w:lineRule="atLeast"/>
        <w:ind w:firstLine="360" w:firstLineChars="200"/>
        <w:rPr>
          <w:rFonts w:ascii="宋体" w:hAnsi="宋体"/>
          <w:sz w:val="18"/>
          <w:szCs w:val="18"/>
        </w:rPr>
      </w:pPr>
      <w:r>
        <w:rPr>
          <w:rFonts w:hint="eastAsia" w:ascii="宋体" w:hAnsi="宋体"/>
          <w:sz w:val="18"/>
          <w:szCs w:val="18"/>
        </w:rPr>
        <w:t>2、</w:t>
      </w:r>
      <w:r>
        <w:rPr>
          <w:rFonts w:ascii="宋体" w:hAnsi="宋体"/>
          <w:sz w:val="18"/>
          <w:szCs w:val="18"/>
        </w:rPr>
        <w:t>销售机构</w:t>
      </w:r>
      <w:r>
        <w:rPr>
          <w:rFonts w:hint="eastAsia" w:ascii="宋体" w:hAnsi="宋体"/>
          <w:sz w:val="18"/>
          <w:szCs w:val="18"/>
        </w:rPr>
        <w:t>：兴业银行股份有限公司</w:t>
      </w:r>
    </w:p>
    <w:p>
      <w:pPr>
        <w:spacing w:line="280" w:lineRule="atLeast"/>
        <w:ind w:firstLine="360" w:firstLineChars="200"/>
        <w:rPr>
          <w:rFonts w:ascii="宋体" w:hAnsi="宋体"/>
          <w:sz w:val="18"/>
          <w:szCs w:val="18"/>
        </w:rPr>
      </w:pPr>
      <w:r>
        <w:rPr>
          <w:rFonts w:hint="eastAsia" w:ascii="宋体" w:hAnsi="宋体"/>
          <w:sz w:val="18"/>
          <w:szCs w:val="18"/>
        </w:rPr>
        <w:t>兴业银行理财经理或兴业银行各营业网点。</w:t>
      </w:r>
    </w:p>
    <w:p>
      <w:pPr>
        <w:spacing w:line="280" w:lineRule="atLeast"/>
        <w:ind w:firstLine="360" w:firstLineChars="200"/>
        <w:rPr>
          <w:rFonts w:ascii="宋体" w:hAnsi="宋体"/>
          <w:sz w:val="18"/>
          <w:szCs w:val="18"/>
        </w:rPr>
      </w:pPr>
      <w:r>
        <w:rPr>
          <w:rFonts w:ascii="宋体" w:hAnsi="宋体"/>
          <w:sz w:val="18"/>
          <w:szCs w:val="18"/>
        </w:rPr>
        <w:t>兴业银行</w:t>
      </w:r>
      <w:r>
        <w:rPr>
          <w:rFonts w:hint="eastAsia" w:ascii="宋体" w:hAnsi="宋体"/>
          <w:sz w:val="18"/>
          <w:szCs w:val="18"/>
        </w:rPr>
        <w:t>客户投诉电话：【</w:t>
      </w:r>
      <w:r>
        <w:rPr>
          <w:rFonts w:asciiTheme="minorEastAsia" w:hAnsiTheme="minorEastAsia"/>
          <w:sz w:val="18"/>
          <w:szCs w:val="18"/>
        </w:rPr>
        <w:t>95561</w:t>
      </w:r>
      <w:r>
        <w:rPr>
          <w:rFonts w:hint="eastAsia" w:ascii="宋体" w:hAnsi="宋体"/>
          <w:sz w:val="18"/>
          <w:szCs w:val="18"/>
        </w:rPr>
        <w:t>】。</w:t>
      </w:r>
    </w:p>
    <w:p>
      <w:pPr>
        <w:spacing w:line="280" w:lineRule="atLeast"/>
        <w:ind w:firstLine="360" w:firstLineChars="200"/>
        <w:rPr>
          <w:rFonts w:ascii="宋体" w:hAnsi="宋体"/>
          <w:sz w:val="18"/>
          <w:szCs w:val="18"/>
        </w:rPr>
      </w:pPr>
      <w:r>
        <w:rPr>
          <w:rFonts w:hint="eastAsia" w:ascii="宋体" w:hAnsi="宋体"/>
          <w:sz w:val="18"/>
          <w:szCs w:val="18"/>
        </w:rPr>
        <w:t>兴业银行总行消费者投诉受理邮箱：【9</w:t>
      </w:r>
      <w:r>
        <w:rPr>
          <w:rFonts w:ascii="宋体" w:hAnsi="宋体"/>
          <w:sz w:val="18"/>
          <w:szCs w:val="18"/>
        </w:rPr>
        <w:t>5561</w:t>
      </w:r>
      <w:r>
        <w:rPr>
          <w:rFonts w:hint="eastAsia" w:ascii="宋体" w:hAnsi="宋体"/>
          <w:sz w:val="18"/>
          <w:szCs w:val="18"/>
        </w:rPr>
        <w:t>@</w:t>
      </w:r>
      <w:r>
        <w:rPr>
          <w:rFonts w:asciiTheme="minorEastAsia" w:hAnsiTheme="minorEastAsia"/>
          <w:sz w:val="18"/>
          <w:szCs w:val="18"/>
        </w:rPr>
        <w:t>cib.com.cn</w:t>
      </w:r>
      <w:r>
        <w:rPr>
          <w:rFonts w:hint="eastAsia" w:ascii="宋体" w:hAnsi="宋体"/>
          <w:sz w:val="18"/>
          <w:szCs w:val="18"/>
        </w:rPr>
        <w:t>】。</w:t>
      </w:r>
    </w:p>
    <w:p>
      <w:pPr>
        <w:ind w:firstLine="360" w:firstLineChars="200"/>
        <w:rPr>
          <w:rFonts w:ascii="宋体" w:hAnsi="宋体"/>
          <w:sz w:val="18"/>
          <w:szCs w:val="18"/>
        </w:rPr>
      </w:pPr>
      <w:r>
        <w:rPr>
          <w:rFonts w:hint="eastAsia" w:ascii="宋体" w:hAnsi="宋体"/>
          <w:sz w:val="18"/>
          <w:szCs w:val="18"/>
        </w:rPr>
        <w:t>3、销售机构：【】</w:t>
      </w:r>
    </w:p>
    <w:p>
      <w:pPr>
        <w:ind w:firstLine="360" w:firstLineChars="200"/>
        <w:rPr>
          <w:rFonts w:ascii="宋体" w:hAnsi="宋体"/>
          <w:sz w:val="18"/>
          <w:szCs w:val="18"/>
        </w:rPr>
      </w:pPr>
      <w:r>
        <w:rPr>
          <w:rFonts w:hint="eastAsia" w:ascii="宋体" w:hAnsi="宋体"/>
          <w:sz w:val="18"/>
          <w:szCs w:val="18"/>
        </w:rPr>
        <w:t>【】</w:t>
      </w:r>
    </w:p>
    <w:p>
      <w:pPr>
        <w:widowControl/>
        <w:spacing w:line="280" w:lineRule="atLeast"/>
        <w:jc w:val="left"/>
        <w:rPr>
          <w:rFonts w:ascii="宋体" w:hAnsi="宋体"/>
          <w:b/>
          <w:sz w:val="28"/>
          <w:szCs w:val="28"/>
        </w:rPr>
      </w:pPr>
      <w:r>
        <w:rPr>
          <w:rFonts w:ascii="宋体" w:hAnsi="宋体"/>
          <w:b/>
          <w:sz w:val="28"/>
          <w:szCs w:val="28"/>
        </w:rPr>
        <w:br w:type="page"/>
      </w:r>
    </w:p>
    <w:p>
      <w:pPr>
        <w:adjustRightInd w:val="0"/>
        <w:spacing w:line="276" w:lineRule="auto"/>
        <w:jc w:val="center"/>
        <w:rPr>
          <w:rStyle w:val="10"/>
          <w:rFonts w:ascii="黑体" w:hAnsi="黑体" w:eastAsia="黑体"/>
          <w:sz w:val="28"/>
          <w:szCs w:val="28"/>
        </w:rPr>
      </w:pPr>
      <w:r>
        <w:rPr>
          <w:rStyle w:val="10"/>
          <w:rFonts w:hint="eastAsia" w:ascii="黑体" w:hAnsi="黑体" w:eastAsia="黑体"/>
          <w:sz w:val="28"/>
          <w:szCs w:val="28"/>
        </w:rPr>
        <w:t>兴银理财【稳利安盈封闭式】理财产品</w:t>
      </w:r>
    </w:p>
    <w:p>
      <w:pPr>
        <w:adjustRightInd w:val="0"/>
        <w:spacing w:line="276" w:lineRule="auto"/>
        <w:jc w:val="center"/>
        <w:rPr>
          <w:rStyle w:val="10"/>
          <w:rFonts w:ascii="黑体" w:hAnsi="黑体" w:eastAsia="黑体"/>
          <w:sz w:val="28"/>
          <w:szCs w:val="28"/>
        </w:rPr>
      </w:pPr>
      <w:r>
        <w:rPr>
          <w:rStyle w:val="10"/>
          <w:rFonts w:hint="eastAsia" w:ascii="黑体" w:hAnsi="黑体" w:eastAsia="黑体"/>
          <w:sz w:val="28"/>
          <w:szCs w:val="28"/>
        </w:rPr>
        <w:t>投资者权益须知</w:t>
      </w:r>
    </w:p>
    <w:p>
      <w:pPr>
        <w:pStyle w:val="14"/>
        <w:jc w:val="center"/>
        <w:rPr>
          <w:rFonts w:hAnsi="宋体"/>
          <w:b/>
          <w:color w:val="auto"/>
          <w:sz w:val="28"/>
          <w:szCs w:val="28"/>
        </w:rPr>
      </w:pPr>
      <w:r>
        <w:rPr>
          <w:rFonts w:hint="eastAsia" w:hAnsi="宋体"/>
          <w:b/>
          <w:color w:val="auto"/>
          <w:sz w:val="28"/>
          <w:szCs w:val="28"/>
        </w:rPr>
        <w:t>（适用于机构投资者：金融</w:t>
      </w:r>
      <w:r>
        <w:rPr>
          <w:rFonts w:hAnsi="宋体"/>
          <w:b/>
          <w:color w:val="auto"/>
          <w:sz w:val="28"/>
          <w:szCs w:val="28"/>
        </w:rPr>
        <w:t>同业客户</w:t>
      </w:r>
      <w:r>
        <w:rPr>
          <w:rFonts w:hint="eastAsia" w:hAnsi="宋体"/>
          <w:b/>
          <w:color w:val="auto"/>
          <w:sz w:val="28"/>
          <w:szCs w:val="28"/>
        </w:rPr>
        <w:t>）</w:t>
      </w:r>
    </w:p>
    <w:p>
      <w:pPr>
        <w:rPr>
          <w:rFonts w:ascii="宋体" w:hAnsi="宋体"/>
          <w:b/>
          <w:sz w:val="18"/>
          <w:szCs w:val="18"/>
        </w:rPr>
      </w:pPr>
      <w:r>
        <w:rPr>
          <w:rFonts w:hint="eastAsia" w:ascii="宋体" w:hAnsi="宋体"/>
          <w:b/>
          <w:sz w:val="18"/>
          <w:szCs w:val="18"/>
        </w:rPr>
        <w:t>尊敬的投资者：</w:t>
      </w:r>
    </w:p>
    <w:p>
      <w:pPr>
        <w:spacing w:line="320" w:lineRule="exact"/>
        <w:ind w:firstLine="360" w:firstLineChars="200"/>
        <w:jc w:val="left"/>
        <w:rPr>
          <w:rFonts w:ascii="宋体" w:hAnsi="宋体"/>
          <w:sz w:val="18"/>
          <w:szCs w:val="18"/>
        </w:rPr>
      </w:pPr>
      <w:r>
        <w:rPr>
          <w:rFonts w:hint="eastAsia" w:ascii="宋体" w:hAnsi="宋体"/>
          <w:sz w:val="18"/>
          <w:szCs w:val="18"/>
        </w:rPr>
        <w:t>感谢您通过销售机构【】以(□ 直销：产品管理人销售/□ 代销：代理销售机构销售)的形式购买兴银理财有限责任公司（以下简称“兴银理财”）作为产品管理人管理的理财产品。</w:t>
      </w:r>
    </w:p>
    <w:p>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pPr>
        <w:ind w:firstLine="361" w:firstLineChars="200"/>
        <w:rPr>
          <w:rFonts w:ascii="宋体" w:hAnsi="宋体"/>
          <w:b/>
          <w:sz w:val="18"/>
          <w:szCs w:val="18"/>
        </w:rPr>
      </w:pPr>
    </w:p>
    <w:p>
      <w:pPr>
        <w:ind w:firstLine="361" w:firstLineChars="200"/>
        <w:rPr>
          <w:rFonts w:ascii="宋体" w:hAnsi="宋体"/>
          <w:b/>
          <w:sz w:val="18"/>
          <w:szCs w:val="18"/>
        </w:rPr>
      </w:pPr>
      <w:r>
        <w:rPr>
          <w:rFonts w:hint="eastAsia" w:ascii="宋体" w:hAnsi="宋体"/>
          <w:b/>
          <w:sz w:val="18"/>
          <w:szCs w:val="18"/>
        </w:rPr>
        <w:t>一、理财产品购买流程</w:t>
      </w:r>
    </w:p>
    <w:p>
      <w:pPr>
        <w:spacing w:line="280" w:lineRule="atLeast"/>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pPr>
        <w:spacing w:line="280" w:lineRule="atLeast"/>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pPr>
        <w:spacing w:line="280" w:lineRule="atLeast"/>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pPr>
        <w:spacing w:line="280" w:lineRule="atLeast"/>
        <w:ind w:firstLine="361" w:firstLineChars="200"/>
        <w:rPr>
          <w:rFonts w:ascii="宋体" w:hAnsi="宋体"/>
          <w:b/>
          <w:sz w:val="18"/>
          <w:szCs w:val="18"/>
        </w:rPr>
      </w:pPr>
      <w:r>
        <w:rPr>
          <w:rFonts w:hint="eastAsia" w:ascii="宋体" w:hAnsi="宋体"/>
          <w:b/>
          <w:sz w:val="18"/>
          <w:szCs w:val="18"/>
        </w:rPr>
        <w:t>二、投资者风险承受能力与产品风险评级</w:t>
      </w:r>
    </w:p>
    <w:p>
      <w:pPr>
        <w:spacing w:line="280" w:lineRule="atLeast"/>
        <w:ind w:firstLine="360" w:firstLineChars="200"/>
        <w:rPr>
          <w:rFonts w:ascii="宋体" w:hAnsi="宋体"/>
          <w:sz w:val="18"/>
          <w:szCs w:val="18"/>
        </w:rPr>
      </w:pPr>
      <w:r>
        <w:rPr>
          <w:rFonts w:hint="eastAsia" w:ascii="宋体" w:hAnsi="宋体"/>
          <w:sz w:val="18"/>
          <w:szCs w:val="18"/>
        </w:rPr>
        <w:t>鉴于您为金融同业客户，销售机构暂不对您进行风险承受能力评估，请您根据您自身的</w:t>
      </w:r>
      <w:r>
        <w:rPr>
          <w:rFonts w:ascii="宋体" w:hAnsi="宋体"/>
          <w:sz w:val="18"/>
          <w:szCs w:val="18"/>
        </w:rPr>
        <w:t>风险承受能力购买</w:t>
      </w:r>
      <w:r>
        <w:rPr>
          <w:rFonts w:hint="eastAsia" w:ascii="宋体" w:hAnsi="宋体"/>
          <w:sz w:val="18"/>
          <w:szCs w:val="18"/>
        </w:rPr>
        <w:t>产品风险评级适合您的</w:t>
      </w:r>
      <w:r>
        <w:rPr>
          <w:rFonts w:ascii="宋体" w:hAnsi="宋体"/>
          <w:sz w:val="18"/>
          <w:szCs w:val="18"/>
        </w:rPr>
        <w:t>理财产品</w:t>
      </w:r>
      <w:r>
        <w:rPr>
          <w:rFonts w:hint="eastAsia" w:ascii="宋体" w:hAnsi="宋体"/>
          <w:sz w:val="18"/>
          <w:szCs w:val="18"/>
        </w:rPr>
        <w:t>。</w:t>
      </w:r>
    </w:p>
    <w:p>
      <w:pPr>
        <w:ind w:firstLine="361" w:firstLineChars="200"/>
        <w:rPr>
          <w:rFonts w:ascii="宋体" w:hAnsi="宋体"/>
          <w:b/>
          <w:sz w:val="18"/>
          <w:szCs w:val="18"/>
        </w:rPr>
      </w:pPr>
      <w:r>
        <w:rPr>
          <w:rFonts w:hint="eastAsia" w:ascii="宋体" w:hAnsi="宋体"/>
          <w:b/>
          <w:sz w:val="18"/>
          <w:szCs w:val="18"/>
        </w:rPr>
        <w:t>三、关于理财产品的信息披露</w:t>
      </w:r>
    </w:p>
    <w:p>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pPr>
        <w:ind w:firstLine="361" w:firstLineChars="200"/>
        <w:rPr>
          <w:rFonts w:asciiTheme="minorEastAsia" w:hAnsiTheme="minorEastAsia"/>
          <w:b/>
          <w:bCs/>
          <w:sz w:val="18"/>
          <w:szCs w:val="18"/>
        </w:rPr>
      </w:pPr>
      <w:r>
        <w:rPr>
          <w:rFonts w:hint="eastAsia" w:ascii="宋体" w:hAnsi="宋体"/>
          <w:b/>
          <w:bCs/>
          <w:sz w:val="18"/>
          <w:szCs w:val="18"/>
        </w:rPr>
        <w:t>四、关于投诉与建议</w:t>
      </w:r>
    </w:p>
    <w:p>
      <w:pPr>
        <w:spacing w:line="280" w:lineRule="atLeast"/>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pPr>
        <w:spacing w:line="280" w:lineRule="atLeast"/>
        <w:ind w:firstLine="360" w:firstLineChars="200"/>
        <w:rPr>
          <w:rFonts w:ascii="宋体" w:hAnsi="宋体"/>
          <w:sz w:val="18"/>
          <w:szCs w:val="18"/>
        </w:rPr>
      </w:pPr>
      <w:r>
        <w:rPr>
          <w:rFonts w:hint="eastAsia" w:ascii="宋体" w:hAnsi="宋体"/>
          <w:sz w:val="18"/>
          <w:szCs w:val="18"/>
        </w:rPr>
        <w:t>（二）联络方式：</w:t>
      </w:r>
    </w:p>
    <w:p>
      <w:pPr>
        <w:ind w:firstLine="360" w:firstLineChars="200"/>
        <w:rPr>
          <w:rFonts w:ascii="宋体" w:hAnsi="宋体"/>
          <w:sz w:val="18"/>
          <w:szCs w:val="18"/>
        </w:rPr>
      </w:pPr>
      <w:r>
        <w:rPr>
          <w:rFonts w:hint="eastAsia" w:ascii="宋体" w:hAnsi="宋体"/>
          <w:sz w:val="18"/>
          <w:szCs w:val="18"/>
        </w:rPr>
        <w:t>1、产品管理人：兴银理财有限责任公司</w:t>
      </w:r>
    </w:p>
    <w:p>
      <w:pPr>
        <w:ind w:firstLine="360" w:firstLineChars="200"/>
        <w:rPr>
          <w:rFonts w:ascii="宋体" w:hAnsi="宋体"/>
          <w:sz w:val="18"/>
          <w:szCs w:val="18"/>
        </w:rPr>
      </w:pPr>
      <w:r>
        <w:rPr>
          <w:rFonts w:hint="eastAsia" w:ascii="宋体" w:hAnsi="宋体"/>
          <w:sz w:val="18"/>
          <w:szCs w:val="18"/>
        </w:rPr>
        <w:t>客户服务热线：40015-95561。</w:t>
      </w:r>
    </w:p>
    <w:p>
      <w:pPr>
        <w:spacing w:line="280" w:lineRule="atLeast"/>
        <w:ind w:firstLine="360" w:firstLineChars="200"/>
        <w:rPr>
          <w:rFonts w:ascii="宋体" w:hAnsi="宋体"/>
          <w:sz w:val="18"/>
          <w:szCs w:val="18"/>
        </w:rPr>
      </w:pPr>
      <w:r>
        <w:rPr>
          <w:rFonts w:hint="eastAsia" w:ascii="宋体" w:hAnsi="宋体"/>
          <w:sz w:val="18"/>
          <w:szCs w:val="18"/>
        </w:rPr>
        <w:t>2、</w:t>
      </w:r>
      <w:r>
        <w:rPr>
          <w:rFonts w:ascii="宋体" w:hAnsi="宋体"/>
          <w:sz w:val="18"/>
          <w:szCs w:val="18"/>
        </w:rPr>
        <w:t>销售机构</w:t>
      </w:r>
      <w:r>
        <w:rPr>
          <w:rFonts w:hint="eastAsia" w:ascii="宋体" w:hAnsi="宋体"/>
          <w:sz w:val="18"/>
          <w:szCs w:val="18"/>
        </w:rPr>
        <w:t>：兴业银行股份有限公司</w:t>
      </w:r>
    </w:p>
    <w:p>
      <w:pPr>
        <w:spacing w:line="280" w:lineRule="atLeast"/>
        <w:ind w:firstLine="360" w:firstLineChars="200"/>
        <w:rPr>
          <w:rFonts w:ascii="宋体" w:hAnsi="宋体"/>
          <w:sz w:val="18"/>
          <w:szCs w:val="18"/>
        </w:rPr>
      </w:pPr>
      <w:r>
        <w:rPr>
          <w:rFonts w:hint="eastAsia" w:ascii="宋体" w:hAnsi="宋体"/>
          <w:sz w:val="18"/>
          <w:szCs w:val="18"/>
        </w:rPr>
        <w:t>兴业银行理财经理或兴业银行各营业网点。</w:t>
      </w:r>
    </w:p>
    <w:p>
      <w:pPr>
        <w:spacing w:line="280" w:lineRule="atLeast"/>
        <w:ind w:firstLine="360" w:firstLineChars="200"/>
        <w:rPr>
          <w:rFonts w:ascii="宋体" w:hAnsi="宋体"/>
          <w:sz w:val="18"/>
          <w:szCs w:val="18"/>
        </w:rPr>
      </w:pPr>
      <w:r>
        <w:rPr>
          <w:rFonts w:ascii="宋体" w:hAnsi="宋体"/>
          <w:sz w:val="18"/>
          <w:szCs w:val="18"/>
        </w:rPr>
        <w:t>兴业银行</w:t>
      </w:r>
      <w:r>
        <w:rPr>
          <w:rFonts w:hint="eastAsia" w:ascii="宋体" w:hAnsi="宋体"/>
          <w:sz w:val="18"/>
          <w:szCs w:val="18"/>
        </w:rPr>
        <w:t>客户投诉电话：【</w:t>
      </w:r>
      <w:r>
        <w:rPr>
          <w:rFonts w:asciiTheme="minorEastAsia" w:hAnsiTheme="minorEastAsia"/>
          <w:sz w:val="18"/>
          <w:szCs w:val="18"/>
        </w:rPr>
        <w:t>95561</w:t>
      </w:r>
      <w:r>
        <w:rPr>
          <w:rFonts w:hint="eastAsia" w:ascii="宋体" w:hAnsi="宋体"/>
          <w:sz w:val="18"/>
          <w:szCs w:val="18"/>
        </w:rPr>
        <w:t>】。</w:t>
      </w:r>
    </w:p>
    <w:p>
      <w:pPr>
        <w:spacing w:line="280" w:lineRule="atLeast"/>
        <w:ind w:firstLine="360" w:firstLineChars="200"/>
        <w:rPr>
          <w:rFonts w:ascii="宋体" w:hAnsi="宋体"/>
          <w:sz w:val="18"/>
          <w:szCs w:val="18"/>
        </w:rPr>
      </w:pPr>
      <w:r>
        <w:rPr>
          <w:rFonts w:hint="eastAsia" w:ascii="宋体" w:hAnsi="宋体"/>
          <w:sz w:val="18"/>
          <w:szCs w:val="18"/>
        </w:rPr>
        <w:t>兴业银行总行消费者投诉受理邮箱：【9</w:t>
      </w:r>
      <w:r>
        <w:rPr>
          <w:rFonts w:ascii="宋体" w:hAnsi="宋体"/>
          <w:sz w:val="18"/>
          <w:szCs w:val="18"/>
        </w:rPr>
        <w:t>5561</w:t>
      </w:r>
      <w:r>
        <w:rPr>
          <w:rFonts w:hint="eastAsia" w:ascii="宋体" w:hAnsi="宋体"/>
          <w:sz w:val="18"/>
          <w:szCs w:val="18"/>
        </w:rPr>
        <w:t>@</w:t>
      </w:r>
      <w:r>
        <w:rPr>
          <w:rFonts w:asciiTheme="minorEastAsia" w:hAnsiTheme="minorEastAsia"/>
          <w:sz w:val="18"/>
          <w:szCs w:val="18"/>
        </w:rPr>
        <w:t>cib.com.cn</w:t>
      </w:r>
      <w:r>
        <w:rPr>
          <w:rFonts w:hint="eastAsia" w:ascii="宋体" w:hAnsi="宋体"/>
          <w:sz w:val="18"/>
          <w:szCs w:val="18"/>
        </w:rPr>
        <w:t>】。</w:t>
      </w:r>
    </w:p>
    <w:p>
      <w:pPr>
        <w:ind w:firstLine="360" w:firstLineChars="200"/>
        <w:rPr>
          <w:rFonts w:ascii="宋体" w:hAnsi="宋体"/>
          <w:sz w:val="18"/>
          <w:szCs w:val="18"/>
        </w:rPr>
      </w:pPr>
      <w:r>
        <w:rPr>
          <w:rFonts w:hint="eastAsia" w:ascii="宋体" w:hAnsi="宋体"/>
          <w:sz w:val="18"/>
          <w:szCs w:val="18"/>
        </w:rPr>
        <w:t>3、销售机构：【】</w:t>
      </w:r>
    </w:p>
    <w:p>
      <w:pPr>
        <w:ind w:firstLine="360" w:firstLineChars="200"/>
        <w:rPr>
          <w:rFonts w:ascii="宋体" w:hAnsi="宋体"/>
          <w:sz w:val="18"/>
          <w:szCs w:val="18"/>
        </w:rPr>
      </w:pPr>
      <w:r>
        <w:rPr>
          <w:rFonts w:hint="eastAsia" w:ascii="宋体" w:hAnsi="宋体"/>
          <w:sz w:val="18"/>
          <w:szCs w:val="18"/>
        </w:rPr>
        <w:t>【】</w:t>
      </w:r>
    </w:p>
    <w:p>
      <w:pPr>
        <w:spacing w:line="360" w:lineRule="auto"/>
        <w:jc w:val="left"/>
        <w:rPr>
          <w:rFonts w:hint="eastAsia" w:ascii="宋体" w:hAnsi="宋体"/>
          <w:b/>
          <w:sz w:val="18"/>
          <w:szCs w:val="18"/>
        </w:rPr>
      </w:pPr>
    </w:p>
    <w:sectPr>
      <w:headerReference r:id="rId11" w:type="default"/>
      <w:footerReference r:id="rId12" w:type="default"/>
      <w:pgSz w:w="11906" w:h="16838"/>
      <w:pgMar w:top="1440" w:right="1800" w:bottom="1440" w:left="1800" w:header="567"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TSong-Ligh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15</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kern w:val="0"/>
        <w:szCs w:val="21"/>
      </w:rPr>
    </w:pPr>
    <w:r>
      <w:rPr>
        <w:kern w:val="0"/>
        <w:szCs w:val="21"/>
      </w:rPr>
      <w:fldChar w:fldCharType="begin"/>
    </w:r>
    <w:r>
      <w:rPr>
        <w:kern w:val="0"/>
        <w:szCs w:val="21"/>
      </w:rPr>
      <w:instrText xml:space="preserve"> PAGE </w:instrText>
    </w:r>
    <w:r>
      <w:rPr>
        <w:kern w:val="0"/>
        <w:szCs w:val="21"/>
      </w:rPr>
      <w:fldChar w:fldCharType="separate"/>
    </w:r>
    <w:r>
      <w:rPr>
        <w:kern w:val="0"/>
        <w:szCs w:val="21"/>
      </w:rPr>
      <w:t>12</w:t>
    </w:r>
    <w:r>
      <w:rPr>
        <w:kern w:val="0"/>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442659"/>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61253"/>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3202528"/>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b/>
      </w:rPr>
    </w:pPr>
    <w:r>
      <w:rPr>
        <w:rFonts w:hint="eastAsia"/>
        <w:b/>
      </w:rPr>
      <w:t>投资协议书</w:t>
    </w:r>
  </w:p>
  <w:p>
    <w:pPr>
      <w:pStyle w:val="4"/>
      <w:jc w:val="right"/>
      <w:rPr>
        <w:b/>
      </w:rPr>
    </w:pPr>
    <w:r>
      <w:rPr>
        <w:rFonts w:hint="eastAsia"/>
        <w:b/>
      </w:rPr>
      <w:t>注：本文件由兴银理财有限责任公司统一编制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b/>
      </w:rPr>
    </w:pPr>
    <w:r>
      <w:rPr>
        <w:rFonts w:hint="eastAsia" w:ascii="Times New Roman" w:hAnsi="Times New Roman" w:cs="Times New Roman"/>
        <w:b/>
        <w:szCs w:val="20"/>
      </w:rPr>
      <w:t xml:space="preserve"> </w:t>
    </w:r>
    <w:r>
      <w:rPr>
        <w:rFonts w:hint="eastAsia" w:ascii="Times New Roman" w:hAnsi="Times New Roman"/>
        <w:b/>
      </w:rPr>
      <w:t>产品说明书</w:t>
    </w:r>
  </w:p>
  <w:p>
    <w:pPr>
      <w:pStyle w:val="4"/>
      <w:jc w:val="right"/>
      <w:rPr>
        <w:rFonts w:ascii="Times New Roman" w:hAnsi="Times New Roman"/>
        <w:b/>
      </w:rPr>
    </w:pPr>
    <w:r>
      <w:rPr>
        <w:rFonts w:hint="eastAsia" w:ascii="Times New Roman" w:hAnsi="Times New Roman"/>
        <w:b/>
      </w:rPr>
      <w:t>注：本文件由兴银理财有限责任公司统一编制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eastAsia="宋体" w:cs="Times New Roman"/>
        <w:b/>
        <w:szCs w:val="20"/>
      </w:rPr>
    </w:pPr>
    <w:r>
      <w:rPr>
        <w:rFonts w:hint="eastAsia"/>
      </w:rPr>
      <w:t xml:space="preserve">                             </w:t>
    </w:r>
    <w:r>
      <w:t xml:space="preserve">    </w:t>
    </w:r>
    <w:r>
      <w:rPr>
        <w:rFonts w:hint="eastAsia"/>
      </w:rPr>
      <w:t xml:space="preserve"> </w:t>
    </w:r>
    <w:r>
      <w:t xml:space="preserve">                    </w:t>
    </w:r>
    <w:r>
      <w:rPr>
        <w:rFonts w:hint="eastAsia" w:ascii="Times New Roman" w:hAnsi="Times New Roman" w:eastAsia="宋体" w:cs="Times New Roman"/>
        <w:b/>
        <w:szCs w:val="20"/>
      </w:rPr>
      <w:t>（代理）销售协议书</w:t>
    </w:r>
  </w:p>
  <w:p>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pPr>
      <w:pStyle w:val="4"/>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投资者权益须知</w:t>
    </w:r>
  </w:p>
  <w:p>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000127"/>
    <w:rsid w:val="62BF7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paragraph" w:styleId="5">
    <w:name w:val="toc 1"/>
    <w:basedOn w:val="1"/>
    <w:next w:val="1"/>
    <w:qFormat/>
    <w:uiPriority w:val="39"/>
    <w:pPr>
      <w:tabs>
        <w:tab w:val="right" w:leader="dot" w:pos="8296"/>
      </w:tabs>
      <w:spacing w:line="360" w:lineRule="auto"/>
    </w:p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paragraph" w:styleId="12">
    <w:name w:val="List Paragraph"/>
    <w:basedOn w:val="1"/>
    <w:qFormat/>
    <w:uiPriority w:val="0"/>
    <w:pPr>
      <w:ind w:firstLine="420" w:firstLineChars="200"/>
    </w:pPr>
  </w:style>
  <w:style w:type="paragraph" w:customStyle="1" w:styleId="1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2024-03-25T07:04:00Z</dcterms:created>
  <dc:creator>cib</dc:creator>
  <cp:lastModifiedBy>黄立杰</cp:lastModifiedBy>
  <dcterms:modified xsi:type="dcterms:W3CDTF">2024-03-26T09:28:28Z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