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b/>
          <w:szCs w:val="21"/>
        </w:rPr>
      </w:pPr>
      <w:r>
        <w:rPr>
          <w:rFonts w:hint="eastAsia" w:ascii="黑体" w:hAnsi="黑体" w:eastAsia="黑体"/>
          <w:b/>
          <w:sz w:val="44"/>
          <w:szCs w:val="44"/>
        </w:rPr>
        <w:t>兴银理财天天万利宝稳利净值型理财产品销售文件</w:t>
      </w:r>
    </w:p>
    <w:tbl>
      <w:tblPr>
        <w:tblStyle w:val="10"/>
        <w:tblW w:w="892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0"/>
        <w:gridCol w:w="6008"/>
        <w:gridCol w:w="192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6008"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24"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jc w:val="center"/>
        </w:trPr>
        <w:tc>
          <w:tcPr>
            <w:tcW w:w="990"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24" w:type="dxa"/>
          </w:tcPr>
          <w:p>
            <w:pPr>
              <w:pStyle w:val="15"/>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15"/>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24" w:type="dxa"/>
          </w:tcPr>
          <w:p>
            <w:pPr>
              <w:pStyle w:val="15"/>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0"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5"/>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pStyle w:val="15"/>
        <w:widowControl/>
        <w:snapToGrid w:val="0"/>
        <w:spacing w:line="360" w:lineRule="auto"/>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r>
        <w:br w:type="page"/>
      </w:r>
    </w:p>
    <w:p>
      <w:pPr>
        <w:tabs>
          <w:tab w:val="left" w:pos="6660"/>
        </w:tabs>
        <w:spacing w:line="360" w:lineRule="auto"/>
        <w:jc w:val="center"/>
        <w:rPr>
          <w:bCs/>
          <w:sz w:val="44"/>
        </w:rPr>
      </w:pP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兴银理财天天万利宝稳利净值型理财产品投资协议书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r>
        <w:rPr>
          <w:rFonts w:ascii="黑体" w:hAnsi="黑体" w:eastAsia="黑体"/>
          <w:b/>
          <w:sz w:val="28"/>
          <w:szCs w:val="28"/>
        </w:rPr>
        <w:t xml:space="preserve">                 </w:t>
      </w:r>
      <w:r>
        <w:rPr>
          <w:rFonts w:hint="eastAsia" w:ascii="黑体" w:hAnsi="黑体" w:eastAsia="黑体"/>
          <w:b/>
          <w:sz w:val="28"/>
          <w:szCs w:val="28"/>
        </w:rPr>
        <w:t>】</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2"/>
          <w:rFonts w:ascii="宋体" w:hAnsi="宋体"/>
          <w:sz w:val="28"/>
          <w:szCs w:val="28"/>
        </w:rPr>
      </w:pPr>
      <w:bookmarkStart w:id="0" w:name="_Toc139992301"/>
      <w:bookmarkStart w:id="1" w:name="_Toc123112263"/>
      <w:bookmarkStart w:id="2" w:name="_Toc123112224"/>
      <w:bookmarkStart w:id="3" w:name="_Toc139991726"/>
      <w:bookmarkStart w:id="4" w:name="_Toc123701383"/>
      <w:r>
        <w:rPr>
          <w:rStyle w:val="12"/>
          <w:rFonts w:hint="eastAsia" w:ascii="宋体" w:hAnsi="宋体"/>
          <w:sz w:val="28"/>
          <w:szCs w:val="28"/>
        </w:rPr>
        <w:t>理财产品管理人：</w:t>
      </w:r>
      <w:bookmarkEnd w:id="0"/>
      <w:bookmarkEnd w:id="1"/>
      <w:bookmarkEnd w:id="2"/>
      <w:bookmarkEnd w:id="3"/>
      <w:bookmarkEnd w:id="4"/>
      <w:r>
        <w:rPr>
          <w:rStyle w:val="12"/>
          <w:rFonts w:hint="eastAsia" w:ascii="宋体" w:hAnsi="宋体"/>
          <w:sz w:val="28"/>
          <w:szCs w:val="28"/>
        </w:rPr>
        <w:t>兴银理财有限责任公司</w:t>
      </w:r>
    </w:p>
    <w:p>
      <w:pPr>
        <w:adjustRightInd w:val="0"/>
        <w:spacing w:line="360" w:lineRule="auto"/>
        <w:jc w:val="center"/>
        <w:rPr>
          <w:rStyle w:val="12"/>
          <w:rFonts w:ascii="黑体" w:hAnsi="黑体" w:eastAsia="黑体" w:cs="宋体"/>
          <w:sz w:val="28"/>
          <w:szCs w:val="28"/>
        </w:rPr>
      </w:pPr>
      <w:bookmarkStart w:id="5" w:name="_Toc123112264"/>
      <w:bookmarkStart w:id="6" w:name="_Toc123701384"/>
      <w:bookmarkStart w:id="7" w:name="_Toc139992302"/>
      <w:bookmarkStart w:id="8" w:name="_Toc139991727"/>
      <w:bookmarkStart w:id="9" w:name="_Toc123112225"/>
    </w:p>
    <w:bookmarkEnd w:id="5"/>
    <w:bookmarkEnd w:id="6"/>
    <w:bookmarkEnd w:id="7"/>
    <w:bookmarkEnd w:id="8"/>
    <w:bookmarkEnd w:id="9"/>
    <w:p>
      <w:pPr>
        <w:adjustRightInd w:val="0"/>
        <w:spacing w:line="360" w:lineRule="auto"/>
        <w:jc w:val="center"/>
        <w:rPr>
          <w:rStyle w:val="12"/>
          <w:rFonts w:ascii="黑体" w:hAnsi="黑体" w:eastAsia="黑体" w:cs="宋体"/>
          <w:sz w:val="28"/>
          <w:szCs w:val="28"/>
        </w:rPr>
      </w:pPr>
    </w:p>
    <w:p>
      <w:pPr>
        <w:adjustRightInd w:val="0"/>
        <w:spacing w:line="360" w:lineRule="auto"/>
        <w:jc w:val="center"/>
        <w:rPr>
          <w:rStyle w:val="12"/>
          <w:rFonts w:ascii="宋体" w:hAnsi="宋体"/>
          <w:sz w:val="28"/>
          <w:szCs w:val="28"/>
        </w:rPr>
      </w:pPr>
      <w:r>
        <w:rPr>
          <w:rStyle w:val="12"/>
          <w:rFonts w:hint="eastAsia" w:ascii="宋体" w:hAnsi="宋体"/>
          <w:sz w:val="28"/>
          <w:szCs w:val="28"/>
        </w:rPr>
        <w:t>日期</w:t>
      </w:r>
      <w:r>
        <w:rPr>
          <w:rStyle w:val="12"/>
          <w:rFonts w:ascii="宋体" w:hAnsi="宋体"/>
          <w:sz w:val="28"/>
          <w:szCs w:val="28"/>
        </w:rPr>
        <w:t>：</w:t>
      </w:r>
      <w:r>
        <w:rPr>
          <w:rStyle w:val="12"/>
          <w:rFonts w:hint="eastAsia" w:ascii="宋体" w:hAnsi="宋体"/>
          <w:sz w:val="28"/>
          <w:szCs w:val="28"/>
        </w:rPr>
        <w:t>【2022】年【</w:t>
      </w:r>
      <w:r>
        <w:rPr>
          <w:rStyle w:val="12"/>
          <w:rFonts w:ascii="宋体" w:hAnsi="宋体"/>
          <w:sz w:val="28"/>
          <w:szCs w:val="28"/>
        </w:rPr>
        <w:t>10</w:t>
      </w:r>
      <w:r>
        <w:rPr>
          <w:rStyle w:val="12"/>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10"/>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w:t>
            </w:r>
            <w:r>
              <w:rPr>
                <w:rFonts w:ascii="黑体" w:hAnsi="黑体" w:eastAsia="黑体"/>
                <w:bCs/>
                <w:sz w:val="18"/>
                <w:szCs w:val="18"/>
              </w:rPr>
              <w:t>须</w:t>
            </w:r>
            <w:r>
              <w:rPr>
                <w:rFonts w:hint="eastAsia" w:ascii="黑体" w:hAnsi="黑体" w:eastAsia="黑体"/>
                <w:bCs/>
                <w:sz w:val="18"/>
                <w:szCs w:val="18"/>
              </w:rPr>
              <w:t>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报酬计提基准</w:t>
            </w:r>
            <w:r>
              <w:rPr>
                <w:rFonts w:hint="eastAsia" w:ascii="黑体" w:hAnsi="黑体" w:eastAsia="黑体"/>
                <w:bCs/>
                <w:sz w:val="18"/>
                <w:szCs w:val="18"/>
              </w:rPr>
              <w:t>等类似表述不代表投资者可能获得的实际收益，亦不构成产品管理人对本产品的任何收益承诺，仅供投资者进行投资决定时参考。</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投资者在此同意并授权，产品管理人可根据监管要求和合同约定，为理财产品登记、反洗钱</w:t>
            </w:r>
            <w:r>
              <w:rPr>
                <w:rFonts w:ascii="黑体" w:hAnsi="黑体" w:eastAsia="黑体"/>
                <w:bCs/>
                <w:sz w:val="18"/>
                <w:szCs w:val="18"/>
              </w:rPr>
              <w:t>工作</w:t>
            </w:r>
            <w:r>
              <w:rPr>
                <w:rFonts w:hint="eastAsia" w:ascii="黑体" w:hAnsi="黑体" w:eastAsia="黑体"/>
                <w:bCs/>
                <w:sz w:val="18"/>
                <w:szCs w:val="18"/>
              </w:rPr>
              <w:t>等需要，向登记部门或监管机构及相关方提供投资者相关信息。</w:t>
            </w:r>
          </w:p>
          <w:p>
            <w:pPr>
              <w:pStyle w:val="8"/>
              <w:snapToGrid w:val="0"/>
              <w:spacing w:before="0" w:beforeAutospacing="0" w:after="0" w:afterAutospacing="0" w:line="360" w:lineRule="auto"/>
              <w:jc w:val="both"/>
              <w:rPr>
                <w:rFonts w:ascii="黑体" w:hAnsi="黑体" w:eastAsia="黑体"/>
                <w:bCs/>
                <w:sz w:val="18"/>
                <w:szCs w:val="18"/>
              </w:rPr>
            </w:pPr>
          </w:p>
          <w:p>
            <w:pPr>
              <w:spacing w:line="360" w:lineRule="auto"/>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spacing w:line="360" w:lineRule="auto"/>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关于理财产品咨询的提示</w:t>
            </w:r>
          </w:p>
          <w:p>
            <w:pPr>
              <w:tabs>
                <w:tab w:val="left" w:pos="8070"/>
                <w:tab w:val="right" w:pos="8306"/>
              </w:tabs>
              <w:autoSpaceDE w:val="0"/>
              <w:autoSpaceDN w:val="0"/>
              <w:adjustRightInd w:val="0"/>
              <w:snapToGrid w:val="0"/>
              <w:spacing w:before="156" w:beforeLines="50" w:line="360" w:lineRule="auto"/>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39991729"/>
      <w:bookmarkStart w:id="13" w:name="_Toc123112266"/>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9"/>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【兴业银行天天万利宝稳利1号净值型理财产品</w:t>
            </w:r>
            <w:r>
              <w:rPr>
                <w:rFonts w:ascii="宋体" w:hAnsi="宋体"/>
                <w:bCs/>
                <w:sz w:val="18"/>
                <w:szCs w:val="18"/>
              </w:rPr>
              <w:t>H</w:t>
            </w:r>
            <w:r>
              <w:rPr>
                <w:rFonts w:hint="eastAsia" w:ascii="宋体" w:hAnsi="宋体"/>
                <w:bCs/>
                <w:sz w:val="18"/>
                <w:szCs w:val="18"/>
              </w:rPr>
              <w:t>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【稳利恒盈H 12个月】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Z7002020000012</w:t>
            </w:r>
            <w:r>
              <w:rPr>
                <w:rFonts w:hint="eastAsia" w:ascii="宋体" w:hAnsi="宋体"/>
                <w:bCs/>
                <w:sz w:val="18"/>
                <w:szCs w:val="18"/>
              </w:rPr>
              <w:t>】</w:t>
            </w:r>
            <w:r>
              <w:rPr>
                <w:rFonts w:hint="eastAsia" w:asciiTheme="majorEastAsia" w:hAnsiTheme="majorEastAsia" w:eastAsiaTheme="majorEastAsia"/>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Theme="majorEastAsia" w:hAnsiTheme="majorEastAsia" w:eastAsiaTheme="majorEastAsia"/>
                <w:bCs/>
                <w:sz w:val="18"/>
                <w:szCs w:val="18"/>
              </w:rPr>
              <w:t>www.chinawealth.com.cn</w:t>
            </w:r>
            <w:r>
              <w:rPr>
                <w:rFonts w:asciiTheme="majorEastAsia" w:hAnsiTheme="majorEastAsia" w:eastAsiaTheme="majorEastAsia"/>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9K218018</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9K218018</w:t>
            </w:r>
            <w:r>
              <w:rPr>
                <w:rFonts w:hint="eastAsia"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spacing w:line="360" w:lineRule="auto"/>
        <w:jc w:val="left"/>
        <w:rPr>
          <w:bCs/>
          <w:sz w:val="32"/>
        </w:rPr>
      </w:pPr>
      <w:r>
        <w:rPr>
          <w:rFonts w:hint="eastAsia"/>
          <w:bCs/>
          <w:sz w:val="32"/>
        </w:rPr>
        <w:t xml:space="preserve"> </w:t>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headerReference r:id="rId3" w:type="default"/>
          <w:footerReference r:id="rId4" w:type="default"/>
          <w:pgSz w:w="11906" w:h="16838"/>
          <w:pgMar w:top="1440" w:right="1800" w:bottom="1440" w:left="1800" w:header="567" w:footer="992" w:gutter="0"/>
          <w:pgNumType w:start="0"/>
          <w:cols w:space="720" w:num="1"/>
          <w:titlePg/>
          <w:docGrid w:type="lines" w:linePitch="312" w:charSpace="0"/>
        </w:sectPr>
      </w:pP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6"/>
            <w:spacing w:line="360" w:lineRule="auto"/>
            <w:jc w:val="center"/>
          </w:pPr>
          <w:r>
            <w:rPr>
              <w:lang w:val="zh-CN"/>
            </w:rPr>
            <w:t>目录</w:t>
          </w:r>
        </w:p>
        <w:p>
          <w:pPr>
            <w:pStyle w:val="6"/>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"_Toc95897036" </w:instrText>
          </w:r>
          <w:r>
            <w:fldChar w:fldCharType="separate"/>
          </w:r>
          <w:r>
            <w:rPr>
              <w:rStyle w:val="13"/>
              <w:rFonts w:hint="eastAsia"/>
            </w:rPr>
            <w:t>第一条</w:t>
          </w:r>
          <w:r>
            <w:rPr>
              <w:rStyle w:val="13"/>
            </w:rPr>
            <w:t xml:space="preserve">  </w:t>
          </w:r>
          <w:r>
            <w:rPr>
              <w:rStyle w:val="13"/>
              <w:rFonts w:hint="eastAsia"/>
            </w:rPr>
            <w:t>前言</w:t>
          </w:r>
          <w:r>
            <w:tab/>
          </w:r>
          <w:r>
            <w:fldChar w:fldCharType="begin"/>
          </w:r>
          <w:r>
            <w:instrText xml:space="preserve"> PAGEREF _Toc95897036 \h </w:instrText>
          </w:r>
          <w:r>
            <w:fldChar w:fldCharType="separate"/>
          </w:r>
          <w:r>
            <w:t>1</w:t>
          </w:r>
          <w:r>
            <w:fldChar w:fldCharType="end"/>
          </w:r>
          <w:r>
            <w:fldChar w:fldCharType="end"/>
          </w:r>
        </w:p>
        <w:p>
          <w:pPr>
            <w:pStyle w:val="6"/>
            <w:rPr>
              <w:rFonts w:asciiTheme="minorHAnsi" w:hAnsiTheme="minorHAnsi" w:eastAsiaTheme="minorEastAsia" w:cstheme="minorBidi"/>
              <w:szCs w:val="22"/>
            </w:rPr>
          </w:pPr>
          <w:r>
            <w:fldChar w:fldCharType="begin"/>
          </w:r>
          <w:r>
            <w:instrText xml:space="preserve"> HYPERLINK \l "_Toc95897037" </w:instrText>
          </w:r>
          <w:r>
            <w:fldChar w:fldCharType="separate"/>
          </w:r>
          <w:r>
            <w:rPr>
              <w:rStyle w:val="13"/>
              <w:rFonts w:hint="eastAsia"/>
            </w:rPr>
            <w:t>第二条</w:t>
          </w:r>
          <w:r>
            <w:rPr>
              <w:rStyle w:val="13"/>
            </w:rPr>
            <w:t xml:space="preserve">  </w:t>
          </w:r>
          <w:r>
            <w:rPr>
              <w:rStyle w:val="13"/>
              <w:rFonts w:hint="eastAsia"/>
            </w:rPr>
            <w:t>双方权利义务</w:t>
          </w:r>
          <w:r>
            <w:tab/>
          </w:r>
          <w:r>
            <w:fldChar w:fldCharType="begin"/>
          </w:r>
          <w:r>
            <w:instrText xml:space="preserve"> PAGEREF _Toc95897037 \h </w:instrText>
          </w:r>
          <w:r>
            <w:fldChar w:fldCharType="separate"/>
          </w:r>
          <w:r>
            <w:t>2</w:t>
          </w:r>
          <w:r>
            <w:fldChar w:fldCharType="end"/>
          </w:r>
          <w:r>
            <w:fldChar w:fldCharType="end"/>
          </w:r>
        </w:p>
        <w:p>
          <w:pPr>
            <w:pStyle w:val="6"/>
            <w:rPr>
              <w:rFonts w:asciiTheme="minorHAnsi" w:hAnsiTheme="minorHAnsi" w:eastAsiaTheme="minorEastAsia" w:cstheme="minorBidi"/>
              <w:szCs w:val="22"/>
            </w:rPr>
          </w:pPr>
          <w:r>
            <w:fldChar w:fldCharType="begin"/>
          </w:r>
          <w:r>
            <w:instrText xml:space="preserve"> HYPERLINK \l "_Toc95897038" </w:instrText>
          </w:r>
          <w:r>
            <w:fldChar w:fldCharType="separate"/>
          </w:r>
          <w:r>
            <w:rPr>
              <w:rStyle w:val="13"/>
              <w:rFonts w:hint="eastAsia"/>
            </w:rPr>
            <w:t>第三条</w:t>
          </w:r>
          <w:r>
            <w:rPr>
              <w:rStyle w:val="13"/>
            </w:rPr>
            <w:t xml:space="preserve">  </w:t>
          </w:r>
          <w:r>
            <w:rPr>
              <w:rStyle w:val="13"/>
              <w:rFonts w:hint="eastAsia"/>
            </w:rPr>
            <w:t>不可抗力</w:t>
          </w:r>
          <w:r>
            <w:tab/>
          </w:r>
          <w:r>
            <w:fldChar w:fldCharType="begin"/>
          </w:r>
          <w:r>
            <w:instrText xml:space="preserve"> PAGEREF _Toc95897038 \h </w:instrText>
          </w:r>
          <w:r>
            <w:fldChar w:fldCharType="separate"/>
          </w:r>
          <w:r>
            <w:t>5</w:t>
          </w:r>
          <w:r>
            <w:fldChar w:fldCharType="end"/>
          </w:r>
          <w:r>
            <w:fldChar w:fldCharType="end"/>
          </w:r>
        </w:p>
        <w:p>
          <w:pPr>
            <w:pStyle w:val="6"/>
            <w:rPr>
              <w:rFonts w:asciiTheme="minorHAnsi" w:hAnsiTheme="minorHAnsi" w:eastAsiaTheme="minorEastAsia" w:cstheme="minorBidi"/>
              <w:szCs w:val="22"/>
            </w:rPr>
          </w:pPr>
          <w:r>
            <w:fldChar w:fldCharType="begin"/>
          </w:r>
          <w:r>
            <w:instrText xml:space="preserve"> HYPERLINK \l "_Toc95897039" </w:instrText>
          </w:r>
          <w:r>
            <w:fldChar w:fldCharType="separate"/>
          </w:r>
          <w:r>
            <w:rPr>
              <w:rStyle w:val="13"/>
              <w:rFonts w:hint="eastAsia"/>
            </w:rPr>
            <w:t>第四条</w:t>
          </w:r>
          <w:r>
            <w:rPr>
              <w:rStyle w:val="13"/>
            </w:rPr>
            <w:t xml:space="preserve">  </w:t>
          </w:r>
          <w:r>
            <w:rPr>
              <w:rStyle w:val="13"/>
              <w:rFonts w:hint="eastAsia"/>
            </w:rPr>
            <w:t>违约责任</w:t>
          </w:r>
          <w:r>
            <w:tab/>
          </w:r>
          <w:r>
            <w:fldChar w:fldCharType="begin"/>
          </w:r>
          <w:r>
            <w:instrText xml:space="preserve"> PAGEREF _Toc95897039 \h </w:instrText>
          </w:r>
          <w:r>
            <w:fldChar w:fldCharType="separate"/>
          </w:r>
          <w:r>
            <w:t>6</w:t>
          </w:r>
          <w:r>
            <w:fldChar w:fldCharType="end"/>
          </w:r>
          <w:r>
            <w:fldChar w:fldCharType="end"/>
          </w:r>
        </w:p>
        <w:p>
          <w:pPr>
            <w:pStyle w:val="6"/>
            <w:rPr>
              <w:rFonts w:asciiTheme="minorHAnsi" w:hAnsiTheme="minorHAnsi" w:eastAsiaTheme="minorEastAsia" w:cstheme="minorBidi"/>
              <w:szCs w:val="22"/>
            </w:rPr>
          </w:pPr>
          <w:r>
            <w:fldChar w:fldCharType="begin"/>
          </w:r>
          <w:r>
            <w:instrText xml:space="preserve"> HYPERLINK \l "_Toc95897040" </w:instrText>
          </w:r>
          <w:r>
            <w:fldChar w:fldCharType="separate"/>
          </w:r>
          <w:r>
            <w:rPr>
              <w:rStyle w:val="13"/>
              <w:rFonts w:hint="eastAsia"/>
            </w:rPr>
            <w:t>第五条</w:t>
          </w:r>
          <w:r>
            <w:rPr>
              <w:rStyle w:val="13"/>
            </w:rPr>
            <w:t xml:space="preserve">  </w:t>
          </w:r>
          <w:r>
            <w:rPr>
              <w:rStyle w:val="13"/>
              <w:rFonts w:hint="eastAsia"/>
            </w:rPr>
            <w:t>法律适用和争议解决</w:t>
          </w:r>
          <w:r>
            <w:tab/>
          </w:r>
          <w:r>
            <w:fldChar w:fldCharType="begin"/>
          </w:r>
          <w:r>
            <w:instrText xml:space="preserve"> PAGEREF _Toc95897040 \h </w:instrText>
          </w:r>
          <w:r>
            <w:fldChar w:fldCharType="separate"/>
          </w:r>
          <w:r>
            <w:t>7</w:t>
          </w:r>
          <w:r>
            <w:fldChar w:fldCharType="end"/>
          </w:r>
          <w:r>
            <w:fldChar w:fldCharType="end"/>
          </w:r>
        </w:p>
        <w:p>
          <w:pPr>
            <w:pStyle w:val="6"/>
            <w:rPr>
              <w:rFonts w:asciiTheme="minorHAnsi" w:hAnsiTheme="minorHAnsi" w:eastAsiaTheme="minorEastAsia" w:cstheme="minorBidi"/>
              <w:szCs w:val="22"/>
            </w:rPr>
          </w:pPr>
          <w:r>
            <w:fldChar w:fldCharType="begin"/>
          </w:r>
          <w:r>
            <w:instrText xml:space="preserve"> HYPERLINK \l "_Toc95897041" </w:instrText>
          </w:r>
          <w:r>
            <w:fldChar w:fldCharType="separate"/>
          </w:r>
          <w:r>
            <w:rPr>
              <w:rStyle w:val="13"/>
              <w:rFonts w:hint="eastAsia"/>
            </w:rPr>
            <w:t>第六条</w:t>
          </w:r>
          <w:r>
            <w:rPr>
              <w:rStyle w:val="13"/>
            </w:rPr>
            <w:t xml:space="preserve">  </w:t>
          </w:r>
          <w:r>
            <w:rPr>
              <w:rStyle w:val="13"/>
              <w:rFonts w:hint="eastAsia"/>
            </w:rPr>
            <w:t>协议的签署和效力</w:t>
          </w:r>
          <w:r>
            <w:tab/>
          </w:r>
          <w:r>
            <w:fldChar w:fldCharType="begin"/>
          </w:r>
          <w:r>
            <w:instrText xml:space="preserve"> PAGEREF _Toc95897041 \h </w:instrText>
          </w:r>
          <w:r>
            <w:fldChar w:fldCharType="separate"/>
          </w:r>
          <w:r>
            <w:t>8</w:t>
          </w:r>
          <w:r>
            <w:fldChar w:fldCharType="end"/>
          </w:r>
          <w:r>
            <w:fldChar w:fldCharType="end"/>
          </w:r>
        </w:p>
        <w:p>
          <w:pPr>
            <w:pStyle w:val="6"/>
            <w:rPr>
              <w:rFonts w:asciiTheme="minorHAnsi" w:hAnsiTheme="minorHAnsi" w:eastAsiaTheme="minorEastAsia" w:cstheme="minorBidi"/>
              <w:szCs w:val="22"/>
            </w:rPr>
          </w:pPr>
          <w:r>
            <w:fldChar w:fldCharType="begin"/>
          </w:r>
          <w:r>
            <w:instrText xml:space="preserve"> HYPERLINK \l "_Toc95897042" </w:instrText>
          </w:r>
          <w:r>
            <w:fldChar w:fldCharType="separate"/>
          </w:r>
          <w:r>
            <w:rPr>
              <w:rStyle w:val="13"/>
              <w:rFonts w:hint="eastAsia"/>
            </w:rPr>
            <w:t>第七条</w:t>
          </w:r>
          <w:r>
            <w:rPr>
              <w:rStyle w:val="13"/>
            </w:rPr>
            <w:t xml:space="preserve">  </w:t>
          </w:r>
          <w:r>
            <w:rPr>
              <w:rStyle w:val="13"/>
              <w:rFonts w:hint="eastAsia"/>
            </w:rPr>
            <w:t>消费者权益保护</w:t>
          </w:r>
          <w:r>
            <w:tab/>
          </w:r>
          <w:r>
            <w:fldChar w:fldCharType="begin"/>
          </w:r>
          <w:r>
            <w:instrText xml:space="preserve"> PAGEREF _Toc95897042 \h </w:instrText>
          </w:r>
          <w:r>
            <w:fldChar w:fldCharType="separate"/>
          </w:r>
          <w:r>
            <w:t>9</w:t>
          </w:r>
          <w:r>
            <w:fldChar w:fldCharType="end"/>
          </w:r>
          <w:r>
            <w:fldChar w:fldCharType="end"/>
          </w:r>
        </w:p>
        <w:p>
          <w:pPr>
            <w:spacing w:line="360" w:lineRule="auto"/>
          </w:pPr>
          <w:r>
            <w:rPr>
              <w:b/>
              <w:bCs/>
              <w:lang w:val="zh-CN"/>
            </w:rPr>
            <w:fldChar w:fldCharType="end"/>
          </w:r>
        </w:p>
      </w:sdtContent>
    </w:sdt>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sectPr>
          <w:pgSz w:w="11906" w:h="16838"/>
          <w:pgMar w:top="1440" w:right="1800" w:bottom="1440" w:left="1800" w:header="851" w:footer="992" w:gutter="0"/>
          <w:pgNumType w:start="0"/>
          <w:cols w:space="720" w:num="1"/>
          <w:docGrid w:type="lines" w:linePitch="312" w:charSpace="0"/>
        </w:sect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3386"/>
      <w:bookmarkStart w:id="15" w:name="_Toc29629"/>
      <w:bookmarkStart w:id="16" w:name="_Toc141703880"/>
      <w:bookmarkStart w:id="17" w:name="_Toc123112229"/>
      <w:bookmarkStart w:id="18" w:name="_Toc139991730"/>
      <w:bookmarkStart w:id="19" w:name="_Toc32639"/>
      <w:bookmarkStart w:id="20" w:name="_Toc123112268"/>
      <w:bookmarkStart w:id="21" w:name="_Toc26897"/>
      <w:bookmarkStart w:id="22" w:name="_Toc30935"/>
      <w:bookmarkStart w:id="23" w:name="_Toc15517"/>
      <w:bookmarkStart w:id="24" w:name="_Toc4966"/>
      <w:bookmarkStart w:id="25" w:name="_Toc6306"/>
      <w:bookmarkStart w:id="26" w:name="_Toc123701389"/>
      <w:bookmarkStart w:id="27" w:name="_Toc4867"/>
      <w:bookmarkStart w:id="28" w:name="_Toc8727"/>
      <w:bookmarkStart w:id="29" w:name="_Toc95897036"/>
      <w:bookmarkStart w:id="30" w:name="_Toc88482730"/>
      <w:bookmarkStart w:id="31" w:name="_Toc74065738"/>
      <w:bookmarkStart w:id="32"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3" w:name="_Toc258829399"/>
      <w:bookmarkStart w:id="34" w:name="_Toc3224"/>
      <w:bookmarkStart w:id="35" w:name="_Toc6617"/>
      <w:bookmarkStart w:id="36" w:name="_Toc21301"/>
      <w:bookmarkStart w:id="37" w:name="_Toc15067"/>
      <w:bookmarkStart w:id="38" w:name="_Toc22864"/>
      <w:bookmarkStart w:id="39" w:name="_Toc819"/>
      <w:bookmarkStart w:id="40" w:name="_Toc13020"/>
      <w:bookmarkStart w:id="41" w:name="_Toc24860"/>
      <w:bookmarkStart w:id="42" w:name="_Toc2465"/>
      <w:bookmarkStart w:id="43" w:name="_Toc19592"/>
      <w:r>
        <w:rPr>
          <w:rFonts w:hint="eastAsia" w:ascii="Times New Roman"/>
          <w:color w:val="auto"/>
          <w:sz w:val="30"/>
        </w:rPr>
        <w:t>前言</w:t>
      </w:r>
      <w:bookmarkEnd w:id="29"/>
      <w:bookmarkEnd w:id="30"/>
    </w:p>
    <w:p>
      <w:pPr>
        <w:pStyle w:val="17"/>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、订立本投资协议书的目的是保护投资人合法权益，明确投资协议书当事人的权利义务，规范理财产品运作。</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、订立本投资协议书的依据是《中华人民共和国民法典》等法律法规、《关于规范金融机构资产管理业务的指导意见》（银发</w:t>
      </w:r>
      <w:r>
        <w:rPr>
          <w:rFonts w:asciiTheme="majorEastAsia" w:hAnsiTheme="majorEastAsia" w:eastAsiaTheme="majorEastAsia"/>
          <w:bCs/>
          <w:color w:val="auto"/>
          <w:sz w:val="18"/>
          <w:szCs w:val="18"/>
        </w:rPr>
        <w:t>[2018]106</w:t>
      </w:r>
      <w:r>
        <w:rPr>
          <w:rFonts w:hint="eastAsia" w:asciiTheme="majorEastAsia" w:hAnsiTheme="majorEastAsia" w:eastAsiaTheme="majorEastAsia"/>
          <w:bCs/>
          <w:color w:val="auto"/>
          <w:sz w:val="18"/>
          <w:szCs w:val="18"/>
        </w:rPr>
        <w:t>号）、《商业银行理财业务监督管理办法》（银保监会令</w:t>
      </w:r>
      <w:r>
        <w:rPr>
          <w:rFonts w:asciiTheme="majorEastAsia" w:hAnsiTheme="majorEastAsia" w:eastAsiaTheme="majorEastAsia"/>
          <w:bCs/>
          <w:color w:val="auto"/>
          <w:sz w:val="18"/>
          <w:szCs w:val="18"/>
        </w:rPr>
        <w:t xml:space="preserve"> </w:t>
      </w:r>
      <w:r>
        <w:rPr>
          <w:rFonts w:hint="eastAsia" w:asciiTheme="majorEastAsia" w:hAnsiTheme="majorEastAsia" w:eastAsiaTheme="majorEastAsia"/>
          <w:bCs/>
          <w:color w:val="auto"/>
          <w:sz w:val="18"/>
          <w:szCs w:val="18"/>
        </w:rPr>
        <w:t>2018年第</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号）、</w:t>
      </w:r>
      <w:bookmarkStart w:id="44" w:name="_Toc59965743"/>
      <w:r>
        <w:rPr>
          <w:rFonts w:hint="eastAsia" w:asciiTheme="majorEastAsia" w:hAnsiTheme="majorEastAsia" w:eastAsiaTheme="majorEastAsia"/>
          <w:bCs/>
          <w:color w:val="auto"/>
          <w:sz w:val="18"/>
          <w:szCs w:val="18"/>
        </w:rPr>
        <w:t>《商业银行理财子公司管理办法》</w:t>
      </w:r>
      <w:bookmarkEnd w:id="44"/>
      <w:r>
        <w:rPr>
          <w:rFonts w:hint="eastAsia" w:asciiTheme="majorEastAsia" w:hAnsiTheme="majorEastAsia" w:eastAsiaTheme="majorEastAsia"/>
          <w:bCs/>
          <w:color w:val="auto"/>
          <w:sz w:val="18"/>
          <w:szCs w:val="18"/>
        </w:rPr>
        <w:t>（银保监会令2018年第7号）、《理财公司理财产品销售管理暂行办法》（银保监会令2021年第4号）等监管规定及其他有关规定。</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、订立本投资协议书的原则是平等自愿、诚实信用、充分保护投资人合法权益。</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 xml:space="preserve"> </w:t>
      </w:r>
    </w:p>
    <w:p>
      <w:pPr>
        <w:pStyle w:val="17"/>
        <w:spacing w:line="360" w:lineRule="auto"/>
        <w:rPr>
          <w:rFonts w:asciiTheme="majorEastAsia" w:hAnsiTheme="majorEastAsia" w:eastAsiaTheme="majorEastAsia"/>
          <w:bCs/>
          <w:color w:val="auto"/>
          <w:sz w:val="18"/>
          <w:szCs w:val="18"/>
        </w:rPr>
      </w:pPr>
    </w:p>
    <w:bookmarkEnd w:id="31"/>
    <w:p>
      <w:pPr>
        <w:widowControl/>
        <w:spacing w:line="360" w:lineRule="auto"/>
        <w:jc w:val="left"/>
      </w:pPr>
      <w:r>
        <w:br w:type="page"/>
      </w:r>
    </w:p>
    <w:p>
      <w:pPr>
        <w:pStyle w:val="2"/>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5"/>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3.</w:t>
      </w:r>
      <w:r>
        <w:rPr>
          <w:rFonts w:ascii="宋体" w:hAnsi="宋体"/>
          <w:sz w:val="18"/>
          <w:szCs w:val="18"/>
        </w:rPr>
        <w:t>产品管理人应按照约定披露产品相关信息</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按照《产品说明书》约定向投资者进行理财产品份额的利益分配并将对应资金划入投资者约定账户后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2"/>
    <w:bookmarkEnd w:id="33"/>
    <w:bookmarkEnd w:id="34"/>
    <w:bookmarkEnd w:id="35"/>
    <w:bookmarkEnd w:id="36"/>
    <w:bookmarkEnd w:id="37"/>
    <w:bookmarkEnd w:id="38"/>
    <w:bookmarkEnd w:id="39"/>
    <w:bookmarkEnd w:id="40"/>
    <w:bookmarkEnd w:id="41"/>
    <w:bookmarkEnd w:id="42"/>
    <w:bookmarkEnd w:id="43"/>
    <w:bookmarkEnd w:id="47"/>
    <w:p>
      <w:pPr>
        <w:pStyle w:val="2"/>
        <w:spacing w:before="0" w:after="0"/>
        <w:jc w:val="center"/>
        <w:rPr>
          <w:rFonts w:ascii="Times New Roman"/>
          <w:sz w:val="30"/>
        </w:rPr>
      </w:pPr>
      <w:bookmarkStart w:id="48" w:name="_Toc88482732"/>
      <w:bookmarkStart w:id="49" w:name="_Toc95897038"/>
      <w:bookmarkStart w:id="50" w:name="_Toc24571"/>
      <w:bookmarkStart w:id="51" w:name="_Toc18631"/>
      <w:bookmarkStart w:id="52" w:name="_Toc20318"/>
      <w:bookmarkStart w:id="53" w:name="_Toc22708"/>
      <w:bookmarkStart w:id="54" w:name="_Toc13288"/>
      <w:bookmarkStart w:id="55" w:name="_Toc733"/>
      <w:bookmarkStart w:id="56" w:name="_Toc545"/>
      <w:bookmarkStart w:id="57" w:name="_Toc6683"/>
      <w:bookmarkStart w:id="58" w:name="_Toc20627"/>
      <w:bookmarkStart w:id="59" w:name="_Toc74065740"/>
      <w:bookmarkStart w:id="60" w:name="_Toc6149"/>
      <w:bookmarkStart w:id="61" w:name="_Toc233456272"/>
      <w:bookmarkStart w:id="62" w:name="_Toc258829400"/>
      <w:r>
        <w:rPr>
          <w:rFonts w:hint="eastAsia" w:ascii="Times New Roman"/>
          <w:color w:val="auto"/>
          <w:sz w:val="30"/>
        </w:rPr>
        <w:t>第三条</w:t>
      </w:r>
      <w:r>
        <w:rPr>
          <w:rFonts w:ascii="Times New Roman"/>
          <w:color w:val="auto"/>
          <w:sz w:val="30"/>
        </w:rPr>
        <w:t xml:space="preserve">  不可抗力</w:t>
      </w:r>
      <w:bookmarkEnd w:id="48"/>
      <w:bookmarkEnd w:id="49"/>
    </w:p>
    <w:bookmarkEnd w:id="50"/>
    <w:bookmarkEnd w:id="51"/>
    <w:bookmarkEnd w:id="52"/>
    <w:bookmarkEnd w:id="53"/>
    <w:bookmarkEnd w:id="54"/>
    <w:bookmarkEnd w:id="55"/>
    <w:bookmarkEnd w:id="56"/>
    <w:bookmarkEnd w:id="57"/>
    <w:bookmarkEnd w:id="58"/>
    <w:bookmarkEnd w:id="59"/>
    <w:bookmarkEnd w:id="60"/>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3" w:name="_Toc95897039"/>
      <w:bookmarkStart w:id="64" w:name="_Toc88482733"/>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3"/>
      <w:bookmarkEnd w:id="64"/>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95897040"/>
      <w:bookmarkStart w:id="66" w:name="_Toc88482734"/>
      <w:r>
        <w:rPr>
          <w:rFonts w:hint="eastAsia" w:ascii="Times New Roman"/>
          <w:color w:val="auto"/>
          <w:sz w:val="30"/>
        </w:rPr>
        <w:t>第五条</w:t>
      </w:r>
      <w:r>
        <w:rPr>
          <w:rFonts w:ascii="Times New Roman"/>
          <w:color w:val="auto"/>
          <w:sz w:val="30"/>
        </w:rPr>
        <w:t xml:space="preserve">  法律适用和争议解决</w:t>
      </w:r>
      <w:bookmarkEnd w:id="65"/>
      <w:bookmarkEnd w:id="66"/>
    </w:p>
    <w:p>
      <w:pPr>
        <w:adjustRightInd w:val="0"/>
        <w:spacing w:line="360" w:lineRule="auto"/>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w:t>
      </w:r>
      <w:r>
        <w:rPr>
          <w:color w:val="000000" w:themeColor="text1"/>
          <w:sz w:val="18"/>
          <w:szCs w:val="18"/>
          <w14:textFill>
            <w14:solidFill>
              <w14:schemeClr w14:val="tx1"/>
            </w14:solidFill>
          </w14:textFill>
        </w:rPr>
        <w:t>法律适用</w:t>
      </w:r>
    </w:p>
    <w:p>
      <w:pPr>
        <w:adjustRightInd w:val="0"/>
        <w:spacing w:line="360" w:lineRule="auto"/>
        <w:ind w:firstLine="360" w:firstLineChars="20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本协议的订立、生效、履行、解除、解释及争议的解决等均适用中华人民共和国法律（为本合同之目的，不包括香港特别行政区、澳门特别行政区和台湾地区的法律）。</w:t>
      </w:r>
    </w:p>
    <w:p>
      <w:pPr>
        <w:adjustRightInd w:val="0"/>
        <w:spacing w:line="360" w:lineRule="auto"/>
        <w:ind w:firstLine="360" w:firstLineChars="200"/>
        <w:rPr>
          <w:rFonts w:ascii="黑体" w:hAnsi="黑体" w:eastAsia="黑体"/>
          <w:sz w:val="18"/>
          <w:szCs w:val="18"/>
        </w:rPr>
      </w:pPr>
      <w:r>
        <w:rPr>
          <w:rFonts w:hint="eastAsia" w:ascii="黑体" w:hAnsi="黑体" w:eastAsia="黑体"/>
          <w:sz w:val="18"/>
          <w:szCs w:val="18"/>
        </w:rPr>
        <w:t>（二）★争议解决</w:t>
      </w:r>
    </w:p>
    <w:p>
      <w:pPr>
        <w:adjustRightInd w:val="0"/>
        <w:spacing w:line="360" w:lineRule="auto"/>
        <w:ind w:firstLine="360" w:firstLineChars="200"/>
        <w:rPr>
          <w:rFonts w:ascii="黑体" w:hAnsi="黑体" w:eastAsia="黑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双方在本协议书的执行过程中发生的任何争议，应通过友好协商解决。</w:t>
      </w:r>
      <w:r>
        <w:rPr>
          <w:rFonts w:hint="eastAsia" w:ascii="黑体" w:hAnsi="黑体" w:eastAsia="黑体"/>
          <w:color w:val="000000" w:themeColor="text1"/>
          <w:sz w:val="18"/>
          <w:szCs w:val="18"/>
          <w14:textFill>
            <w14:solidFill>
              <w14:schemeClr w14:val="tx1"/>
            </w14:solidFill>
          </w14:textFill>
        </w:rPr>
        <w:t>如友好协商不成的，双方均同意以如下第【壹】种方式解决：</w:t>
      </w:r>
    </w:p>
    <w:p>
      <w:pPr>
        <w:adjustRightInd w:val="0"/>
        <w:spacing w:line="360" w:lineRule="auto"/>
        <w:ind w:firstLine="360" w:firstLineChars="200"/>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（壹）向产品管理人住所地之人民法院提起诉讼。</w:t>
      </w:r>
    </w:p>
    <w:p>
      <w:pPr>
        <w:adjustRightInd w:val="0"/>
        <w:spacing w:line="360" w:lineRule="auto"/>
        <w:ind w:firstLine="360" w:firstLineChars="200"/>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7" w:name="_Toc88482735"/>
      <w:bookmarkStart w:id="68" w:name="_Toc95897041"/>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7"/>
      <w:bookmarkEnd w:id="68"/>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9" w:name="_Toc77953869"/>
      <w:bookmarkStart w:id="70" w:name="_Toc95897042"/>
      <w:bookmarkStart w:id="71" w:name="_Toc88482736"/>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9"/>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1"/>
    <w:bookmarkEnd w:id="62"/>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90"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2"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rFonts w:cs="Arial"/>
                <w:sz w:val="18"/>
                <w:szCs w:val="18"/>
              </w:rPr>
            </w:pPr>
            <w:r>
              <w:rPr>
                <w:rFonts w:hint="eastAsia" w:cs="Arial"/>
                <w:sz w:val="18"/>
                <w:szCs w:val="18"/>
              </w:rPr>
              <w:t>投资者法定代表人或授权代理人（签字或盖章）：</w:t>
            </w:r>
          </w:p>
          <w:p>
            <w:pPr>
              <w:spacing w:line="360" w:lineRule="auto"/>
              <w:rPr>
                <w:b/>
                <w:sz w:val="18"/>
                <w:szCs w:val="18"/>
              </w:rPr>
            </w:pP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r>
        <w:br w:type="page"/>
      </w:r>
    </w:p>
    <w:p>
      <w:pPr>
        <w:sectPr>
          <w:headerReference r:id="rId5" w:type="default"/>
          <w:pgSz w:w="11906" w:h="16838"/>
          <w:pgMar w:top="1440" w:right="1800" w:bottom="1440" w:left="1800" w:header="567" w:footer="992" w:gutter="0"/>
          <w:pgNumType w:start="1"/>
          <w:cols w:space="720" w:num="1"/>
          <w:docGrid w:type="lines" w:linePitch="312" w:charSpace="0"/>
        </w:sectPr>
      </w:pP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黑体" w:hAnsi="黑体" w:eastAsia="黑体"/>
          <w:sz w:val="44"/>
          <w:szCs w:val="44"/>
        </w:rPr>
      </w:pPr>
      <w:r>
        <w:rPr>
          <w:rFonts w:hint="eastAsia" w:ascii="黑体" w:hAnsi="黑体" w:eastAsia="黑体"/>
          <w:b/>
          <w:sz w:val="44"/>
          <w:szCs w:val="44"/>
        </w:rPr>
        <w:t>兴银理财天天万利宝稳利净值型理财产品</w:t>
      </w:r>
      <w:r>
        <w:rPr>
          <w:rStyle w:val="12"/>
          <w:rFonts w:hint="eastAsia" w:ascii="黑体" w:hAnsi="黑体" w:eastAsia="黑体"/>
          <w:sz w:val="44"/>
          <w:szCs w:val="44"/>
        </w:rPr>
        <w:t>产品说明书</w:t>
      </w:r>
    </w:p>
    <w:p>
      <w:pPr>
        <w:adjustRightInd w:val="0"/>
        <w:spacing w:line="360" w:lineRule="auto"/>
        <w:jc w:val="center"/>
        <w:rPr>
          <w:rStyle w:val="12"/>
          <w:rFonts w:ascii="宋体" w:hAnsi="宋体"/>
          <w:sz w:val="32"/>
          <w:szCs w:val="32"/>
        </w:rPr>
      </w:pPr>
    </w:p>
    <w:p>
      <w:pPr>
        <w:adjustRightInd w:val="0"/>
        <w:spacing w:line="360" w:lineRule="auto"/>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理财产品管理人：兴银理财有限责任公司</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日期</w:t>
      </w:r>
      <w:r>
        <w:rPr>
          <w:rStyle w:val="12"/>
          <w:rFonts w:ascii="宋体" w:hAnsi="宋体" w:cs="Times New Roman"/>
          <w:sz w:val="32"/>
          <w:szCs w:val="32"/>
        </w:rPr>
        <w:t>：</w:t>
      </w:r>
      <w:r>
        <w:rPr>
          <w:rStyle w:val="12"/>
          <w:rFonts w:hint="eastAsia" w:ascii="宋体" w:hAnsi="宋体" w:cs="Times New Roman"/>
          <w:sz w:val="32"/>
          <w:szCs w:val="32"/>
        </w:rPr>
        <w:t>【2022】年【</w:t>
      </w:r>
      <w:r>
        <w:rPr>
          <w:rStyle w:val="12"/>
          <w:rFonts w:ascii="宋体" w:hAnsi="宋体" w:cs="Times New Roman"/>
          <w:sz w:val="32"/>
          <w:szCs w:val="32"/>
        </w:rPr>
        <w:t>10</w:t>
      </w:r>
      <w:r>
        <w:rPr>
          <w:rStyle w:val="12"/>
          <w:rFonts w:hint="eastAsia" w:ascii="宋体" w:hAnsi="宋体" w:cs="Times New Roman"/>
          <w:sz w:val="32"/>
          <w:szCs w:val="32"/>
        </w:rPr>
        <w:t>】月</w:t>
      </w:r>
    </w:p>
    <w:p>
      <w:pPr>
        <w:adjustRightInd w:val="0"/>
        <w:spacing w:line="360" w:lineRule="auto"/>
        <w:jc w:val="center"/>
        <w:rPr>
          <w:rStyle w:val="12"/>
          <w:rFonts w:ascii="宋体" w:hAnsi="宋体"/>
          <w:sz w:val="32"/>
          <w:szCs w:val="32"/>
        </w:rPr>
      </w:pPr>
    </w:p>
    <w:p>
      <w:pPr>
        <w:pStyle w:val="17"/>
        <w:spacing w:line="360" w:lineRule="auto"/>
        <w:rPr>
          <w:rFonts w:hAnsi="宋体"/>
          <w:sz w:val="28"/>
          <w:szCs w:val="28"/>
        </w:rPr>
        <w:sectPr>
          <w:footerReference r:id="rId8" w:type="first"/>
          <w:headerReference r:id="rId6" w:type="default"/>
          <w:footerReference r:id="rId7"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8"/>
            <w:spacing w:line="360" w:lineRule="auto"/>
            <w:jc w:val="center"/>
          </w:pPr>
          <w:bookmarkStart w:id="73" w:name="_Toc78276587"/>
          <w:r>
            <w:rPr>
              <w:lang w:val="zh-CN"/>
            </w:rPr>
            <w:t>目录</w:t>
          </w:r>
        </w:p>
        <w:p>
          <w:pPr>
            <w:pStyle w:val="6"/>
            <w:tabs>
              <w:tab w:val="right" w:leader="dot" w:pos="8306"/>
              <w:tab w:val="clear" w:pos="829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6"/>
            <w:tabs>
              <w:tab w:val="right" w:leader="dot" w:pos="8306"/>
              <w:tab w:val="clear" w:pos="829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6"/>
            <w:tabs>
              <w:tab w:val="right" w:leader="dot" w:pos="8306"/>
              <w:tab w:val="clear" w:pos="829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6"/>
            <w:tabs>
              <w:tab w:val="right" w:leader="dot" w:pos="8306"/>
              <w:tab w:val="clear" w:pos="829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6"/>
            <w:tabs>
              <w:tab w:val="right" w:leader="dot" w:pos="8306"/>
              <w:tab w:val="clear" w:pos="829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6"/>
            <w:tabs>
              <w:tab w:val="right" w:leader="dot" w:pos="8306"/>
              <w:tab w:val="clear" w:pos="829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6"/>
            <w:tabs>
              <w:tab w:val="right" w:leader="dot" w:pos="8306"/>
              <w:tab w:val="clear" w:pos="829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6"/>
            <w:tabs>
              <w:tab w:val="right" w:leader="dot" w:pos="8306"/>
              <w:tab w:val="clear" w:pos="829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6"/>
            <w:tabs>
              <w:tab w:val="right" w:leader="dot" w:pos="8306"/>
              <w:tab w:val="clear" w:pos="829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6"/>
            <w:tabs>
              <w:tab w:val="right" w:leader="dot" w:pos="8306"/>
              <w:tab w:val="clear" w:pos="829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6"/>
            <w:tabs>
              <w:tab w:val="right" w:leader="dot" w:pos="8306"/>
              <w:tab w:val="clear" w:pos="829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6"/>
            <w:tabs>
              <w:tab w:val="right" w:leader="dot" w:pos="8306"/>
              <w:tab w:val="clear" w:pos="829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9"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74" w:name="_Toc9482"/>
      <w:bookmarkStart w:id="75"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73"/>
      <w:bookmarkEnd w:id="74"/>
      <w:bookmarkEnd w:id="75"/>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7"/>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7"/>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17"/>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17"/>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17"/>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7"/>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17"/>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7"/>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7"/>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7"/>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7"/>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7"/>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7"/>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76" w:name="_Toc79154665"/>
      <w:bookmarkStart w:id="77" w:name="_Toc92377131"/>
      <w:bookmarkStart w:id="78" w:name="_Toc23998"/>
      <w:r>
        <w:rPr>
          <w:rFonts w:hint="eastAsia" w:hAnsi="宋体"/>
          <w:sz w:val="28"/>
          <w:szCs w:val="28"/>
        </w:rPr>
        <w:t>第二条  理财产品基本情况</w:t>
      </w:r>
      <w:bookmarkEnd w:id="76"/>
      <w:bookmarkEnd w:id="77"/>
      <w:bookmarkEnd w:id="78"/>
      <w:r>
        <w:rPr>
          <w:rFonts w:hint="eastAsia" w:hAnsi="宋体"/>
          <w:sz w:val="28"/>
          <w:szCs w:val="28"/>
        </w:rPr>
        <w:t xml:space="preserve"> </w:t>
      </w:r>
    </w:p>
    <w:tbl>
      <w:tblPr>
        <w:tblStyle w:val="9"/>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【兴业银行天天万利宝稳利1号净值型理财产品</w:t>
            </w:r>
            <w:r>
              <w:rPr>
                <w:rFonts w:ascii="宋体" w:hAnsi="宋体"/>
                <w:bCs/>
                <w:sz w:val="18"/>
                <w:szCs w:val="18"/>
              </w:rPr>
              <w:t>H</w:t>
            </w:r>
            <w:r>
              <w:rPr>
                <w:rFonts w:hint="eastAsia" w:ascii="宋体" w:hAnsi="宋体"/>
                <w:bCs/>
                <w:sz w:val="18"/>
                <w:szCs w:val="18"/>
              </w:rPr>
              <w:t>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asciiTheme="minorEastAsia" w:hAnsiTheme="minorEastAsia" w:eastAsiaTheme="minorEastAsia" w:cstheme="minorEastAsia"/>
                <w:kern w:val="0"/>
                <w:sz w:val="22"/>
              </w:rPr>
            </w:pPr>
            <w:r>
              <w:rPr>
                <w:rFonts w:hint="eastAsia" w:ascii="宋体" w:hAnsi="宋体"/>
                <w:bCs/>
                <w:sz w:val="18"/>
                <w:szCs w:val="18"/>
              </w:rPr>
              <w:t>【稳利恒盈H 12个月】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Theme="minorEastAsia" w:hAnsiTheme="minorEastAsia" w:eastAsiaTheme="minorEastAsia" w:cstheme="minorEastAsia"/>
                <w:b/>
                <w:sz w:val="18"/>
                <w:szCs w:val="18"/>
              </w:rPr>
            </w:pPr>
            <w:r>
              <w:rPr>
                <w:rFonts w:hint="eastAsia" w:ascii="宋体" w:hAnsi="宋体"/>
                <w:bCs/>
                <w:sz w:val="18"/>
                <w:szCs w:val="18"/>
              </w:rPr>
              <w:t>【</w:t>
            </w:r>
            <w:r>
              <w:rPr>
                <w:rFonts w:ascii="宋体" w:hAnsi="宋体"/>
                <w:bCs/>
                <w:sz w:val="18"/>
                <w:szCs w:val="18"/>
              </w:rPr>
              <w:t>Z7002020000012</w:t>
            </w:r>
            <w:r>
              <w:rPr>
                <w:rFonts w:hint="eastAsia" w:ascii="宋体" w:hAnsi="宋体"/>
                <w:bCs/>
                <w:sz w:val="18"/>
                <w:szCs w:val="18"/>
              </w:rPr>
              <w:t>】</w:t>
            </w:r>
            <w:r>
              <w:rPr>
                <w:rFonts w:hint="eastAsia" w:asciiTheme="majorEastAsia" w:hAnsiTheme="majorEastAsia" w:eastAsiaTheme="majorEastAsia"/>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Theme="majorEastAsia" w:hAnsiTheme="majorEastAsia" w:eastAsiaTheme="majorEastAsia"/>
                <w:bCs/>
                <w:sz w:val="18"/>
                <w:szCs w:val="18"/>
              </w:rPr>
              <w:t>www.chinawealth.com.cn</w:t>
            </w:r>
            <w:r>
              <w:rPr>
                <w:rFonts w:asciiTheme="majorEastAsia" w:hAnsiTheme="majorEastAsia" w:eastAsiaTheme="majorEastAsia"/>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Theme="minorEastAsia" w:hAnsiTheme="minorEastAsia" w:eastAsiaTheme="minorEastAsia" w:cstheme="minorEastAsia"/>
                <w:bCs/>
                <w:sz w:val="18"/>
                <w:szCs w:val="18"/>
              </w:rPr>
            </w:pPr>
            <w:r>
              <w:rPr>
                <w:rFonts w:hint="eastAsia" w:ascii="宋体" w:hAnsi="宋体"/>
                <w:bCs/>
                <w:sz w:val="18"/>
                <w:szCs w:val="18"/>
              </w:rPr>
              <w:t>【</w:t>
            </w:r>
            <w:r>
              <w:rPr>
                <w:rFonts w:ascii="宋体" w:hAnsi="宋体"/>
                <w:bCs/>
                <w:sz w:val="18"/>
                <w:szCs w:val="18"/>
              </w:rPr>
              <w:t>9K218018</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asciiTheme="minorEastAsia" w:hAnsiTheme="minorEastAsia" w:eastAsiaTheme="minorEastAsia" w:cstheme="minorEastAsia"/>
                <w:sz w:val="18"/>
                <w:szCs w:val="18"/>
              </w:rPr>
            </w:pP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9K218018</w:t>
            </w:r>
            <w:r>
              <w:rPr>
                <w:rFonts w:hint="eastAsia"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规模为【25】亿元，最小成立规模为【/】亿元。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宋体" w:hAnsi="宋体"/>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】年【10</w:t>
            </w:r>
            <w:r>
              <w:rPr>
                <w:rFonts w:hint="eastAsia" w:cs="Times New Roman" w:asciiTheme="minorEastAsia" w:hAnsiTheme="minorEastAsia"/>
                <w:sz w:val="18"/>
                <w:szCs w:val="18"/>
              </w:rPr>
              <w:t>】月【</w:t>
            </w:r>
            <w:r>
              <w:rPr>
                <w:rFonts w:cs="Times New Roman" w:asciiTheme="minorEastAsia" w:hAnsiTheme="minorEastAsia"/>
                <w:sz w:val="18"/>
                <w:szCs w:val="18"/>
              </w:rPr>
              <w:t>31</w:t>
            </w:r>
            <w:r>
              <w:rPr>
                <w:rFonts w:hint="eastAsia" w:cs="Times New Roman" w:asciiTheme="minorEastAsia" w:hAnsiTheme="minorEastAsia"/>
                <w:sz w:val="18"/>
                <w:szCs w:val="18"/>
              </w:rPr>
              <w:t>】日</w:t>
            </w:r>
            <w:r>
              <w:rPr>
                <w:rFonts w:cs="Times New Roman" w:asciiTheme="minorEastAsia" w:hAnsiTheme="minorEastAsia"/>
                <w:sz w:val="18"/>
                <w:szCs w:val="18"/>
              </w:rPr>
              <w:t>11</w:t>
            </w:r>
            <w:r>
              <w:rPr>
                <w:rFonts w:asciiTheme="minorEastAsia" w:hAnsiTheme="minorEastAsia"/>
                <w:sz w:val="18"/>
                <w:szCs w:val="18"/>
              </w:rPr>
              <w:t>:00</w:t>
            </w:r>
            <w:r>
              <w:rPr>
                <w:rFonts w:hint="eastAsia" w:cs="仿宋_GB2312" w:asciiTheme="minorEastAsia" w:hAnsiTheme="minorEastAsia"/>
                <w:sz w:val="18"/>
                <w:szCs w:val="18"/>
              </w:rPr>
              <w:t>至</w:t>
            </w:r>
            <w:r>
              <w:rPr>
                <w:rFonts w:hint="eastAsia" w:cs="Times New Roman" w:asciiTheme="minorEastAsia" w:hAnsiTheme="minorEastAsia"/>
                <w:sz w:val="18"/>
                <w:szCs w:val="18"/>
              </w:rPr>
              <w:t>【2018</w:t>
            </w:r>
            <w:r>
              <w:rPr>
                <w:rFonts w:cs="Times New Roman" w:asciiTheme="minorEastAsia" w:hAnsiTheme="minorEastAsia"/>
                <w:sz w:val="18"/>
                <w:szCs w:val="18"/>
              </w:rPr>
              <w:t>】年【</w:t>
            </w:r>
            <w:r>
              <w:rPr>
                <w:rFonts w:hint="eastAsia" w:cs="Times New Roman" w:asciiTheme="minorEastAsia" w:hAnsiTheme="minorEastAsia"/>
                <w:sz w:val="18"/>
                <w:szCs w:val="18"/>
              </w:rPr>
              <w:t>1</w:t>
            </w:r>
            <w:r>
              <w:rPr>
                <w:rFonts w:cs="Times New Roman" w:asciiTheme="minorEastAsia" w:hAnsiTheme="minorEastAsia"/>
                <w:sz w:val="18"/>
                <w:szCs w:val="18"/>
              </w:rPr>
              <w:t>1</w:t>
            </w:r>
            <w:r>
              <w:rPr>
                <w:rFonts w:hint="eastAsia" w:cs="Times New Roman" w:asciiTheme="minorEastAsia" w:hAnsiTheme="minorEastAsia"/>
                <w:sz w:val="18"/>
                <w:szCs w:val="18"/>
              </w:rPr>
              <w:t>】月【</w:t>
            </w:r>
            <w:r>
              <w:rPr>
                <w:rFonts w:cs="Times New Roman" w:asciiTheme="minorEastAsia" w:hAnsiTheme="minorEastAsia"/>
                <w:sz w:val="18"/>
                <w:szCs w:val="18"/>
              </w:rPr>
              <w:t>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15:45</w:t>
            </w:r>
            <w:r>
              <w:rPr>
                <w:rFonts w:hint="eastAsia" w:ascii="宋体" w:hAnsi="宋体"/>
                <w:bCs/>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【2018</w:t>
            </w:r>
            <w:r>
              <w:rPr>
                <w:rFonts w:cs="Times New Roman" w:asciiTheme="minorEastAsia" w:hAnsiTheme="minorEastAsia"/>
                <w:sz w:val="18"/>
                <w:szCs w:val="18"/>
              </w:rPr>
              <w:t>】年【11</w:t>
            </w:r>
            <w:r>
              <w:rPr>
                <w:rFonts w:hint="eastAsia" w:cs="Times New Roman" w:asciiTheme="minorEastAsia" w:hAnsiTheme="minorEastAsia"/>
                <w:sz w:val="18"/>
                <w:szCs w:val="18"/>
              </w:rPr>
              <w:t>】月【</w:t>
            </w:r>
            <w:r>
              <w:rPr>
                <w:rFonts w:cs="Times New Roman" w:asciiTheme="minorEastAsia" w:hAnsiTheme="minorEastAsia"/>
                <w:sz w:val="18"/>
                <w:szCs w:val="18"/>
              </w:rPr>
              <w:t>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（2）每一个投资周期：包含</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该</w:t>
            </w:r>
            <w:r>
              <w:rPr>
                <w:rFonts w:hint="eastAsia" w:asciiTheme="majorEastAsia" w:hAnsiTheme="majorEastAsia" w:eastAsiaTheme="majorEastAsia"/>
                <w:bCs/>
                <w:color w:val="000000" w:themeColor="text1"/>
                <w:sz w:val="18"/>
                <w:szCs w:val="18"/>
                <w14:textFill>
                  <w14:solidFill>
                    <w14:schemeClr w14:val="tx1"/>
                  </w14:solidFill>
                </w14:textFill>
              </w:rPr>
              <w:t>投资者对应产品份额的认购确认日</w:t>
            </w:r>
            <w:r>
              <w:rPr>
                <w:rFonts w:asciiTheme="majorEastAsia" w:hAnsiTheme="majorEastAsia" w:eastAsiaTheme="majorEastAsia"/>
                <w:bCs/>
                <w:color w:val="000000" w:themeColor="text1"/>
                <w:sz w:val="18"/>
                <w:szCs w:val="18"/>
                <w14:textFill>
                  <w14:solidFill>
                    <w14:schemeClr w14:val="tx1"/>
                  </w14:solidFill>
                </w14:textFill>
              </w:rPr>
              <w:t>/申购确认日</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至该投资者对应产品份额的赎回确认日的期间。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正常情况下，本产品的一个投资周期为【12个月】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投资周期存在长于或短于【12个月】的可能，投资者具体投资周期以本产品说明书“申购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□预约申购期：【2022】年【10】月【26】日11:00至【2022】年【11】月【01】日15:</w:t>
            </w:r>
            <w:r>
              <w:rPr>
                <w:rFonts w:hint="eastAsia" w:asciiTheme="majorEastAsia" w:hAnsiTheme="majorEastAsia" w:eastAsiaTheme="majorEastAsia"/>
                <w:bCs/>
                <w:color w:val="000000" w:themeColor="text1"/>
                <w:sz w:val="18"/>
                <w:szCs w:val="18"/>
                <w:lang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；投资周期【364】天；</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□预约申购期：【2022】年【11】月【02】日11:00至【2022】年【11】月【08】日15:</w:t>
            </w:r>
            <w:r>
              <w:rPr>
                <w:rFonts w:hint="eastAsia" w:asciiTheme="majorEastAsia" w:hAnsiTheme="majorEastAsia" w:eastAsiaTheme="majorEastAsia"/>
                <w:bCs/>
                <w:color w:val="000000" w:themeColor="text1"/>
                <w:sz w:val="18"/>
                <w:szCs w:val="18"/>
                <w:lang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；投资周期【357】天；</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□预约申购期：【2022】年【11】月【09】日11:00至【2022】年【11】月【15】日15:</w:t>
            </w:r>
            <w:r>
              <w:rPr>
                <w:rFonts w:hint="eastAsia" w:asciiTheme="majorEastAsia" w:hAnsiTheme="majorEastAsia" w:eastAsiaTheme="majorEastAsia"/>
                <w:bCs/>
                <w:color w:val="000000" w:themeColor="text1"/>
                <w:sz w:val="18"/>
                <w:szCs w:val="18"/>
                <w:lang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；投资周期【350】天；</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□预约申购期：【2022】年【11】月【16】日11:00至【2022】年【11】月【22】日15:</w:t>
            </w:r>
            <w:r>
              <w:rPr>
                <w:rFonts w:hint="eastAsia" w:asciiTheme="majorEastAsia" w:hAnsiTheme="majorEastAsia" w:eastAsiaTheme="majorEastAsia"/>
                <w:bCs/>
                <w:color w:val="000000" w:themeColor="text1"/>
                <w:sz w:val="18"/>
                <w:szCs w:val="18"/>
                <w:lang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；投资周期【343】天；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17"/>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17"/>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17"/>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赎回具体安排如下：</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预约赎回期：【2023】年【10】月【18】日00:00至【2023】年【10】月【31】日15:</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8" w:hRule="atLeast"/>
                <w:jc w:val="center"/>
              </w:trPr>
              <w:tc>
                <w:tcPr>
                  <w:tcW w:w="1559"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17"/>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17"/>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17"/>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注：</w:t>
            </w:r>
            <w:r>
              <w:rPr>
                <w:rFonts w:hint="eastAsia" w:asciiTheme="majorEastAsia" w:hAnsiTheme="majorEastAsia"/>
                <w:color w:val="000000" w:themeColor="text1"/>
                <w:sz w:val="18"/>
                <w14:textFill>
                  <w14:solidFill>
                    <w14:schemeClr w14:val="tx1"/>
                  </w14:solidFill>
                </w14:textFill>
              </w:rPr>
              <w:t>赎回</w:t>
            </w:r>
            <w:r>
              <w:rPr>
                <w:rFonts w:hint="eastAsia" w:asciiTheme="majorEastAsia" w:hAnsiTheme="majorEastAsia" w:eastAsiaTheme="majorEastAsia"/>
                <w:bCs/>
                <w:color w:val="000000" w:themeColor="text1"/>
                <w:sz w:val="18"/>
                <w:szCs w:val="18"/>
                <w14:textFill>
                  <w14:solidFill>
                    <w14:schemeClr w14:val="tx1"/>
                  </w14:solidFill>
                </w14:textFill>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7"/>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17"/>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7"/>
              <w:spacing w:line="360" w:lineRule="auto"/>
              <w:rPr>
                <w:rFonts w:ascii="黑体" w:hAnsi="黑体" w:eastAsia="黑体"/>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本产品单一投资者持有份额不得超过产品总份额50%。</w:t>
            </w:r>
          </w:p>
          <w:p>
            <w:pPr>
              <w:pStyle w:val="17"/>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17"/>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17"/>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根据本产品各类资产的拟投资比例、资产信用利差、久期敞口以及流动性溢价，结合当前宏观环境和各类资产价格所处的位置，参考历史经验和回测结果，设定业绩比较基准。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p>
          <w:p>
            <w:pPr>
              <w:spacing w:line="360" w:lineRule="auto"/>
              <w:jc w:val="left"/>
              <w:rPr>
                <w:rFonts w:asciiTheme="majorEastAsia" w:hAnsiTheme="majorEastAsia"/>
                <w:b/>
                <w:sz w:val="18"/>
              </w:rPr>
            </w:pP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w:t>
            </w:r>
          </w:p>
          <w:p>
            <w:pPr>
              <w:spacing w:line="360" w:lineRule="auto"/>
              <w:jc w:val="left"/>
              <w:rPr>
                <w:rFonts w:asciiTheme="majorEastAsia" w:hAnsiTheme="majorEastAsia" w:eastAsiaTheme="majorEastAsia"/>
                <w:b/>
                <w:bCs/>
                <w:sz w:val="18"/>
                <w:szCs w:val="18"/>
              </w:rPr>
            </w:pPr>
            <w:r>
              <w:rPr>
                <w:rFonts w:hint="eastAsia" w:ascii="宋体" w:hAnsi="宋体"/>
                <w:b/>
                <w:bCs/>
                <w:sz w:val="18"/>
                <w:szCs w:val="18"/>
              </w:rPr>
              <w:t>年化【3.</w:t>
            </w:r>
            <w:r>
              <w:rPr>
                <w:rFonts w:ascii="宋体" w:hAnsi="宋体"/>
                <w:b/>
                <w:bCs/>
                <w:sz w:val="18"/>
                <w:szCs w:val="18"/>
              </w:rPr>
              <w:t>05</w:t>
            </w:r>
            <w:r>
              <w:rPr>
                <w:rFonts w:hint="eastAsia" w:ascii="宋体" w:hAnsi="宋体"/>
                <w:b/>
                <w:bCs/>
                <w:sz w:val="18"/>
                <w:szCs w:val="18"/>
              </w:rPr>
              <w:t>-4.20%</w:t>
            </w:r>
            <w:r>
              <w:rPr>
                <w:rFonts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w:t>
            </w:r>
            <w:r>
              <w:rPr>
                <w:rFonts w:hint="eastAsia" w:ascii="宋体" w:hAnsi="宋体"/>
                <w:b/>
                <w:bCs/>
                <w:color w:val="000000" w:themeColor="text1"/>
                <w:sz w:val="18"/>
                <w:szCs w:val="18"/>
                <w14:textFill>
                  <w14:solidFill>
                    <w14:schemeClr w14:val="tx1"/>
                  </w14:solidFill>
                </w14:textFill>
              </w:rPr>
              <w:t>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2.申购费：</w:t>
            </w: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3.</w:t>
            </w:r>
            <w:r>
              <w:rPr>
                <w:rFonts w:hint="eastAsia" w:ascii="宋体" w:hAnsi="宋体"/>
                <w:b/>
                <w:bCs/>
                <w:color w:val="000000" w:themeColor="text1"/>
                <w:sz w:val="18"/>
                <w:szCs w:val="18"/>
                <w14:textFill>
                  <w14:solidFill>
                    <w14:schemeClr w14:val="tx1"/>
                  </w14:solidFill>
                </w14:textFill>
              </w:rPr>
              <w:t>赎回费：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eastAsiaTheme="majorEastAsia"/>
                <w:b/>
                <w:bCs/>
                <w:color w:val="000000" w:themeColor="text1"/>
                <w:sz w:val="18"/>
                <w:szCs w:val="18"/>
                <w14:textFill>
                  <w14:solidFill>
                    <w14:schemeClr w14:val="tx1"/>
                  </w14:solidFill>
                </w14:textFill>
              </w:rPr>
              <w:t>4.销售服</w:t>
            </w:r>
            <w:r>
              <w:rPr>
                <w:rFonts w:hint="eastAsia" w:ascii="宋体" w:hAnsi="宋体"/>
                <w:b/>
                <w:bCs/>
                <w:color w:val="000000" w:themeColor="text1"/>
                <w:sz w:val="18"/>
                <w:szCs w:val="18"/>
                <w14:textFill>
                  <w14:solidFill>
                    <w14:schemeClr w14:val="tx1"/>
                  </w14:solidFill>
                </w14:textFill>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p>
          <w:p>
            <w:pPr>
              <w:spacing w:line="360" w:lineRule="auto"/>
              <w:rPr>
                <w:rFonts w:ascii="宋体" w:hAnsi="宋体"/>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5.</w:t>
            </w:r>
            <w:r>
              <w:rPr>
                <w:rFonts w:hint="eastAsia" w:ascii="宋体" w:hAnsi="宋体"/>
                <w:b/>
                <w:bCs/>
                <w:color w:val="000000" w:themeColor="text1"/>
                <w:sz w:val="18"/>
                <w:szCs w:val="18"/>
                <w14:textFill>
                  <w14:solidFill>
                    <w14:schemeClr w14:val="tx1"/>
                  </w14:solidFill>
                </w14:textFill>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【0.20</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6.</w:t>
            </w:r>
            <w:r>
              <w:rPr>
                <w:rFonts w:hint="eastAsia" w:ascii="宋体" w:hAnsi="宋体"/>
                <w:b/>
                <w:bCs/>
                <w:color w:val="000000" w:themeColor="text1"/>
                <w:sz w:val="18"/>
                <w:szCs w:val="18"/>
                <w14:textFill>
                  <w14:solidFill>
                    <w14:schemeClr w14:val="tx1"/>
                  </w14:solidFill>
                </w14:textFill>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7</w:t>
            </w:r>
            <w:r>
              <w:rPr>
                <w:rFonts w:ascii="宋体" w:hAnsi="宋体"/>
                <w:b/>
                <w:bCs/>
                <w:color w:val="000000" w:themeColor="text1"/>
                <w:sz w:val="18"/>
                <w:szCs w:val="18"/>
                <w14:textFill>
                  <w14:solidFill>
                    <w14:schemeClr w14:val="tx1"/>
                  </w14:solidFill>
                </w14:textFill>
              </w:rPr>
              <w:t>.</w:t>
            </w:r>
            <w:r>
              <w:rPr>
                <w:rFonts w:hint="eastAsia" w:ascii="宋体" w:hAnsi="宋体"/>
                <w:b/>
                <w:bCs/>
                <w:color w:val="000000" w:themeColor="text1"/>
                <w:sz w:val="18"/>
                <w:szCs w:val="18"/>
                <w14:textFill>
                  <w14:solidFill>
                    <w14:schemeClr w14:val="tx1"/>
                  </w14:solidFill>
                </w14:textFill>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7"/>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9" w:name="_Toc92377132"/>
      <w:bookmarkStart w:id="80" w:name="_Toc15862"/>
      <w:bookmarkStart w:id="81" w:name="_Toc79154666"/>
      <w:r>
        <w:rPr>
          <w:rFonts w:ascii="Times New Roman"/>
          <w:sz w:val="30"/>
        </w:rPr>
        <w:t>第</w:t>
      </w:r>
      <w:r>
        <w:rPr>
          <w:rFonts w:hint="eastAsia" w:ascii="Times New Roman"/>
          <w:sz w:val="30"/>
        </w:rPr>
        <w:t>三条</w:t>
      </w:r>
      <w:r>
        <w:rPr>
          <w:rFonts w:ascii="Times New Roman"/>
          <w:sz w:val="30"/>
        </w:rPr>
        <w:t xml:space="preserve">  </w:t>
      </w:r>
      <w:bookmarkStart w:id="82" w:name="_Toc79392573"/>
      <w:r>
        <w:rPr>
          <w:rFonts w:hint="eastAsia" w:ascii="Times New Roman"/>
          <w:sz w:val="30"/>
        </w:rPr>
        <w:t>理财产品的认购</w:t>
      </w:r>
      <w:bookmarkEnd w:id="79"/>
      <w:bookmarkEnd w:id="80"/>
      <w:bookmarkEnd w:id="81"/>
    </w:p>
    <w:p>
      <w:pPr>
        <w:spacing w:line="360" w:lineRule="auto"/>
        <w:ind w:firstLine="361" w:firstLineChars="200"/>
        <w:rPr>
          <w:rFonts w:asciiTheme="minorEastAsia" w:hAnsiTheme="minorEastAsia"/>
          <w:b/>
          <w:bCs/>
          <w:sz w:val="18"/>
          <w:szCs w:val="18"/>
        </w:rPr>
      </w:pPr>
      <w:bookmarkStart w:id="83" w:name="_Hlt88031774"/>
      <w:bookmarkEnd w:id="83"/>
      <w:bookmarkStart w:id="8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10"/>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7"/>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7"/>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85" w:name="_Toc79154667"/>
      <w:bookmarkStart w:id="86" w:name="_Toc92377133"/>
      <w:bookmarkStart w:id="87" w:name="_Toc28040"/>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85"/>
      <w:bookmarkEnd w:id="86"/>
      <w:bookmarkEnd w:id="87"/>
    </w:p>
    <w:bookmarkEnd w:id="84"/>
    <w:p>
      <w:pPr>
        <w:spacing w:line="360" w:lineRule="auto"/>
        <w:ind w:firstLine="420" w:firstLineChars="200"/>
      </w:pP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7"/>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7"/>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7"/>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7"/>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7"/>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17"/>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82"/>
    <w:p>
      <w:pPr>
        <w:pStyle w:val="2"/>
        <w:spacing w:before="0" w:after="0" w:line="360" w:lineRule="auto"/>
        <w:jc w:val="center"/>
        <w:rPr>
          <w:rFonts w:ascii="Times New Roman"/>
          <w:sz w:val="30"/>
        </w:rPr>
      </w:pPr>
      <w:bookmarkStart w:id="88" w:name="_Toc92377134"/>
      <w:bookmarkStart w:id="89" w:name="_Toc90742390"/>
      <w:bookmarkStart w:id="90" w:name="_Toc79154668"/>
      <w:bookmarkStart w:id="91" w:name="_Toc29784"/>
      <w:bookmarkStart w:id="92" w:name="_Toc22074"/>
      <w:bookmarkStart w:id="93" w:name="_Toc7151"/>
      <w:bookmarkStart w:id="94" w:name="_Toc16265"/>
      <w:bookmarkStart w:id="95" w:name="_Toc24722"/>
      <w:bookmarkStart w:id="96" w:name="_Toc90742688"/>
      <w:bookmarkStart w:id="97" w:name="_Toc29948"/>
      <w:bookmarkStart w:id="98" w:name="_Toc3266"/>
      <w:bookmarkStart w:id="99" w:name="_Toc27189"/>
      <w:bookmarkStart w:id="100" w:name="_Toc90742321"/>
      <w:bookmarkStart w:id="101" w:name="_Toc27226"/>
      <w:bookmarkStart w:id="102" w:name="_Toc6714"/>
      <w:bookmarkStart w:id="103" w:name="_Toc15203"/>
      <w:bookmarkStart w:id="104" w:name="_Toc74065741"/>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17"/>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（4）国债期货、利率互换、信用风险缓释工具、债券借贷等；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（5）混合债券型二级基金、混合型基金以及</w:t>
      </w:r>
      <w:r>
        <w:rPr>
          <w:rFonts w:hint="eastAsia" w:asciiTheme="majorEastAsia" w:hAnsiTheme="majorEastAsia" w:eastAsiaTheme="majorEastAsia"/>
          <w:bCs/>
          <w:color w:val="000000" w:themeColor="text1"/>
          <w:sz w:val="18"/>
          <w:szCs w:val="18"/>
          <w14:textFill>
            <w14:solidFill>
              <w14:schemeClr w14:val="tx1"/>
            </w14:solidFill>
          </w14:textFill>
        </w:rPr>
        <w:t>通过信托公司、基金管理公司、证券公司、期货公司、保险公司及上述机构的子公司等国家法律法规允许的机构投资于权益类资产；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（6）投资于上述资产的符合监管要求的公募基金、基金公司或子公司资产管理计划、证券公司资产管理计划、保险资产管理计划及信托计划等；</w:t>
      </w:r>
    </w:p>
    <w:p>
      <w:pPr>
        <w:pStyle w:val="17"/>
        <w:spacing w:line="360" w:lineRule="auto"/>
        <w:ind w:firstLine="360" w:firstLineChars="200"/>
        <w:jc w:val="both"/>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（7）其他风险不高于前述资产的资产。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（1）本产品投资于固定收益类资产的比例不低于产品总资产的80%；投资于股票资产的比例合计不超过产品总资产的5%。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（2）国债期货、利率互换、债券借贷的合约价值占产品总资产比例不高于20%。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（3）非标准化债权类资产占产品总资产比例不高于50%。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7"/>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7"/>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主要投资于固定收益类资产，以绝对收益为投资目标，并配置一定比例的权益类资产，把握股票市场的投资机会，为投资者提供长期稳定的投资回报。其中权益类资产主要为混合债券型二级基金以及打新策略为主的混合型基金中的股票投资。</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7"/>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7"/>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7"/>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7"/>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7"/>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7"/>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105" w:name="_Toc1823"/>
      <w:bookmarkStart w:id="106" w:name="_Toc14893"/>
      <w:bookmarkStart w:id="107" w:name="_Toc139991735"/>
      <w:bookmarkStart w:id="108" w:name="_Toc17912"/>
      <w:bookmarkStart w:id="109" w:name="_Toc18797"/>
      <w:bookmarkStart w:id="110" w:name="_Toc79154669"/>
      <w:bookmarkStart w:id="111" w:name="_Toc7848"/>
      <w:bookmarkStart w:id="112" w:name="_Toc92377135"/>
      <w:bookmarkStart w:id="113" w:name="_Toc18526"/>
      <w:bookmarkStart w:id="114" w:name="_Toc26986"/>
      <w:bookmarkStart w:id="115" w:name="_Toc18329"/>
      <w:bookmarkStart w:id="116" w:name="_Toc74065742"/>
      <w:bookmarkStart w:id="117" w:name="_Toc141703885"/>
      <w:bookmarkStart w:id="118" w:name="_Toc21988"/>
      <w:bookmarkStart w:id="119" w:name="_Toc4741"/>
      <w:bookmarkStart w:id="120" w:name="_Toc27357"/>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17"/>
        <w:spacing w:line="360" w:lineRule="auto"/>
        <w:ind w:firstLine="361" w:firstLineChars="200"/>
        <w:rPr>
          <w:rFonts w:asciiTheme="majorEastAsia" w:hAnsiTheme="majorEastAsia" w:eastAsiaTheme="majorEastAsia"/>
          <w:b/>
          <w:color w:val="auto"/>
          <w:sz w:val="18"/>
          <w:szCs w:val="18"/>
        </w:rPr>
      </w:pPr>
      <w:bookmarkStart w:id="121" w:name="_Hlk490214295"/>
      <w:r>
        <w:rPr>
          <w:rFonts w:hint="eastAsia" w:asciiTheme="majorEastAsia" w:hAnsiTheme="majorEastAsia" w:eastAsiaTheme="majorEastAsia"/>
          <w:b/>
          <w:color w:val="auto"/>
          <w:sz w:val="18"/>
          <w:szCs w:val="18"/>
        </w:rPr>
        <w:t>（一）理财产品的资产的保管和处分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21"/>
    <w:p>
      <w:pPr>
        <w:pStyle w:val="2"/>
        <w:spacing w:before="0" w:after="0" w:line="360" w:lineRule="auto"/>
        <w:jc w:val="center"/>
        <w:rPr>
          <w:rFonts w:ascii="Times New Roman"/>
          <w:sz w:val="28"/>
          <w:szCs w:val="28"/>
        </w:rPr>
      </w:pPr>
      <w:bookmarkStart w:id="122" w:name="_Toc10162"/>
      <w:bookmarkStart w:id="123" w:name="_Toc92377136"/>
      <w:bookmarkStart w:id="124" w:name="_Toc83391971"/>
      <w:bookmarkStart w:id="125" w:name="_Toc10463"/>
      <w:bookmarkStart w:id="126" w:name="_Toc79154670"/>
      <w:bookmarkStart w:id="127" w:name="_Toc48649707"/>
      <w:bookmarkStart w:id="128" w:name="_Toc123102453"/>
      <w:bookmarkStart w:id="129" w:name="_Toc1427"/>
      <w:bookmarkStart w:id="130" w:name="_Toc139991736"/>
      <w:bookmarkStart w:id="131" w:name="_Toc1270"/>
      <w:bookmarkStart w:id="132" w:name="_Toc23261"/>
      <w:bookmarkStart w:id="133" w:name="_Toc610"/>
      <w:bookmarkStart w:id="134" w:name="_Toc79392606"/>
      <w:bookmarkStart w:id="135" w:name="_Toc141703886"/>
      <w:bookmarkStart w:id="136" w:name="_Toc23822"/>
      <w:bookmarkStart w:id="137" w:name="_Toc123051452"/>
      <w:bookmarkStart w:id="138" w:name="_Toc123112234"/>
      <w:bookmarkStart w:id="139" w:name="_Toc4003"/>
      <w:bookmarkStart w:id="140" w:name="_Toc74065743"/>
      <w:bookmarkStart w:id="141" w:name="_Toc98560352"/>
      <w:bookmarkStart w:id="142" w:name="_Toc7920"/>
      <w:bookmarkStart w:id="143" w:name="_Toc17244"/>
      <w:bookmarkStart w:id="144" w:name="_Toc2073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22"/>
      <w:bookmarkEnd w:id="123"/>
      <w:bookmarkEnd w:id="124"/>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7"/>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17"/>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17"/>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17"/>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17"/>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17"/>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7"/>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Pr>
        <w:pStyle w:val="2"/>
        <w:spacing w:before="0" w:after="0" w:line="360" w:lineRule="auto"/>
        <w:ind w:left="60" w:firstLine="10"/>
        <w:jc w:val="center"/>
        <w:rPr>
          <w:rFonts w:ascii="Times New Roman"/>
          <w:sz w:val="30"/>
        </w:rPr>
      </w:pPr>
      <w:bookmarkStart w:id="145" w:name="_Hlt70481650"/>
      <w:bookmarkEnd w:id="145"/>
      <w:bookmarkStart w:id="146" w:name="_Toc12245"/>
      <w:bookmarkStart w:id="147" w:name="_Toc123051453"/>
      <w:bookmarkStart w:id="148" w:name="_Toc6405"/>
      <w:bookmarkStart w:id="149" w:name="_Toc31644"/>
      <w:bookmarkStart w:id="150" w:name="_Toc74065744"/>
      <w:bookmarkStart w:id="151" w:name="_Toc123102454"/>
      <w:bookmarkStart w:id="152" w:name="_Toc31235"/>
      <w:bookmarkStart w:id="153" w:name="_Toc92377137"/>
      <w:bookmarkStart w:id="154" w:name="_Toc15143"/>
      <w:bookmarkStart w:id="155" w:name="_Toc79154671"/>
      <w:bookmarkStart w:id="156" w:name="_Toc3601"/>
      <w:bookmarkStart w:id="157" w:name="_Toc14835"/>
      <w:bookmarkStart w:id="158" w:name="_Toc141703887"/>
      <w:bookmarkStart w:id="159" w:name="_Toc123112235"/>
      <w:bookmarkStart w:id="160" w:name="_Toc29251"/>
      <w:bookmarkStart w:id="161" w:name="_Toc139991737"/>
      <w:bookmarkStart w:id="162" w:name="_Toc26207"/>
      <w:bookmarkStart w:id="163" w:name="_Toc98560353"/>
      <w:bookmarkStart w:id="164" w:name="_Toc31653"/>
      <w:bookmarkStart w:id="165" w:name="_Toc3138"/>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Hlt55355235"/>
      <w:bookmarkEnd w:id="166"/>
      <w:bookmarkStart w:id="167" w:name="_Toc523711668"/>
      <w:bookmarkStart w:id="168" w:name="_Toc15118234"/>
      <w:bookmarkStart w:id="169" w:name="_Toc57530239"/>
      <w:bookmarkStart w:id="170" w:name="_Toc79392580"/>
    </w:p>
    <w:p>
      <w:pPr>
        <w:pStyle w:val="17"/>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7"/>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17"/>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17"/>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7"/>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17"/>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17"/>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17"/>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7"/>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17"/>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17"/>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17"/>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7"/>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7"/>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17"/>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17"/>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17"/>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167"/>
    <w:bookmarkEnd w:id="168"/>
    <w:bookmarkEnd w:id="169"/>
    <w:bookmarkEnd w:id="170"/>
    <w:p>
      <w:pPr>
        <w:pStyle w:val="2"/>
        <w:spacing w:before="0" w:after="0" w:line="360" w:lineRule="auto"/>
        <w:jc w:val="center"/>
        <w:rPr>
          <w:rFonts w:ascii="Times New Roman"/>
          <w:sz w:val="30"/>
        </w:rPr>
      </w:pPr>
      <w:bookmarkStart w:id="171" w:name="_Hlt88897298"/>
      <w:bookmarkEnd w:id="171"/>
      <w:bookmarkStart w:id="172" w:name="_Hlt88825574"/>
      <w:bookmarkEnd w:id="172"/>
      <w:bookmarkStart w:id="173" w:name="_Toc25783"/>
      <w:bookmarkStart w:id="174" w:name="_Toc79392583"/>
      <w:bookmarkStart w:id="175" w:name="_Toc11030"/>
      <w:bookmarkStart w:id="176" w:name="_Toc3771"/>
      <w:bookmarkStart w:id="177" w:name="_Toc18567"/>
      <w:bookmarkStart w:id="178" w:name="_Toc7058"/>
      <w:bookmarkStart w:id="179" w:name="_Toc141703888"/>
      <w:bookmarkStart w:id="180" w:name="_Toc123051454"/>
      <w:bookmarkStart w:id="181" w:name="_Toc10650"/>
      <w:bookmarkStart w:id="182" w:name="_Toc6447"/>
      <w:bookmarkStart w:id="183" w:name="_Toc139991738"/>
      <w:bookmarkStart w:id="184" w:name="_Toc4559"/>
      <w:bookmarkStart w:id="185" w:name="_Toc123102455"/>
      <w:bookmarkStart w:id="186" w:name="_Toc3321"/>
      <w:bookmarkStart w:id="187" w:name="_Toc79154672"/>
      <w:bookmarkStart w:id="188" w:name="_Toc74065745"/>
      <w:bookmarkStart w:id="189" w:name="_Toc123112236"/>
      <w:bookmarkStart w:id="190" w:name="_Toc17110"/>
      <w:bookmarkStart w:id="191" w:name="_Toc9706"/>
      <w:bookmarkStart w:id="192" w:name="_Toc92377138"/>
      <w:bookmarkStart w:id="193" w:name="_Toc98560354"/>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14"/>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17"/>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7"/>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7"/>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7"/>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94" w:name="_Toc1745"/>
      <w:bookmarkStart w:id="195" w:name="_Toc3963"/>
      <w:r>
        <w:br w:type="page"/>
      </w:r>
      <w:bookmarkStart w:id="196" w:name="_Toc98560355"/>
      <w:bookmarkStart w:id="197" w:name="_Toc725"/>
      <w:bookmarkStart w:id="198" w:name="_Toc123112237"/>
      <w:bookmarkStart w:id="199" w:name="_Toc123102456"/>
      <w:bookmarkStart w:id="200" w:name="_Toc3572"/>
      <w:bookmarkStart w:id="201" w:name="_Toc79154673"/>
      <w:bookmarkStart w:id="202" w:name="_Toc92377139"/>
      <w:bookmarkStart w:id="203" w:name="_Toc4606"/>
      <w:bookmarkStart w:id="204" w:name="_Toc74065746"/>
      <w:bookmarkStart w:id="205" w:name="_Toc21735"/>
      <w:bookmarkStart w:id="206" w:name="_Toc3080"/>
      <w:bookmarkStart w:id="207" w:name="_Toc139991739"/>
      <w:bookmarkStart w:id="208" w:name="_Toc16164"/>
      <w:bookmarkStart w:id="209" w:name="_Toc31821"/>
      <w:bookmarkStart w:id="210" w:name="_Toc123051455"/>
      <w:bookmarkStart w:id="211" w:name="_Toc18206"/>
      <w:bookmarkStart w:id="212" w:name="_Toc141703889"/>
      <w:bookmarkStart w:id="213" w:name="_Toc10398"/>
      <w:r>
        <w:rPr>
          <w:rFonts w:hint="eastAsia"/>
          <w:sz w:val="30"/>
        </w:rPr>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spacing w:line="360" w:lineRule="auto"/>
        <w:ind w:firstLine="361" w:firstLineChars="200"/>
        <w:rPr>
          <w:rFonts w:asciiTheme="majorEastAsia" w:hAnsiTheme="majorEastAsia" w:eastAsiaTheme="majorEastAsia"/>
          <w:b/>
          <w:bCs/>
          <w:sz w:val="18"/>
          <w:szCs w:val="18"/>
        </w:rPr>
      </w:pPr>
      <w:bookmarkStart w:id="214" w:name="_Toc15118245"/>
      <w:bookmarkStart w:id="215" w:name="_Toc79392593"/>
      <w:bookmarkStart w:id="216"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pPr>
        <w:pStyle w:val="2"/>
        <w:spacing w:before="0" w:after="0" w:line="360" w:lineRule="auto"/>
        <w:jc w:val="center"/>
        <w:rPr>
          <w:rFonts w:ascii="Times New Roman"/>
          <w:sz w:val="18"/>
          <w:szCs w:val="18"/>
        </w:rPr>
      </w:pPr>
      <w:r>
        <w:rPr>
          <w:rFonts w:ascii="Times New Roman"/>
          <w:b w:val="0"/>
          <w:bCs w:val="0"/>
          <w:kern w:val="2"/>
        </w:rPr>
        <w:br w:type="page"/>
      </w:r>
      <w:bookmarkStart w:id="217" w:name="_Toc11469"/>
      <w:bookmarkStart w:id="218" w:name="_Toc92377140"/>
      <w:bookmarkStart w:id="219" w:name="_Toc98560356"/>
      <w:bookmarkStart w:id="220" w:name="_Toc21237"/>
      <w:bookmarkStart w:id="221" w:name="_Toc141703890"/>
      <w:bookmarkStart w:id="222" w:name="_Toc123102457"/>
      <w:bookmarkStart w:id="223" w:name="_Toc3329"/>
      <w:bookmarkStart w:id="224" w:name="_Toc79154674"/>
      <w:bookmarkStart w:id="225" w:name="_Toc139991740"/>
      <w:bookmarkStart w:id="226" w:name="_Toc8791"/>
      <w:bookmarkStart w:id="227" w:name="_Toc32092"/>
      <w:bookmarkStart w:id="228" w:name="_Toc79392622"/>
      <w:bookmarkStart w:id="229" w:name="_Toc17198"/>
      <w:bookmarkStart w:id="230" w:name="_Toc83391975"/>
      <w:bookmarkStart w:id="231" w:name="_Toc29408"/>
      <w:bookmarkStart w:id="232" w:name="_Toc5170"/>
      <w:bookmarkStart w:id="233" w:name="_Toc123051456"/>
      <w:bookmarkStart w:id="234" w:name="_Toc48649708"/>
      <w:bookmarkStart w:id="235" w:name="_Toc74065747"/>
      <w:bookmarkStart w:id="236" w:name="_Toc32584"/>
      <w:bookmarkStart w:id="237" w:name="_Toc739"/>
      <w:bookmarkStart w:id="238" w:name="_Toc123112238"/>
      <w:bookmarkStart w:id="239" w:name="_Toc1792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7"/>
      <w:bookmarkEnd w:id="21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pPr>
        <w:pStyle w:val="2"/>
        <w:spacing w:before="0" w:after="0" w:line="360" w:lineRule="auto"/>
        <w:jc w:val="center"/>
        <w:rPr>
          <w:rFonts w:ascii="Times New Roman"/>
          <w:b w:val="0"/>
          <w:sz w:val="30"/>
        </w:rPr>
      </w:pPr>
      <w:bookmarkStart w:id="240" w:name="_Toc79154675"/>
      <w:bookmarkStart w:id="241" w:name="_Toc24766"/>
      <w:bookmarkStart w:id="242"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40"/>
      <w:bookmarkEnd w:id="241"/>
      <w:bookmarkEnd w:id="242"/>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黑体" w:hAnsi="黑体" w:eastAsia="黑体"/>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r>
        <w:rPr>
          <w:rFonts w:hint="eastAsia" w:ascii="黑体" w:hAnsi="黑体" w:eastAsia="黑体"/>
          <w:sz w:val="18"/>
          <w:szCs w:val="18"/>
        </w:rPr>
        <w:t xml:space="preserve"> </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ind w:firstLine="360" w:firstLineChars="200"/>
        <w:rPr>
          <w:rFonts w:ascii="宋体" w:hAnsi="宋体"/>
          <w:sz w:val="18"/>
          <w:szCs w:val="18"/>
        </w:rPr>
      </w:pPr>
    </w:p>
    <w:p>
      <w:pPr>
        <w:pStyle w:val="17"/>
        <w:spacing w:line="360" w:lineRule="auto"/>
        <w:rPr>
          <w:rFonts w:hAnsi="宋体"/>
          <w:sz w:val="18"/>
          <w:szCs w:val="18"/>
        </w:rPr>
      </w:pPr>
    </w:p>
    <w:p>
      <w:pPr>
        <w:sectPr>
          <w:headerReference r:id="rId10" w:type="default"/>
          <w:footerReference r:id="rId11" w:type="default"/>
          <w:pgSz w:w="11906" w:h="16838"/>
          <w:pgMar w:top="1276" w:right="1800" w:bottom="1418" w:left="1800" w:header="567" w:footer="850" w:gutter="0"/>
          <w:pgNumType w:start="1"/>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9"/>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【福建省农村信用社联合社】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7"/>
              <w:jc w:val="both"/>
              <w:rPr>
                <w:rFonts w:hAnsi="宋体"/>
                <w:bCs/>
                <w:sz w:val="18"/>
                <w:szCs w:val="18"/>
              </w:rPr>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r>
        <w:rPr>
          <w:rFonts w:hint="eastAsia" w:ascii="宋体" w:hAnsi="宋体" w:cs="仿宋_GB2312"/>
          <w:kern w:val="0"/>
          <w:sz w:val="18"/>
          <w:szCs w:val="18"/>
          <w:lang w:val="en-US" w:eastAsia="zh-CN"/>
        </w:rPr>
        <w:t>5</w:t>
      </w:r>
      <w:r>
        <w:rPr>
          <w:rFonts w:hint="eastAsia" w:ascii="宋体" w:hAnsi="宋体" w:cs="仿宋_GB2312"/>
          <w:kern w:val="0"/>
          <w:sz w:val="18"/>
          <w:szCs w:val="18"/>
        </w:rPr>
        <w:t>】个风险等级</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cs="仿宋_GB2312"/>
          <w:color w:val="auto"/>
          <w:kern w:val="0"/>
          <w:sz w:val="18"/>
          <w:szCs w:val="18"/>
          <w:lang w:val="en-US" w:eastAsia="zh-CN"/>
        </w:rPr>
        <w:t>R1（低风险）、R2（中低风险）、R3（中等风险）、R4（中高风险）、R5（高风险）</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r>
        <w:rPr>
          <w:rFonts w:ascii="宋体" w:hAnsi="宋体" w:cs="仿宋_GB2312"/>
          <w:kern w:val="0"/>
          <w:sz w:val="18"/>
          <w:szCs w:val="18"/>
        </w:rPr>
        <w:t>个</w:t>
      </w:r>
      <w:r>
        <w:rPr>
          <w:rFonts w:hint="eastAsia" w:ascii="宋体" w:hAnsi="宋体" w:cs="仿宋_GB2312"/>
          <w:kern w:val="0"/>
          <w:sz w:val="18"/>
          <w:szCs w:val="18"/>
        </w:rPr>
        <w:t>等级：【</w:t>
      </w:r>
      <w:r>
        <w:rPr>
          <w:rFonts w:hint="eastAsia" w:ascii="宋体" w:hAnsi="宋体" w:cs="仿宋_GB2312"/>
          <w:color w:val="auto"/>
          <w:kern w:val="0"/>
          <w:sz w:val="18"/>
          <w:szCs w:val="18"/>
          <w:lang w:val="en-US" w:eastAsia="zh-CN"/>
        </w:rPr>
        <w:t>保守型、谨慎型、稳健型、进取型、激进型</w:t>
      </w:r>
      <w:r>
        <w:rPr>
          <w:rFonts w:hint="eastAsia" w:ascii="宋体" w:hAnsi="宋体" w:cs="仿宋_GB2312"/>
          <w:kern w:val="0"/>
          <w:sz w:val="18"/>
          <w:szCs w:val="18"/>
        </w:rPr>
        <w:t>】。</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7"/>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1"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p>
      <w:pPr>
        <w:sectPr>
          <w:headerReference r:id="rId12" w:type="default"/>
          <w:footerReference r:id="rId13" w:type="default"/>
          <w:pgSz w:w="11906" w:h="16838"/>
          <w:pgMar w:top="1440" w:right="1800" w:bottom="1440" w:left="1800" w:header="851" w:footer="992" w:gutter="0"/>
          <w:cols w:space="425" w:num="1"/>
          <w:docGrid w:type="lines" w:linePitch="312" w:charSpace="0"/>
        </w:sectPr>
      </w:pP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【兴业银行天天万利宝稳利1号净值型理财产品</w:t>
      </w:r>
      <w:r>
        <w:rPr>
          <w:rFonts w:ascii="宋体" w:hAnsi="宋体" w:cs="仿宋_GB2312"/>
          <w:kern w:val="0"/>
          <w:sz w:val="18"/>
          <w:szCs w:val="18"/>
        </w:rPr>
        <w:t>H</w:t>
      </w:r>
      <w:r>
        <w:rPr>
          <w:rFonts w:hint="eastAsia" w:ascii="宋体" w:hAnsi="宋体" w:cs="仿宋_GB2312"/>
          <w:kern w:val="0"/>
          <w:sz w:val="18"/>
          <w:szCs w:val="18"/>
        </w:rPr>
        <w:t>款】。</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rPr>
        <w:t>【稳利恒盈</w:t>
      </w:r>
      <w:r>
        <w:rPr>
          <w:rFonts w:ascii="宋体" w:hAnsi="宋体" w:cs="仿宋_GB2312"/>
          <w:kern w:val="0"/>
          <w:sz w:val="18"/>
          <w:szCs w:val="18"/>
        </w:rPr>
        <w:t>H</w:t>
      </w:r>
      <w:r>
        <w:rPr>
          <w:rFonts w:hint="eastAsia" w:ascii="宋体" w:hAnsi="宋体" w:cs="仿宋_GB2312"/>
          <w:kern w:val="0"/>
          <w:sz w:val="18"/>
          <w:szCs w:val="18"/>
        </w:rPr>
        <w:t xml:space="preserve"> 12个月】。</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Z7002020000012</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14:textFill>
            <w14:solidFill>
              <w14:schemeClr w14:val="tx1"/>
            </w14:solidFill>
          </w14:textFill>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14:textFill>
            <w14:solidFill>
              <w14:schemeClr w14:val="tx1"/>
            </w14:solidFill>
          </w14:textFill>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14:textFill>
            <w14:solidFill>
              <w14:schemeClr w14:val="tx1"/>
            </w14:solidFill>
          </w14:textFill>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5"/>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5"/>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5"/>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5"/>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5"/>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5"/>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5"/>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5"/>
        <w:ind w:firstLineChars="0"/>
        <w:rPr>
          <w:rFonts w:ascii="宋体" w:hAnsi="宋体"/>
          <w:sz w:val="18"/>
          <w:szCs w:val="18"/>
        </w:rPr>
      </w:pPr>
      <w:r>
        <w:rPr>
          <w:rFonts w:hint="eastAsia" w:ascii="宋体" w:hAnsi="宋体"/>
          <w:sz w:val="18"/>
          <w:szCs w:val="18"/>
        </w:rPr>
        <w:t>1）投资股票类资产的风险</w:t>
      </w:r>
    </w:p>
    <w:p>
      <w:pPr>
        <w:pStyle w:val="15"/>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5"/>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5"/>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5"/>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5"/>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5"/>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5"/>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5"/>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5"/>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5"/>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5"/>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5"/>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5"/>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5"/>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5"/>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5"/>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5"/>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5"/>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5"/>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5"/>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5"/>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5"/>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宋体" w:hAnsi="宋体"/>
          <w:sz w:val="18"/>
          <w:szCs w:val="18"/>
          <w:lang w:val="en-US" w:eastAsia="zh-CN"/>
        </w:rPr>
        <w:t>福建省农村信用社联合社</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10"/>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10"/>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10"/>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ectPr>
          <w:headerReference r:id="rId14" w:type="default"/>
          <w:pgSz w:w="11906" w:h="16838"/>
          <w:pgMar w:top="1440" w:right="1800" w:bottom="1440" w:left="1800" w:header="851" w:footer="992" w:gutter="0"/>
          <w:cols w:space="425" w:num="1"/>
          <w:docGrid w:type="lines" w:linePitch="312" w:charSpace="0"/>
        </w:sectPr>
      </w:pP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福建省农村信用社联合社</w:t>
      </w:r>
      <w:r>
        <w:rPr>
          <w:rFonts w:hint="eastAsia" w:ascii="宋体" w:hAnsi="宋体"/>
          <w:sz w:val="18"/>
          <w:szCs w:val="18"/>
        </w:rPr>
        <w:t>】以(□ 直销：产品管理人销售/</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hint="eastAsia" w:ascii="宋体" w:hAnsi="宋体"/>
          <w:sz w:val="18"/>
          <w:szCs w:val="18"/>
        </w:rPr>
        <w:t>产品管理人</w:t>
      </w:r>
      <w:r>
        <w:rPr>
          <w:rFonts w:ascii="宋体" w:hAnsi="宋体"/>
          <w:sz w:val="18"/>
          <w:szCs w:val="18"/>
        </w:rPr>
        <w:t>将根据产品风险等级和市场情况自行确定发售渠道。</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首次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9"/>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325"/>
        <w:gridCol w:w="5311"/>
        <w:gridCol w:w="17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风险评级</w:t>
            </w:r>
          </w:p>
        </w:tc>
        <w:tc>
          <w:tcPr>
            <w:tcW w:w="5311"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评级说明</w:t>
            </w:r>
          </w:p>
        </w:tc>
        <w:tc>
          <w:tcPr>
            <w:tcW w:w="1713"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投资者对象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安逸型（R1）</w:t>
            </w:r>
          </w:p>
        </w:tc>
        <w:tc>
          <w:tcPr>
            <w:tcW w:w="5311"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1713"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谨慎型（R2）</w:t>
            </w:r>
          </w:p>
        </w:tc>
        <w:tc>
          <w:tcPr>
            <w:tcW w:w="5311"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稳健型（R3）</w:t>
            </w:r>
          </w:p>
        </w:tc>
        <w:tc>
          <w:tcPr>
            <w:tcW w:w="5311"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增长型（R4）</w:t>
            </w:r>
          </w:p>
        </w:tc>
        <w:tc>
          <w:tcPr>
            <w:tcW w:w="5311"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进取型（R5）</w:t>
            </w:r>
          </w:p>
        </w:tc>
        <w:tc>
          <w:tcPr>
            <w:tcW w:w="5311"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1713"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激进型（R6）</w:t>
            </w:r>
          </w:p>
        </w:tc>
        <w:tc>
          <w:tcPr>
            <w:tcW w:w="5311"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理财产品的信息披露将通过兴业银行</w:t>
      </w:r>
      <w:r>
        <w:rPr>
          <w:rFonts w:asciiTheme="minorEastAsia" w:hAnsiTheme="minorEastAsia"/>
          <w:sz w:val="18"/>
          <w:szCs w:val="18"/>
        </w:rPr>
        <w:t>或</w:t>
      </w:r>
      <w:r>
        <w:rPr>
          <w:rFonts w:hint="eastAsia" w:asciiTheme="minorEastAsia" w:hAnsiTheme="minorEastAsia"/>
          <w:sz w:val="18"/>
          <w:szCs w:val="18"/>
        </w:rPr>
        <w:t>销售机构</w:t>
      </w:r>
      <w:r>
        <w:rPr>
          <w:rFonts w:hint="eastAsia" w:ascii="宋体" w:hAnsi="宋体"/>
          <w:bCs/>
          <w:sz w:val="18"/>
          <w:szCs w:val="18"/>
        </w:rPr>
        <w:t>的信息披露渠道（包括但不限于兴业</w:t>
      </w:r>
      <w:r>
        <w:rPr>
          <w:rFonts w:ascii="宋体" w:hAnsi="宋体"/>
          <w:bCs/>
          <w:sz w:val="18"/>
          <w:szCs w:val="18"/>
        </w:rPr>
        <w:t>银</w:t>
      </w:r>
      <w:r>
        <w:rPr>
          <w:rFonts w:hint="eastAsia" w:ascii="宋体" w:hAnsi="宋体"/>
          <w:bCs/>
          <w:sz w:val="18"/>
          <w:szCs w:val="18"/>
        </w:rPr>
        <w:t>行或销售机构的营业网点、门户网站、电子销售渠道等）进行。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信息披露条款</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ascii="宋体" w:hAnsi="宋体"/>
          <w:sz w:val="18"/>
          <w:szCs w:val="18"/>
        </w:rPr>
        <w:t>通过</w:t>
      </w:r>
      <w:r>
        <w:rPr>
          <w:rFonts w:hint="eastAsia" w:ascii="宋体" w:hAnsi="宋体"/>
          <w:sz w:val="18"/>
          <w:szCs w:val="18"/>
        </w:rPr>
        <w:t>兴业银行（作为销售机构）购</w:t>
      </w:r>
      <w:r>
        <w:rPr>
          <w:rFonts w:ascii="宋体" w:hAnsi="宋体"/>
          <w:sz w:val="18"/>
          <w:szCs w:val="18"/>
        </w:rPr>
        <w:t>买本产品的请联系兴业银行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福建省农村信用社联合社】（作为销售服务机构）购买本产品的，请联系【福建省农村信用社联合社】，【福建省农村信用社联合社】客户服务热线：【0591-96336】；【福建省农村信用社联合社】门户网站：【www.fjnx.com.cn】。</w:t>
      </w:r>
      <w:bookmarkStart w:id="243" w:name="_GoBack"/>
      <w:bookmarkEnd w:id="243"/>
    </w:p>
    <w:p>
      <w:pPr>
        <w:autoSpaceDE w:val="0"/>
        <w:autoSpaceDN w:val="0"/>
        <w:adjustRightInd w:val="0"/>
        <w:jc w:val="left"/>
        <w:rPr>
          <w:rFonts w:ascii="仿宋_GB2312" w:eastAsia="仿宋_GB2312" w:cs="仿宋_GB2312"/>
          <w:color w:val="000000"/>
          <w:kern w:val="0"/>
          <w:sz w:val="24"/>
          <w:szCs w:val="24"/>
        </w:rPr>
      </w:pPr>
    </w:p>
    <w:p>
      <w:pPr>
        <w:autoSpaceDE w:val="0"/>
        <w:autoSpaceDN w:val="0"/>
        <w:adjustRightInd w:val="0"/>
        <w:jc w:val="left"/>
        <w:rPr>
          <w:rFonts w:ascii="仿宋_GB2312" w:eastAsia="仿宋_GB2312" w:cs="仿宋_GB2312"/>
          <w:color w:val="000000"/>
          <w:kern w:val="0"/>
          <w:sz w:val="24"/>
          <w:szCs w:val="24"/>
        </w:rPr>
      </w:pPr>
    </w:p>
    <w:p>
      <w:pPr>
        <w:jc w:val="right"/>
        <w:rPr>
          <w:rFonts w:ascii="宋体" w:hAnsi="宋体"/>
          <w:sz w:val="18"/>
          <w:szCs w:val="18"/>
        </w:rPr>
      </w:pPr>
    </w:p>
    <w:p>
      <w:pPr>
        <w:ind w:right="84" w:rightChars="40"/>
        <w:jc w:val="right"/>
        <w:rPr>
          <w:rFonts w:ascii="宋体" w:hAnsi="宋体"/>
          <w:sz w:val="18"/>
          <w:szCs w:val="18"/>
        </w:rPr>
      </w:pPr>
      <w:r>
        <w:rPr>
          <w:rFonts w:ascii="宋体" w:hAnsi="宋体"/>
          <w:sz w:val="18"/>
          <w:szCs w:val="18"/>
        </w:rPr>
        <w:t xml:space="preserve"> </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兴银理财天天万利宝稳利</w:t>
      </w:r>
      <w:r>
        <w:rPr>
          <w:rStyle w:val="12"/>
          <w:rFonts w:hint="eastAsia" w:ascii="黑体" w:hAnsi="黑体" w:eastAsia="黑体"/>
          <w:sz w:val="28"/>
          <w:szCs w:val="28"/>
          <w:lang w:val="en-US" w:eastAsia="zh-CN"/>
        </w:rPr>
        <w:t>净值型</w:t>
      </w:r>
      <w:r>
        <w:rPr>
          <w:rStyle w:val="12"/>
          <w:rFonts w:hint="eastAsia" w:ascii="黑体" w:hAnsi="黑体" w:eastAsia="黑体"/>
          <w:sz w:val="28"/>
          <w:szCs w:val="28"/>
        </w:rPr>
        <w:t>理财产品</w:t>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 xml:space="preserve"> </w:t>
      </w:r>
      <w:r>
        <w:rPr>
          <w:rFonts w:hint="eastAsia" w:ascii="宋体" w:hAnsi="宋体"/>
          <w:sz w:val="18"/>
          <w:szCs w:val="18"/>
        </w:rPr>
        <w:t xml:space="preserve"> 】以(□ 直销：产品管理人销售/</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您首次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投资者风险承受能力，机构投资者由低至高分为【C1至C5五个等级】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R1</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低风险理财产品。理财产品的总体风险很低，净值波动很小，理财投资本金遭受损失的可能性很低，且产品具有较高的流动性。</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R2</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较低风险理财产品。理财产品的总体风险较低，净值波动较小，理财投资本金遭受损失的可能性较低。</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R3</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中等风险理财产品。理财产品的总体风险适中，净值波动明显，产品本金出现损失的可能性不容忽视。</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R4</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较高风险理财产品。理财产品的总体风险较高，净值波动明显，产品本金出现损失的可能性较高。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R5</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高风险理财产品。理财产品的总体风险程度高，净值波动明显，产品本金出现重大损失的可能性高。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spacing w:line="280" w:lineRule="atLeast"/>
        <w:jc w:val="left"/>
        <w:rPr>
          <w:rFonts w:ascii="仿宋_GB2312" w:eastAsia="仿宋_GB2312" w:cs="仿宋_GB2312"/>
          <w:color w:val="000000"/>
          <w:kern w:val="0"/>
          <w:sz w:val="24"/>
          <w:szCs w:val="24"/>
        </w:rPr>
      </w:pPr>
    </w:p>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jc w:val="right"/>
        <w:rPr>
          <w:rFonts w:ascii="宋体" w:hAnsi="宋体"/>
          <w:sz w:val="18"/>
          <w:szCs w:val="18"/>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 xml:space="preserve">  </w:t>
      </w:r>
      <w:r>
        <w:rPr>
          <w:rFonts w:hint="eastAsia" w:ascii="宋体" w:hAnsi="宋体"/>
          <w:sz w:val="18"/>
          <w:szCs w:val="18"/>
        </w:rPr>
        <w:t>】以(□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
    <w:sectPr>
      <w:headerReference r:id="rId15" w:type="default"/>
      <w:footerReference r:id="rId16"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4</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ascii="黑体" w:hAnsi="黑体" w:eastAsia="黑体"/>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ascii="黑体" w:hAnsi="黑体" w:eastAsia="黑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ascii="黑体" w:hAnsi="黑体" w:eastAsia="黑体"/>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4"/>
          <w:jc w:val="center"/>
        </w:pPr>
        <w:r>
          <w:fldChar w:fldCharType="begin"/>
        </w:r>
        <w:r>
          <w:instrText xml:space="preserve"> PAGE   \* MERGEFORMAT </w:instrText>
        </w:r>
        <w:r>
          <w:fldChar w:fldCharType="separate"/>
        </w:r>
        <w:r>
          <w:rPr>
            <w:lang w:val="zh-CN"/>
          </w:rPr>
          <w:t>11</w:t>
        </w:r>
        <w:r>
          <w:fldChar w:fldCharType="end"/>
        </w:r>
      </w:p>
    </w:sdtContent>
  </w:sdt>
  <w:p>
    <w:pPr>
      <w:pStyle w:val="3"/>
      <w:jc w:val="both"/>
      <w:rPr>
        <w:rFonts w:ascii="黑体" w:hAnsi="黑体" w:eastAsia="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4"/>
          <w:jc w:val="center"/>
        </w:pPr>
        <w:r>
          <w:rPr>
            <w:rFonts w:hint="eastAsia"/>
          </w:rPr>
          <w:t>第</w:t>
        </w:r>
        <w:r>
          <w:fldChar w:fldCharType="begin"/>
        </w:r>
        <w:r>
          <w:instrText xml:space="preserve">PAGE   \* MERGEFORMAT</w:instrText>
        </w:r>
        <w:r>
          <w:fldChar w:fldCharType="separate"/>
        </w:r>
        <w:r>
          <w:rPr>
            <w:lang w:val="zh-CN"/>
          </w:rPr>
          <w:t>1</w:t>
        </w:r>
        <w: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jc w:val="right"/>
      <w:rPr>
        <w:b/>
      </w:rPr>
    </w:pPr>
    <w:r>
      <w:rPr>
        <w:rFonts w:hint="eastAsia"/>
        <w:b/>
      </w:rPr>
      <w:t>投资协议书</w:t>
    </w:r>
  </w:p>
  <w:p>
    <w:pPr>
      <w:pStyle w:val="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jc w:val="right"/>
      <w:rPr>
        <w:b/>
      </w:rPr>
    </w:pPr>
    <w:r>
      <w:rPr>
        <w:rFonts w:hint="eastAsia"/>
        <w:b/>
      </w:rPr>
      <w:t>投资协议书</w:t>
    </w:r>
  </w:p>
  <w:p>
    <w:pPr>
      <w:pStyle w:val="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5"/>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ind w:firstLine="180" w:firstLineChars="100"/>
      <w:jc w:val="right"/>
    </w:pPr>
    <w:r>
      <w:rPr>
        <w:rFonts w:hint="eastAsia"/>
      </w:rPr>
      <w:t>投资者权益须知</w:t>
    </w:r>
  </w:p>
  <w:p>
    <w:pPr>
      <w:pStyle w:val="5"/>
      <w:pBdr>
        <w:bottom w:val="thickThinLargeGap" w:color="auto" w:sz="24" w:space="10"/>
      </w:pBdr>
      <w:tabs>
        <w:tab w:val="right" w:pos="8280"/>
      </w:tabs>
      <w:wordWrap w:val="0"/>
      <w:adjustRightInd w:val="0"/>
      <w:ind w:firstLine="181" w:firstLineChars="100"/>
      <w:jc w:val="right"/>
      <w:rPr>
        <w:b/>
      </w:rPr>
    </w:pPr>
    <w:r>
      <w:rPr>
        <w:rFonts w:hint="eastAsia"/>
        <w:b/>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NWVjZGM4ODUzZDg2NmM0ZDIwZjJkZTM3Yjk2MDgifQ=="/>
  </w:docVars>
  <w:rsids>
    <w:rsidRoot w:val="00000000"/>
    <w:rsid w:val="2C9D6434"/>
    <w:rsid w:val="3C7929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99"/>
    <w:pPr>
      <w:widowControl/>
      <w:jc w:val="left"/>
    </w:pPr>
    <w:rPr>
      <w:rFonts w:ascii="宋体" w:hAnsi="宋体"/>
      <w:kern w:val="0"/>
      <w:sz w:val="24"/>
      <w:szCs w:val="24"/>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 w:type="paragraph" w:styleId="6">
    <w:name w:val="toc 1"/>
    <w:basedOn w:val="1"/>
    <w:next w:val="1"/>
    <w:qFormat/>
    <w:uiPriority w:val="39"/>
    <w:pPr>
      <w:tabs>
        <w:tab w:val="right" w:leader="dot" w:pos="8296"/>
      </w:tabs>
      <w:spacing w:line="360" w:lineRule="auto"/>
    </w:pPr>
  </w:style>
  <w:style w:type="paragraph" w:styleId="7">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8">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Hyperlink"/>
    <w:qFormat/>
    <w:uiPriority w:val="99"/>
    <w:rPr>
      <w:color w:val="0000FF"/>
      <w:u w:val="single"/>
    </w:rPr>
  </w:style>
  <w:style w:type="character" w:styleId="14">
    <w:name w:val="annotation reference"/>
    <w:qFormat/>
    <w:uiPriority w:val="99"/>
    <w:rPr>
      <w:sz w:val="21"/>
      <w:szCs w:val="21"/>
    </w:rPr>
  </w:style>
  <w:style w:type="paragraph" w:styleId="15">
    <w:name w:val="List Paragraph"/>
    <w:basedOn w:val="1"/>
    <w:qFormat/>
    <w:uiPriority w:val="0"/>
    <w:pPr>
      <w:ind w:firstLine="420" w:firstLineChars="200"/>
    </w:pPr>
  </w:style>
  <w:style w:type="paragraph" w:customStyle="1" w:styleId="1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莹莹啦</dc:creator>
  <cp:lastModifiedBy>吴子煌</cp:lastModifiedBy>
  <dcterms:modified xsi:type="dcterms:W3CDTF">2022-10-25T07:51:50Z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098358E3CBF64CF491821E24CE61A59E</vt:lpwstr>
  </property>
</Properties>
</file>