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8255" b="13335"/>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12"/>
          <w:rFonts w:hint="eastAsia" w:ascii="黑体" w:hAnsi="黑体" w:eastAsia="黑体" w:cs="宋体"/>
          <w:sz w:val="44"/>
          <w:szCs w:val="44"/>
        </w:rPr>
        <w:t>天天万利宝稳利净值型</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10"/>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15"/>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15"/>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兴银理财【天天万利宝稳利净值型】理财产品产品说明书</w:t>
            </w:r>
          </w:p>
        </w:tc>
        <w:tc>
          <w:tcPr>
            <w:tcW w:w="1984" w:type="dxa"/>
          </w:tcPr>
          <w:p>
            <w:pPr>
              <w:pStyle w:val="15"/>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兴银理财【天天万利宝稳利净值型】理财产品（代理）销售协议书</w:t>
            </w:r>
          </w:p>
        </w:tc>
        <w:tc>
          <w:tcPr>
            <w:tcW w:w="1984" w:type="dxa"/>
          </w:tcPr>
          <w:p>
            <w:pPr>
              <w:pStyle w:val="15"/>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5"/>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5"/>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5"/>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12"/>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8255" b="13335"/>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2"/>
          <w:rFonts w:ascii="黑体" w:hAnsi="黑体" w:eastAsia="黑体" w:cs="宋体"/>
          <w:sz w:val="44"/>
          <w:szCs w:val="44"/>
        </w:rPr>
      </w:pPr>
      <w:r>
        <w:rPr>
          <w:rStyle w:val="12"/>
          <w:rFonts w:hint="eastAsia" w:ascii="黑体" w:hAnsi="黑体" w:eastAsia="黑体" w:cs="宋体"/>
          <w:sz w:val="44"/>
          <w:szCs w:val="44"/>
        </w:rPr>
        <w:t>兴银理财【天天万利宝稳利净值型】理财产品</w:t>
      </w:r>
    </w:p>
    <w:p>
      <w:pPr>
        <w:adjustRightInd w:val="0"/>
        <w:spacing w:line="360" w:lineRule="auto"/>
        <w:jc w:val="center"/>
        <w:rPr>
          <w:rStyle w:val="12"/>
          <w:rFonts w:ascii="黑体" w:hAnsi="黑体" w:eastAsia="黑体" w:cs="宋体"/>
          <w:sz w:val="44"/>
          <w:szCs w:val="44"/>
        </w:rPr>
      </w:pPr>
      <w:r>
        <w:rPr>
          <w:rStyle w:val="12"/>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2"/>
          <w:rFonts w:ascii="宋体" w:hAnsi="宋体"/>
          <w:sz w:val="28"/>
          <w:szCs w:val="28"/>
        </w:rPr>
      </w:pPr>
      <w:bookmarkStart w:id="0" w:name="_Toc139991726"/>
      <w:bookmarkStart w:id="1" w:name="_Toc139992301"/>
      <w:bookmarkStart w:id="2" w:name="_Toc123112263"/>
      <w:bookmarkStart w:id="3" w:name="_Toc123701383"/>
      <w:bookmarkStart w:id="4" w:name="_Toc123112224"/>
      <w:r>
        <w:rPr>
          <w:rStyle w:val="12"/>
          <w:rFonts w:hint="eastAsia" w:ascii="宋体" w:hAnsi="宋体"/>
          <w:sz w:val="28"/>
          <w:szCs w:val="28"/>
        </w:rPr>
        <w:t>理财产品管理人：</w:t>
      </w:r>
      <w:bookmarkEnd w:id="0"/>
      <w:bookmarkEnd w:id="1"/>
      <w:bookmarkEnd w:id="2"/>
      <w:bookmarkEnd w:id="3"/>
      <w:bookmarkEnd w:id="4"/>
      <w:r>
        <w:rPr>
          <w:rStyle w:val="12"/>
          <w:rFonts w:hint="eastAsia" w:ascii="宋体" w:hAnsi="宋体"/>
          <w:sz w:val="28"/>
          <w:szCs w:val="28"/>
        </w:rPr>
        <w:t>兴银理财有限责任公司</w:t>
      </w:r>
    </w:p>
    <w:p>
      <w:pPr>
        <w:adjustRightInd w:val="0"/>
        <w:spacing w:line="360" w:lineRule="auto"/>
        <w:jc w:val="center"/>
        <w:rPr>
          <w:rStyle w:val="12"/>
          <w:rFonts w:ascii="黑体" w:hAnsi="黑体" w:eastAsia="黑体" w:cs="宋体"/>
          <w:sz w:val="28"/>
          <w:szCs w:val="28"/>
        </w:rPr>
      </w:pPr>
      <w:bookmarkStart w:id="5" w:name="_Toc139992302"/>
      <w:bookmarkStart w:id="6" w:name="_Toc123112264"/>
      <w:bookmarkStart w:id="7" w:name="_Toc123701384"/>
      <w:bookmarkStart w:id="8" w:name="_Toc123112225"/>
      <w:bookmarkStart w:id="9" w:name="_Toc139991727"/>
    </w:p>
    <w:bookmarkEnd w:id="5"/>
    <w:bookmarkEnd w:id="6"/>
    <w:bookmarkEnd w:id="7"/>
    <w:bookmarkEnd w:id="8"/>
    <w:bookmarkEnd w:id="9"/>
    <w:p>
      <w:pPr>
        <w:adjustRightInd w:val="0"/>
        <w:spacing w:line="360" w:lineRule="auto"/>
        <w:jc w:val="center"/>
        <w:rPr>
          <w:rStyle w:val="12"/>
          <w:rFonts w:ascii="黑体" w:hAnsi="黑体" w:eastAsia="黑体" w:cs="宋体"/>
          <w:sz w:val="28"/>
          <w:szCs w:val="28"/>
        </w:rPr>
      </w:pPr>
    </w:p>
    <w:p>
      <w:pPr>
        <w:adjustRightInd w:val="0"/>
        <w:spacing w:line="360" w:lineRule="auto"/>
        <w:jc w:val="center"/>
        <w:rPr>
          <w:rStyle w:val="12"/>
          <w:rFonts w:ascii="宋体" w:hAnsi="宋体"/>
          <w:sz w:val="28"/>
          <w:szCs w:val="28"/>
        </w:rPr>
      </w:pPr>
      <w:r>
        <w:rPr>
          <w:rStyle w:val="12"/>
          <w:rFonts w:hint="eastAsia" w:ascii="宋体" w:hAnsi="宋体"/>
          <w:sz w:val="28"/>
          <w:szCs w:val="28"/>
        </w:rPr>
        <w:t>日期</w:t>
      </w:r>
      <w:r>
        <w:rPr>
          <w:rStyle w:val="12"/>
          <w:rFonts w:ascii="宋体" w:hAnsi="宋体"/>
          <w:sz w:val="28"/>
          <w:szCs w:val="28"/>
        </w:rPr>
        <w:t>：</w:t>
      </w:r>
      <w:r>
        <w:rPr>
          <w:rStyle w:val="12"/>
          <w:rFonts w:hint="eastAsia" w:ascii="宋体" w:hAnsi="宋体"/>
          <w:sz w:val="28"/>
          <w:szCs w:val="28"/>
        </w:rPr>
        <w:t>【</w:t>
      </w:r>
      <w:r>
        <w:rPr>
          <w:rStyle w:val="12"/>
          <w:rFonts w:ascii="宋体" w:hAnsi="宋体"/>
          <w:sz w:val="28"/>
          <w:szCs w:val="28"/>
        </w:rPr>
        <w:t>2023</w:t>
      </w:r>
      <w:r>
        <w:rPr>
          <w:rStyle w:val="12"/>
          <w:rFonts w:hint="eastAsia" w:ascii="宋体" w:hAnsi="宋体"/>
          <w:sz w:val="28"/>
          <w:szCs w:val="28"/>
        </w:rPr>
        <w:t>】年【</w:t>
      </w:r>
      <w:r>
        <w:rPr>
          <w:rStyle w:val="12"/>
          <w:rFonts w:ascii="宋体" w:hAnsi="宋体"/>
          <w:sz w:val="28"/>
          <w:szCs w:val="28"/>
        </w:rPr>
        <w:t>6</w:t>
      </w:r>
      <w:r>
        <w:rPr>
          <w:rStyle w:val="12"/>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基准等类似表述不代表投资者可能获得的实际收益，亦不构成产品管理人对本产品的任何收益承诺，仅供投资者进行投资决定时参考。</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8"/>
              <w:snapToGrid w:val="0"/>
              <w:spacing w:before="0" w:beforeAutospacing="0" w:after="0" w:afterAutospacing="0" w:line="360" w:lineRule="auto"/>
              <w:jc w:val="both"/>
              <w:rPr>
                <w:rFonts w:ascii="黑体" w:hAnsi="黑体" w:eastAsia="黑体"/>
                <w:bCs/>
                <w:sz w:val="18"/>
                <w:szCs w:val="18"/>
              </w:rPr>
            </w:pP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8"/>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8"/>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8"/>
              <w:snapToGrid w:val="0"/>
              <w:spacing w:before="0" w:beforeAutospacing="0" w:after="0" w:afterAutospacing="0"/>
              <w:jc w:val="both"/>
              <w:rPr>
                <w:rFonts w:ascii="黑体" w:hAnsi="黑体" w:eastAsia="黑体"/>
                <w:bCs/>
                <w:sz w:val="18"/>
                <w:szCs w:val="18"/>
              </w:rPr>
            </w:pPr>
          </w:p>
          <w:p>
            <w:pPr>
              <w:pStyle w:val="8"/>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112266"/>
      <w:bookmarkStart w:id="12" w:name="_Toc123112227"/>
      <w:bookmarkStart w:id="13"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9"/>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【兴业银行天天万利宝稳利6号H款净值型理财产品】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sz w:val="18"/>
                <w:szCs w:val="18"/>
              </w:rPr>
              <w:t>【稳利恒盈6号H款 9个月A】</w:t>
            </w:r>
            <w:r>
              <w:rPr>
                <w:rFonts w:hint="eastAsia" w:ascii="宋体" w:hAnsi="宋体"/>
                <w:bCs/>
                <w:color w:val="000000" w:themeColor="text1"/>
                <w:sz w:val="18"/>
                <w:szCs w:val="18"/>
                <w14:textFill>
                  <w14:solidFill>
                    <w14:schemeClr w14:val="tx1"/>
                  </w14:solidFill>
                </w14:textFill>
              </w:rPr>
              <w:t>（适用【A】类份额</w:t>
            </w:r>
            <w:r>
              <w:rPr>
                <w:rFonts w:ascii="宋体" w:hAnsi="宋体"/>
                <w:bCs/>
                <w:color w:val="000000" w:themeColor="text1"/>
                <w:sz w:val="18"/>
                <w:szCs w:val="18"/>
                <w14:textFill>
                  <w14:solidFill>
                    <w14:schemeClr w14:val="tx1"/>
                  </w14:solidFill>
                </w14:textFill>
              </w:rPr>
              <w:t>）</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sz w:val="18"/>
                <w:szCs w:val="18"/>
              </w:rPr>
              <w:t>【稳利恒盈6号H款 9个月</w:t>
            </w:r>
            <w:r>
              <w:rPr>
                <w:rFonts w:ascii="宋体" w:hAnsi="宋体"/>
                <w:bCs/>
                <w:sz w:val="18"/>
                <w:szCs w:val="18"/>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ascii="宋体" w:hAnsi="宋体"/>
                <w:bCs/>
                <w:color w:val="000000" w:themeColor="text1"/>
                <w:sz w:val="18"/>
                <w:szCs w:val="18"/>
                <w14:textFill>
                  <w14:solidFill>
                    <w14:schemeClr w14:val="tx1"/>
                  </w14:solidFill>
                </w14:textFill>
              </w:rPr>
              <w:t>）</w:t>
            </w:r>
          </w:p>
          <w:p>
            <w:pPr>
              <w:spacing w:line="360" w:lineRule="auto"/>
              <w:jc w:val="left"/>
              <w:rPr>
                <w:rFonts w:ascii="宋体" w:hAnsi="宋体"/>
                <w:bCs/>
                <w:sz w:val="18"/>
                <w:szCs w:val="18"/>
              </w:rPr>
            </w:pPr>
            <w:r>
              <w:rPr>
                <w:rFonts w:hint="eastAsia" w:ascii="宋体" w:hAnsi="宋体"/>
                <w:bCs/>
                <w:sz w:val="18"/>
                <w:szCs w:val="18"/>
              </w:rPr>
              <w:t>【稳利恒盈6号H款 9个月</w:t>
            </w:r>
            <w:r>
              <w:rPr>
                <w:rFonts w:ascii="宋体" w:hAnsi="宋体"/>
                <w:bCs/>
                <w:sz w:val="18"/>
                <w:szCs w:val="18"/>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Z7002021000096</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【9K209120】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9K20912A</w:t>
            </w:r>
            <w:r>
              <w:rPr>
                <w:rFonts w:hint="eastAsia" w:ascii="宋体" w:hAnsi="宋体"/>
                <w:bCs/>
                <w:color w:val="000000" w:themeColor="text1"/>
                <w:sz w:val="18"/>
                <w:szCs w:val="18"/>
                <w14:textFill>
                  <w14:solidFill>
                    <w14:schemeClr w14:val="tx1"/>
                  </w14:solidFill>
                </w14:textFill>
              </w:rPr>
              <w:t>】（适用【A】类份额</w:t>
            </w:r>
            <w:r>
              <w:rPr>
                <w:rFonts w:ascii="宋体" w:hAnsi="宋体"/>
                <w:bCs/>
                <w:color w:val="000000" w:themeColor="text1"/>
                <w:sz w:val="18"/>
                <w:szCs w:val="18"/>
                <w14:textFill>
                  <w14:solidFill>
                    <w14:schemeClr w14:val="tx1"/>
                  </w14:solidFill>
                </w14:textFill>
              </w:rPr>
              <w:t>）</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9K20912B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ascii="宋体" w:hAnsi="宋体"/>
                <w:bCs/>
                <w:color w:val="000000" w:themeColor="text1"/>
                <w:sz w:val="18"/>
                <w:szCs w:val="18"/>
                <w14:textFill>
                  <w14:solidFill>
                    <w14:schemeClr w14:val="tx1"/>
                  </w14:solidFill>
                </w14:textFill>
              </w:rPr>
              <w:t>）</w:t>
            </w:r>
          </w:p>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9K20912C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6"/>
            <w:spacing w:line="360" w:lineRule="auto"/>
            <w:jc w:val="center"/>
          </w:pPr>
          <w:r>
            <w:rPr>
              <w:lang w:val="zh-CN"/>
            </w:rPr>
            <w:t>目录</w:t>
          </w:r>
        </w:p>
        <w:p>
          <w:pPr>
            <w:pStyle w:val="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3386"/>
      <w:bookmarkStart w:id="15" w:name="_Toc4966"/>
      <w:bookmarkStart w:id="16" w:name="_Toc15517"/>
      <w:bookmarkStart w:id="17" w:name="_Toc32639"/>
      <w:bookmarkStart w:id="18" w:name="_Toc123112268"/>
      <w:bookmarkStart w:id="19" w:name="_Toc29629"/>
      <w:bookmarkStart w:id="20" w:name="_Toc30935"/>
      <w:bookmarkStart w:id="21" w:name="_Toc139991730"/>
      <w:bookmarkStart w:id="22" w:name="_Toc141703880"/>
      <w:bookmarkStart w:id="23" w:name="_Toc8727"/>
      <w:bookmarkStart w:id="24" w:name="_Toc123112229"/>
      <w:bookmarkStart w:id="25" w:name="_Toc4867"/>
      <w:bookmarkStart w:id="26" w:name="_Toc123701389"/>
      <w:bookmarkStart w:id="27" w:name="_Toc6306"/>
      <w:bookmarkStart w:id="28" w:name="_Toc2689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6617"/>
      <w:bookmarkStart w:id="33" w:name="_Toc24860"/>
      <w:bookmarkStart w:id="34" w:name="_Toc258829399"/>
      <w:bookmarkStart w:id="35" w:name="_Toc21301"/>
      <w:bookmarkStart w:id="36" w:name="_Toc819"/>
      <w:bookmarkStart w:id="37" w:name="_Toc13020"/>
      <w:bookmarkStart w:id="38" w:name="_Toc15067"/>
      <w:bookmarkStart w:id="39" w:name="_Toc22864"/>
      <w:bookmarkStart w:id="40" w:name="_Toc2465"/>
      <w:bookmarkStart w:id="41" w:name="_Toc3224"/>
      <w:bookmarkStart w:id="42" w:name="_Toc19592"/>
      <w:r>
        <w:rPr>
          <w:rFonts w:hint="eastAsia" w:ascii="Times New Roman"/>
          <w:color w:val="auto"/>
          <w:sz w:val="30"/>
        </w:rPr>
        <w:t>前言</w:t>
      </w:r>
      <w:bookmarkEnd w:id="29"/>
    </w:p>
    <w:p>
      <w:pPr>
        <w:pStyle w:val="17"/>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33"/>
      <w:bookmarkStart w:id="48" w:name="_Toc6149"/>
      <w:bookmarkStart w:id="49" w:name="_Toc545"/>
      <w:bookmarkStart w:id="50" w:name="_Toc24571"/>
      <w:bookmarkStart w:id="51" w:name="_Toc74065740"/>
      <w:bookmarkStart w:id="52" w:name="_Toc22708"/>
      <w:bookmarkStart w:id="53" w:name="_Toc20627"/>
      <w:bookmarkStart w:id="54" w:name="_Toc6683"/>
      <w:bookmarkStart w:id="55" w:name="_Toc13288"/>
      <w:bookmarkStart w:id="56" w:name="_Toc20318"/>
      <w:bookmarkStart w:id="57" w:name="_Toc18631"/>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10"/>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b/>
                <w:bCs/>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2"/>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黑体" w:hAnsi="黑体" w:eastAsia="黑体"/>
          <w:sz w:val="44"/>
          <w:szCs w:val="44"/>
        </w:rPr>
      </w:pPr>
      <w:r>
        <w:rPr>
          <w:rStyle w:val="12"/>
          <w:rFonts w:hint="eastAsia" w:ascii="黑体" w:hAnsi="黑体" w:eastAsia="黑体"/>
          <w:sz w:val="44"/>
          <w:szCs w:val="44"/>
        </w:rPr>
        <w:t>兴银理财【</w:t>
      </w:r>
      <w:r>
        <w:rPr>
          <w:rFonts w:hint="eastAsia" w:ascii="黑体" w:hAnsi="黑体" w:eastAsia="黑体"/>
          <w:b/>
          <w:sz w:val="44"/>
          <w:szCs w:val="44"/>
        </w:rPr>
        <w:t>天天万利宝稳利净值型</w:t>
      </w:r>
      <w:r>
        <w:rPr>
          <w:rStyle w:val="12"/>
          <w:rFonts w:hint="eastAsia" w:ascii="黑体" w:hAnsi="黑体" w:eastAsia="黑体"/>
          <w:sz w:val="44"/>
          <w:szCs w:val="44"/>
        </w:rPr>
        <w:t>】理财产品</w:t>
      </w:r>
    </w:p>
    <w:p>
      <w:pPr>
        <w:adjustRightInd w:val="0"/>
        <w:spacing w:line="360" w:lineRule="auto"/>
        <w:jc w:val="center"/>
        <w:rPr>
          <w:rStyle w:val="12"/>
          <w:rFonts w:ascii="黑体" w:hAnsi="黑体" w:eastAsia="黑体"/>
          <w:sz w:val="44"/>
          <w:szCs w:val="44"/>
        </w:rPr>
      </w:pPr>
      <w:r>
        <w:rPr>
          <w:rStyle w:val="12"/>
          <w:rFonts w:hint="eastAsia" w:ascii="黑体" w:hAnsi="黑体" w:eastAsia="黑体"/>
          <w:sz w:val="44"/>
          <w:szCs w:val="44"/>
        </w:rPr>
        <w:t>产品说明书</w:t>
      </w:r>
    </w:p>
    <w:p>
      <w:pPr>
        <w:adjustRightInd w:val="0"/>
        <w:spacing w:line="360" w:lineRule="auto"/>
        <w:jc w:val="center"/>
        <w:rPr>
          <w:rStyle w:val="12"/>
          <w:rFonts w:ascii="宋体" w:hAnsi="宋体"/>
          <w:sz w:val="32"/>
          <w:szCs w:val="32"/>
        </w:rPr>
      </w:pPr>
    </w:p>
    <w:p>
      <w:pPr>
        <w:adjustRightInd w:val="0"/>
        <w:spacing w:line="360" w:lineRule="auto"/>
        <w:rPr>
          <w:rStyle w:val="12"/>
          <w:rFonts w:ascii="黑体" w:hAnsi="黑体" w:eastAsia="黑体"/>
          <w:bCs w:val="0"/>
          <w:sz w:val="28"/>
          <w:szCs w:val="28"/>
        </w:rPr>
      </w:pPr>
    </w:p>
    <w:p>
      <w:pPr>
        <w:adjustRightInd w:val="0"/>
        <w:spacing w:line="360" w:lineRule="auto"/>
        <w:jc w:val="center"/>
        <w:rPr>
          <w:rStyle w:val="12"/>
          <w:rFonts w:ascii="黑体" w:hAnsi="黑体" w:eastAsia="黑体"/>
          <w:bCs w:val="0"/>
          <w:sz w:val="28"/>
          <w:szCs w:val="28"/>
        </w:rPr>
      </w:pPr>
    </w:p>
    <w:p>
      <w:pPr>
        <w:adjustRightInd w:val="0"/>
        <w:spacing w:line="360" w:lineRule="auto"/>
        <w:jc w:val="center"/>
        <w:rPr>
          <w:rStyle w:val="12"/>
          <w:rFonts w:ascii="黑体" w:hAnsi="黑体" w:eastAsia="黑体"/>
          <w:bCs w:val="0"/>
          <w:sz w:val="28"/>
          <w:szCs w:val="28"/>
        </w:rPr>
      </w:pPr>
    </w:p>
    <w:p>
      <w:pPr>
        <w:adjustRightInd w:val="0"/>
        <w:spacing w:line="360" w:lineRule="auto"/>
        <w:jc w:val="center"/>
        <w:rPr>
          <w:rStyle w:val="12"/>
          <w:rFonts w:ascii="宋体" w:hAnsi="宋体" w:cs="Times New Roman"/>
          <w:sz w:val="32"/>
          <w:szCs w:val="32"/>
        </w:rPr>
      </w:pPr>
      <w:r>
        <w:rPr>
          <w:rStyle w:val="12"/>
          <w:rFonts w:hint="eastAsia" w:ascii="宋体" w:hAnsi="宋体" w:cs="Times New Roman"/>
          <w:sz w:val="32"/>
          <w:szCs w:val="32"/>
        </w:rPr>
        <w:t>理财产品管理人：兴银理财有限责任公司</w:t>
      </w: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sz w:val="32"/>
          <w:szCs w:val="32"/>
        </w:rPr>
      </w:pPr>
    </w:p>
    <w:p>
      <w:pPr>
        <w:adjustRightInd w:val="0"/>
        <w:spacing w:line="360" w:lineRule="auto"/>
        <w:jc w:val="center"/>
        <w:rPr>
          <w:rStyle w:val="12"/>
          <w:rFonts w:ascii="宋体" w:hAnsi="宋体" w:cs="Times New Roman"/>
          <w:sz w:val="32"/>
          <w:szCs w:val="32"/>
        </w:rPr>
      </w:pPr>
      <w:r>
        <w:rPr>
          <w:rStyle w:val="12"/>
          <w:rFonts w:hint="eastAsia" w:ascii="宋体" w:hAnsi="宋体" w:cs="Times New Roman"/>
          <w:sz w:val="32"/>
          <w:szCs w:val="32"/>
        </w:rPr>
        <w:t>日期</w:t>
      </w:r>
      <w:r>
        <w:rPr>
          <w:rStyle w:val="12"/>
          <w:rFonts w:ascii="宋体" w:hAnsi="宋体" w:cs="Times New Roman"/>
          <w:sz w:val="32"/>
          <w:szCs w:val="32"/>
        </w:rPr>
        <w:t>：</w:t>
      </w:r>
      <w:r>
        <w:rPr>
          <w:rStyle w:val="12"/>
          <w:rFonts w:hint="eastAsia" w:ascii="宋体" w:hAnsi="宋体" w:cs="Times New Roman"/>
          <w:sz w:val="32"/>
          <w:szCs w:val="32"/>
        </w:rPr>
        <w:t>【2023】年【6】月</w:t>
      </w:r>
    </w:p>
    <w:p>
      <w:pPr>
        <w:rPr>
          <w:rStyle w:val="12"/>
          <w:rFonts w:ascii="宋体" w:hAnsi="宋体"/>
          <w:sz w:val="32"/>
          <w:szCs w:val="32"/>
        </w:rPr>
      </w:pPr>
      <w:r>
        <w:rPr>
          <w:rStyle w:val="12"/>
          <w:rFonts w:ascii="宋体" w:hAnsi="宋体"/>
          <w:sz w:val="32"/>
          <w:szCs w:val="32"/>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8"/>
            <w:spacing w:line="360" w:lineRule="auto"/>
            <w:jc w:val="center"/>
          </w:pPr>
          <w:bookmarkStart w:id="66" w:name="_Toc78276587"/>
          <w:r>
            <w:rPr>
              <w:lang w:val="zh-CN"/>
            </w:rPr>
            <w:t>目录</w:t>
          </w:r>
        </w:p>
        <w:p>
          <w:pPr>
            <w:pStyle w:val="6"/>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"_Toc116984884" </w:instrText>
          </w:r>
          <w:r>
            <w:fldChar w:fldCharType="separate"/>
          </w:r>
          <w:r>
            <w:rPr>
              <w:rStyle w:val="13"/>
              <w:rFonts w:hint="eastAsia" w:ascii="Times New Roman"/>
            </w:rPr>
            <w:t>第一条</w:t>
          </w:r>
          <w:r>
            <w:rPr>
              <w:rStyle w:val="13"/>
              <w:rFonts w:ascii="Times New Roman"/>
            </w:rPr>
            <w:t xml:space="preserve">  </w:t>
          </w:r>
          <w:r>
            <w:rPr>
              <w:rStyle w:val="13"/>
              <w:rFonts w:hint="eastAsia" w:ascii="Times New Roman"/>
            </w:rPr>
            <w:t>释义</w:t>
          </w:r>
          <w:r>
            <w:tab/>
          </w:r>
          <w:r>
            <w:fldChar w:fldCharType="begin"/>
          </w:r>
          <w:r>
            <w:instrText xml:space="preserve"> PAGEREF _Toc116984884 \h </w:instrText>
          </w:r>
          <w:r>
            <w:fldChar w:fldCharType="separate"/>
          </w:r>
          <w:r>
            <w:t>3</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"_Toc116984885" </w:instrText>
          </w:r>
          <w:r>
            <w:fldChar w:fldCharType="separate"/>
          </w:r>
          <w:r>
            <w:rPr>
              <w:rStyle w:val="13"/>
              <w:rFonts w:hint="eastAsia" w:hAnsi="宋体"/>
            </w:rPr>
            <w:t>第二条</w:t>
          </w:r>
          <w:r>
            <w:rPr>
              <w:rStyle w:val="13"/>
              <w:rFonts w:hAnsi="宋体"/>
            </w:rPr>
            <w:t xml:space="preserve">  </w:t>
          </w:r>
          <w:r>
            <w:rPr>
              <w:rStyle w:val="13"/>
              <w:rFonts w:hint="eastAsia" w:hAnsi="宋体"/>
            </w:rPr>
            <w:t>理财产品基本情况</w:t>
          </w:r>
          <w:r>
            <w:rPr>
              <w:rStyle w:val="13"/>
              <w:rFonts w:hAnsi="宋体"/>
            </w:rPr>
            <w:t xml:space="preserve"> </w:t>
          </w:r>
          <w:r>
            <w:tab/>
          </w:r>
          <w:r>
            <w:fldChar w:fldCharType="begin"/>
          </w:r>
          <w:r>
            <w:instrText xml:space="preserve"> PAGEREF _Toc116984885 \h </w:instrText>
          </w:r>
          <w:r>
            <w:fldChar w:fldCharType="separate"/>
          </w:r>
          <w:r>
            <w:t>9</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"_Toc116984886" </w:instrText>
          </w:r>
          <w:r>
            <w:fldChar w:fldCharType="separate"/>
          </w:r>
          <w:r>
            <w:rPr>
              <w:rStyle w:val="13"/>
              <w:rFonts w:hint="eastAsia" w:ascii="Times New Roman"/>
            </w:rPr>
            <w:t>第三条</w:t>
          </w:r>
          <w:r>
            <w:rPr>
              <w:rStyle w:val="13"/>
              <w:rFonts w:ascii="Times New Roman"/>
            </w:rPr>
            <w:t xml:space="preserve">  </w:t>
          </w:r>
          <w:r>
            <w:rPr>
              <w:rStyle w:val="13"/>
              <w:rFonts w:hint="eastAsia" w:ascii="Times New Roman"/>
            </w:rPr>
            <w:t>理财产品的认购</w:t>
          </w:r>
          <w:r>
            <w:tab/>
          </w:r>
          <w:r>
            <w:fldChar w:fldCharType="begin"/>
          </w:r>
          <w:r>
            <w:instrText xml:space="preserve"> PAGEREF _Toc116984886 \h </w:instrText>
          </w:r>
          <w:r>
            <w:fldChar w:fldCharType="separate"/>
          </w:r>
          <w:r>
            <w:t>17</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"_Toc116984887" </w:instrText>
          </w:r>
          <w:r>
            <w:fldChar w:fldCharType="separate"/>
          </w:r>
          <w:r>
            <w:rPr>
              <w:rStyle w:val="13"/>
              <w:rFonts w:hint="eastAsia" w:ascii="Times New Roman"/>
            </w:rPr>
            <w:t>第四条</w:t>
          </w:r>
          <w:r>
            <w:rPr>
              <w:rStyle w:val="13"/>
              <w:rFonts w:ascii="Times New Roman"/>
            </w:rPr>
            <w:t xml:space="preserve">  </w:t>
          </w:r>
          <w:r>
            <w:rPr>
              <w:rStyle w:val="13"/>
              <w:rFonts w:hint="eastAsia" w:ascii="Times New Roman"/>
            </w:rPr>
            <w:t>理财产品的申购与赎回</w:t>
          </w:r>
          <w:r>
            <w:tab/>
          </w:r>
          <w:r>
            <w:fldChar w:fldCharType="begin"/>
          </w:r>
          <w:r>
            <w:instrText xml:space="preserve"> PAGEREF _Toc116984887 \h </w:instrText>
          </w:r>
          <w:r>
            <w:fldChar w:fldCharType="separate"/>
          </w:r>
          <w:r>
            <w:t>19</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"_Toc116984888" </w:instrText>
          </w:r>
          <w:r>
            <w:fldChar w:fldCharType="separate"/>
          </w:r>
          <w:r>
            <w:rPr>
              <w:rStyle w:val="13"/>
              <w:rFonts w:hint="eastAsia" w:ascii="Times New Roman"/>
            </w:rPr>
            <w:t>第五条</w:t>
          </w:r>
          <w:r>
            <w:rPr>
              <w:rStyle w:val="13"/>
              <w:rFonts w:ascii="Times New Roman"/>
            </w:rPr>
            <w:t xml:space="preserve">  </w:t>
          </w:r>
          <w:r>
            <w:rPr>
              <w:rStyle w:val="13"/>
              <w:rFonts w:hint="eastAsia" w:ascii="Times New Roman"/>
            </w:rPr>
            <w:t>理财产品的投资</w:t>
          </w:r>
          <w:r>
            <w:tab/>
          </w:r>
          <w:r>
            <w:fldChar w:fldCharType="begin"/>
          </w:r>
          <w:r>
            <w:instrText xml:space="preserve"> PAGEREF _Toc116984888 \h </w:instrText>
          </w:r>
          <w:r>
            <w:fldChar w:fldCharType="separate"/>
          </w:r>
          <w:r>
            <w:t>23</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"_Toc116984889" </w:instrText>
          </w:r>
          <w:r>
            <w:fldChar w:fldCharType="separate"/>
          </w:r>
          <w:r>
            <w:rPr>
              <w:rStyle w:val="13"/>
              <w:rFonts w:hint="eastAsia" w:ascii="Times New Roman"/>
            </w:rPr>
            <w:t>第六条</w:t>
          </w:r>
          <w:r>
            <w:rPr>
              <w:rStyle w:val="13"/>
              <w:rFonts w:ascii="Times New Roman"/>
            </w:rPr>
            <w:t xml:space="preserve">  </w:t>
          </w:r>
          <w:r>
            <w:rPr>
              <w:rStyle w:val="13"/>
              <w:rFonts w:hint="eastAsia" w:ascii="Times New Roman"/>
            </w:rPr>
            <w:t>理财产品的资产</w:t>
          </w:r>
          <w:r>
            <w:tab/>
          </w:r>
          <w:r>
            <w:fldChar w:fldCharType="begin"/>
          </w:r>
          <w:r>
            <w:instrText xml:space="preserve"> PAGEREF _Toc116984889 \h </w:instrText>
          </w:r>
          <w:r>
            <w:fldChar w:fldCharType="separate"/>
          </w:r>
          <w:r>
            <w:t>26</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"_Toc116984890" </w:instrText>
          </w:r>
          <w:r>
            <w:fldChar w:fldCharType="separate"/>
          </w:r>
          <w:r>
            <w:rPr>
              <w:rStyle w:val="13"/>
              <w:rFonts w:hint="eastAsia" w:ascii="Times New Roman"/>
            </w:rPr>
            <w:t>第七条</w:t>
          </w:r>
          <w:r>
            <w:rPr>
              <w:rStyle w:val="13"/>
              <w:rFonts w:ascii="Times New Roman"/>
            </w:rPr>
            <w:t xml:space="preserve">  </w:t>
          </w:r>
          <w:r>
            <w:rPr>
              <w:rStyle w:val="13"/>
              <w:rFonts w:hint="eastAsia" w:ascii="Times New Roman"/>
            </w:rPr>
            <w:t>理财产品项下资产的估值</w:t>
          </w:r>
          <w:r>
            <w:tab/>
          </w:r>
          <w:r>
            <w:fldChar w:fldCharType="begin"/>
          </w:r>
          <w:r>
            <w:instrText xml:space="preserve"> PAGEREF _Toc116984890 \h </w:instrText>
          </w:r>
          <w:r>
            <w:fldChar w:fldCharType="separate"/>
          </w:r>
          <w:r>
            <w:t>27</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"_Toc116984891" </w:instrText>
          </w:r>
          <w:r>
            <w:fldChar w:fldCharType="separate"/>
          </w:r>
          <w:r>
            <w:rPr>
              <w:rStyle w:val="13"/>
              <w:rFonts w:hint="eastAsia" w:ascii="Times New Roman"/>
            </w:rPr>
            <w:t>第八条</w:t>
          </w:r>
          <w:r>
            <w:rPr>
              <w:rStyle w:val="13"/>
              <w:rFonts w:ascii="Times New Roman"/>
            </w:rPr>
            <w:t xml:space="preserve">  </w:t>
          </w:r>
          <w:r>
            <w:rPr>
              <w:rStyle w:val="13"/>
              <w:rFonts w:hint="eastAsia" w:ascii="Times New Roman"/>
            </w:rPr>
            <w:t>理财产品的利益分配</w:t>
          </w:r>
          <w:r>
            <w:tab/>
          </w:r>
          <w:r>
            <w:fldChar w:fldCharType="begin"/>
          </w:r>
          <w:r>
            <w:instrText xml:space="preserve"> PAGEREF _Toc116984891 \h </w:instrText>
          </w:r>
          <w:r>
            <w:fldChar w:fldCharType="separate"/>
          </w:r>
          <w:r>
            <w:t>31</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"_Toc116984892" </w:instrText>
          </w:r>
          <w:r>
            <w:fldChar w:fldCharType="separate"/>
          </w:r>
          <w:r>
            <w:rPr>
              <w:rStyle w:val="13"/>
              <w:rFonts w:hint="eastAsia" w:ascii="Times New Roman"/>
            </w:rPr>
            <w:t>第九条</w:t>
          </w:r>
          <w:r>
            <w:rPr>
              <w:rStyle w:val="13"/>
              <w:rFonts w:ascii="Times New Roman"/>
            </w:rPr>
            <w:t xml:space="preserve">  </w:t>
          </w:r>
          <w:r>
            <w:rPr>
              <w:rStyle w:val="13"/>
              <w:rFonts w:hint="eastAsia" w:ascii="Times New Roman"/>
            </w:rPr>
            <w:t>理财产品的费用与税收</w:t>
          </w:r>
          <w:r>
            <w:tab/>
          </w:r>
          <w:r>
            <w:fldChar w:fldCharType="begin"/>
          </w:r>
          <w:r>
            <w:instrText xml:space="preserve"> PAGEREF _Toc116984892 \h </w:instrText>
          </w:r>
          <w:r>
            <w:fldChar w:fldCharType="separate"/>
          </w:r>
          <w:r>
            <w:t>32</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"_Toc116984893" </w:instrText>
          </w:r>
          <w:r>
            <w:fldChar w:fldCharType="separate"/>
          </w:r>
          <w:r>
            <w:rPr>
              <w:rStyle w:val="13"/>
              <w:rFonts w:hint="eastAsia"/>
            </w:rPr>
            <w:t>第十条</w:t>
          </w:r>
          <w:r>
            <w:rPr>
              <w:rStyle w:val="13"/>
            </w:rPr>
            <w:t xml:space="preserve">  </w:t>
          </w:r>
          <w:r>
            <w:rPr>
              <w:rStyle w:val="13"/>
              <w:rFonts w:hint="eastAsia"/>
            </w:rPr>
            <w:t>理财产品的终止与清算</w:t>
          </w:r>
          <w:r>
            <w:tab/>
          </w:r>
          <w:r>
            <w:fldChar w:fldCharType="begin"/>
          </w:r>
          <w:r>
            <w:instrText xml:space="preserve"> PAGEREF _Toc116984893 \h </w:instrText>
          </w:r>
          <w:r>
            <w:fldChar w:fldCharType="separate"/>
          </w:r>
          <w:r>
            <w:t>35</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"_Toc116984894" </w:instrText>
          </w:r>
          <w:r>
            <w:fldChar w:fldCharType="separate"/>
          </w:r>
          <w:r>
            <w:rPr>
              <w:rStyle w:val="13"/>
              <w:rFonts w:hint="eastAsia" w:ascii="Times New Roman"/>
            </w:rPr>
            <w:t>第十一条</w:t>
          </w:r>
          <w:r>
            <w:rPr>
              <w:rStyle w:val="13"/>
              <w:rFonts w:ascii="Times New Roman"/>
            </w:rPr>
            <w:t xml:space="preserve">  </w:t>
          </w:r>
          <w:r>
            <w:rPr>
              <w:rStyle w:val="13"/>
              <w:rFonts w:hint="eastAsia" w:ascii="Times New Roman"/>
            </w:rPr>
            <w:t>理财产品的信息披露</w:t>
          </w:r>
          <w:r>
            <w:tab/>
          </w:r>
          <w:r>
            <w:fldChar w:fldCharType="begin"/>
          </w:r>
          <w:r>
            <w:instrText xml:space="preserve"> PAGEREF _Toc116984894 \h </w:instrText>
          </w:r>
          <w:r>
            <w:fldChar w:fldCharType="separate"/>
          </w:r>
          <w:r>
            <w:t>37</w:t>
          </w:r>
          <w:r>
            <w:fldChar w:fldCharType="end"/>
          </w:r>
          <w:r>
            <w:fldChar w:fldCharType="end"/>
          </w:r>
        </w:p>
        <w:p>
          <w:pPr>
            <w:pStyle w:val="6"/>
            <w:rPr>
              <w:rFonts w:asciiTheme="minorHAnsi" w:hAnsiTheme="minorHAnsi" w:eastAsiaTheme="minorEastAsia" w:cstheme="minorBidi"/>
              <w:kern w:val="2"/>
              <w:sz w:val="21"/>
            </w:rPr>
          </w:pPr>
          <w:r>
            <w:fldChar w:fldCharType="begin"/>
          </w:r>
          <w:r>
            <w:instrText xml:space="preserve"> HYPERLINK \l "_Toc116984895" </w:instrText>
          </w:r>
          <w:r>
            <w:fldChar w:fldCharType="separate"/>
          </w:r>
          <w:r>
            <w:rPr>
              <w:rStyle w:val="13"/>
              <w:rFonts w:hint="eastAsia" w:ascii="Times New Roman"/>
            </w:rPr>
            <w:t>第十二条</w:t>
          </w:r>
          <w:r>
            <w:rPr>
              <w:rStyle w:val="13"/>
              <w:rFonts w:ascii="Times New Roman"/>
            </w:rPr>
            <w:t xml:space="preserve">  </w:t>
          </w:r>
          <w:r>
            <w:rPr>
              <w:rStyle w:val="13"/>
              <w:rFonts w:hint="eastAsia" w:ascii="Times New Roman"/>
            </w:rPr>
            <w:t>理财产品的风险揭示</w:t>
          </w:r>
          <w:r>
            <w:tab/>
          </w:r>
          <w:r>
            <w:fldChar w:fldCharType="begin"/>
          </w:r>
          <w:r>
            <w:instrText xml:space="preserve"> PAGEREF _Toc116984895 \h </w:instrText>
          </w:r>
          <w:r>
            <w:fldChar w:fldCharType="separate"/>
          </w:r>
          <w:r>
            <w:t>40</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widowControl/>
        <w:spacing w:line="360" w:lineRule="auto"/>
        <w:jc w:val="left"/>
        <w:rPr>
          <w:rFonts w:ascii="Times New Roman"/>
          <w:sz w:val="30"/>
        </w:rPr>
      </w:pPr>
    </w:p>
    <w:p>
      <w:pPr>
        <w:pStyle w:val="2"/>
        <w:spacing w:before="0" w:after="0" w:line="360" w:lineRule="auto"/>
        <w:jc w:val="center"/>
        <w:rPr>
          <w:rFonts w:ascii="Times New Roman"/>
          <w:sz w:val="30"/>
        </w:rPr>
      </w:pPr>
      <w:bookmarkStart w:id="67" w:name="_Toc116984884"/>
      <w:bookmarkStart w:id="68" w:name="_Toc92377130"/>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bookmarkEnd w:id="68"/>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7"/>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7"/>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：指产品管理人向投资者提供的，用于描述产品特征，约定权利义务的文件。具体指《兴银理财【天天万利宝稳利净值型】理财产品销售文件》，包括《投资协议书》、《产品说明书》、《（代理）销售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《投资协议书》：指管理人统一编制的《兴银理财【天天万利宝稳利净值型】理财产品投资协议书》，以及对该文件的有效修改或补充。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）《产品说明书》：指管理人统一编制的《兴银理财【天天万利宝稳利净值型】理财产品产品说明书》，以及对该文件的有效修改或补充。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（4）《（代理）销售协议书》：指管理人统一编制的《兴银理财【天天万利宝稳利净值型】理财产品（代理）销售协议书》或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的《兴银理财【天天万利宝稳利净值型】理财产品（代理）销售协议书》（文件名称以代理销售机构实际编制为准），以及对该文件的有效修改或补充。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）《风险揭示书》：指管理人统一编制的《兴银理财【天天万利宝稳利净值型】理财产品风险揭示书》或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的《兴银理财【天天万利宝稳利净值型】理财产品风险揭示书》（文件名称以代理销售机构实际编制为准），以及对该文件的有效修改或补充。</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）《投资者权益须知》：指管理人统一编制的《兴银理财【天天万利宝稳利净值型】理财产品投资者权益须知》或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《兴银理财【天天万利宝稳利净值型】理财产品投资者权益须知》（文件名称以代理销售机构实际编制为准），以及对该文件的有效修改或补充。</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的唯一性内部识别码。若本款理财产品不设置差异化产品份额类别，理财产品代码即为理财产品销售代码。</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17"/>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7"/>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业绩报酬计提基准不代表理财产品未来表现，不等于理财产品实际收益，不作为产品收益的业绩保证，投资须谨慎。</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指投资者在一段特定期间内提交预约申购申请，该预约申购申请在销售文件约定的申购申请日内自动转化为正式的申购申请。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指投资者在一段特定期间内提交预约赎回申请，该预约赎回申请在销售文件约定的赎回申请日内自动转化为正式的赎回申请。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）巨额赎回：在本理财产品预约赎回期中，本产品的累计产品份额净预约赎回申请（预约赎回申请总份额扣除预约申购总份额后的余额</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下同）之和达到赎回日上一日产品总份额的约定百分比，为巨额赎回。</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7"/>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7"/>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7"/>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7"/>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（11）★投资周期：投资周期指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（12）产品存续期：指自理财产品成立日起，至理财产品终止日的期间。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（13）预约申购期：指投资者可以提交预约申购申请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（14</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5</w:t>
      </w:r>
      <w:r>
        <w:rPr>
          <w:rFonts w:hint="eastAsia" w:asciiTheme="majorEastAsia" w:hAnsiTheme="majorEastAsia" w:eastAsiaTheme="majorEastAsia"/>
          <w:bCs/>
          <w:color w:val="auto"/>
          <w:sz w:val="18"/>
          <w:szCs w:val="18"/>
        </w:rPr>
        <w:t>）预约申购申请日：指投资者在预约申购期内任意一日提出预约申购申请的当日。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）预约赎回申请日：指投资者在预约</w:t>
      </w:r>
      <w:r>
        <w:rPr>
          <w:rFonts w:asciiTheme="majorEastAsia" w:hAnsiTheme="majorEastAsia" w:eastAsiaTheme="majorEastAsia"/>
          <w:bCs/>
          <w:color w:val="auto"/>
          <w:sz w:val="18"/>
          <w:szCs w:val="18"/>
        </w:rPr>
        <w:t>赎回</w:t>
      </w:r>
      <w:r>
        <w:rPr>
          <w:rFonts w:hint="eastAsia" w:asciiTheme="majorEastAsia" w:hAnsiTheme="majorEastAsia" w:eastAsiaTheme="majorEastAsia"/>
          <w:bCs/>
          <w:color w:val="auto"/>
          <w:sz w:val="18"/>
          <w:szCs w:val="18"/>
        </w:rPr>
        <w:t>期内任意一日提出预约赎回申请的当日。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）申购申请日：指投资者做出申购申请的当日。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）赎回申请日：指投资者做出赎回申请的当日。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）申购日：指产品管理人接受投资者申购申请的当日。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20</w:t>
      </w:r>
      <w:r>
        <w:rPr>
          <w:rFonts w:hint="eastAsia" w:asciiTheme="majorEastAsia" w:hAnsiTheme="majorEastAsia" w:eastAsiaTheme="majorEastAsia"/>
          <w:bCs/>
          <w:color w:val="auto"/>
          <w:sz w:val="18"/>
          <w:szCs w:val="18"/>
        </w:rPr>
        <w:t>）赎回日：指产品管理人接受投资者赎回申请的当日。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）申购确认日：指产品管理人确认投资者申购</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）赎回确认日：指产品管理人确认投资者赎回</w:t>
      </w:r>
      <w:r>
        <w:rPr>
          <w:rFonts w:asciiTheme="majorEastAsia" w:hAnsiTheme="majorEastAsia" w:eastAsiaTheme="majorEastAsia"/>
          <w:bCs/>
          <w:color w:val="auto"/>
          <w:sz w:val="18"/>
          <w:szCs w:val="18"/>
        </w:rPr>
        <w:t>申请有效性</w:t>
      </w:r>
      <w:r>
        <w:rPr>
          <w:rFonts w:hint="eastAsia" w:asciiTheme="majorEastAsia" w:hAnsiTheme="majorEastAsia" w:eastAsiaTheme="majorEastAsia"/>
          <w:bCs/>
          <w:color w:val="auto"/>
          <w:sz w:val="18"/>
          <w:szCs w:val="18"/>
        </w:rPr>
        <w:t>的当日。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23</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7"/>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17"/>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17"/>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7"/>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7"/>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7"/>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69" w:name="_Toc92377131"/>
      <w:bookmarkStart w:id="70" w:name="_Toc79154665"/>
      <w:bookmarkStart w:id="71" w:name="_Toc116984885"/>
      <w:r>
        <w:rPr>
          <w:rFonts w:hint="eastAsia" w:hAnsi="宋体"/>
          <w:sz w:val="28"/>
          <w:szCs w:val="28"/>
        </w:rPr>
        <w:t>第二条  理财产品基本情况</w:t>
      </w:r>
      <w:bookmarkEnd w:id="69"/>
      <w:bookmarkEnd w:id="70"/>
      <w:r>
        <w:rPr>
          <w:rFonts w:hint="eastAsia" w:hAnsi="宋体"/>
          <w:sz w:val="28"/>
          <w:szCs w:val="28"/>
        </w:rPr>
        <w:t xml:space="preserve"> </w:t>
      </w:r>
      <w:bookmarkEnd w:id="71"/>
    </w:p>
    <w:tbl>
      <w:tblPr>
        <w:tblStyle w:val="9"/>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【兴业银行天天万利宝稳利6号H款净值型理财产品】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sz w:val="18"/>
                <w:szCs w:val="18"/>
              </w:rPr>
              <w:t>【稳利恒盈6号H款 9个月A】</w:t>
            </w:r>
            <w:r>
              <w:rPr>
                <w:rFonts w:hint="eastAsia" w:ascii="宋体" w:hAnsi="宋体"/>
                <w:bCs/>
                <w:color w:val="000000" w:themeColor="text1"/>
                <w:sz w:val="18"/>
                <w:szCs w:val="18"/>
                <w14:textFill>
                  <w14:solidFill>
                    <w14:schemeClr w14:val="tx1"/>
                  </w14:solidFill>
                </w14:textFill>
              </w:rPr>
              <w:t>（适用【A】类份额</w:t>
            </w:r>
            <w:r>
              <w:rPr>
                <w:rFonts w:ascii="宋体" w:hAnsi="宋体"/>
                <w:bCs/>
                <w:color w:val="000000" w:themeColor="text1"/>
                <w:sz w:val="18"/>
                <w:szCs w:val="18"/>
                <w14:textFill>
                  <w14:solidFill>
                    <w14:schemeClr w14:val="tx1"/>
                  </w14:solidFill>
                </w14:textFill>
              </w:rPr>
              <w:t>）</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sz w:val="18"/>
                <w:szCs w:val="18"/>
              </w:rPr>
              <w:t>【稳利恒盈6号H款 9个月</w:t>
            </w:r>
            <w:r>
              <w:rPr>
                <w:rFonts w:ascii="宋体" w:hAnsi="宋体"/>
                <w:bCs/>
                <w:sz w:val="18"/>
                <w:szCs w:val="18"/>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ascii="宋体" w:hAnsi="宋体"/>
                <w:bCs/>
                <w:color w:val="000000" w:themeColor="text1"/>
                <w:sz w:val="18"/>
                <w:szCs w:val="18"/>
                <w14:textFill>
                  <w14:solidFill>
                    <w14:schemeClr w14:val="tx1"/>
                  </w14:solidFill>
                </w14:textFill>
              </w:rPr>
              <w:t>）</w:t>
            </w:r>
          </w:p>
          <w:p>
            <w:pPr>
              <w:spacing w:line="360" w:lineRule="auto"/>
              <w:jc w:val="left"/>
              <w:rPr>
                <w:rFonts w:ascii="宋体" w:hAnsi="宋体"/>
                <w:bCs/>
                <w:sz w:val="18"/>
                <w:szCs w:val="18"/>
              </w:rPr>
            </w:pPr>
            <w:r>
              <w:rPr>
                <w:rFonts w:hint="eastAsia" w:ascii="宋体" w:hAnsi="宋体"/>
                <w:bCs/>
                <w:sz w:val="18"/>
                <w:szCs w:val="18"/>
              </w:rPr>
              <w:t>【稳利恒盈6号H款 9个月</w:t>
            </w:r>
            <w:r>
              <w:rPr>
                <w:rFonts w:ascii="宋体" w:hAnsi="宋体"/>
                <w:bCs/>
                <w:sz w:val="18"/>
                <w:szCs w:val="18"/>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Z7002021000096</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【9K209120】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9K20912A</w:t>
            </w:r>
            <w:r>
              <w:rPr>
                <w:rFonts w:hint="eastAsia" w:ascii="宋体" w:hAnsi="宋体"/>
                <w:bCs/>
                <w:color w:val="000000" w:themeColor="text1"/>
                <w:sz w:val="18"/>
                <w:szCs w:val="18"/>
                <w14:textFill>
                  <w14:solidFill>
                    <w14:schemeClr w14:val="tx1"/>
                  </w14:solidFill>
                </w14:textFill>
              </w:rPr>
              <w:t>】（适用【A】类份额</w:t>
            </w:r>
            <w:r>
              <w:rPr>
                <w:rFonts w:ascii="宋体" w:hAnsi="宋体"/>
                <w:bCs/>
                <w:color w:val="000000" w:themeColor="text1"/>
                <w:sz w:val="18"/>
                <w:szCs w:val="18"/>
                <w14:textFill>
                  <w14:solidFill>
                    <w14:schemeClr w14:val="tx1"/>
                  </w14:solidFill>
                </w14:textFill>
              </w:rPr>
              <w:t>）</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9K20912B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ascii="宋体" w:hAnsi="宋体"/>
                <w:bCs/>
                <w:color w:val="000000" w:themeColor="text1"/>
                <w:sz w:val="18"/>
                <w:szCs w:val="18"/>
                <w14:textFill>
                  <w14:solidFill>
                    <w14:schemeClr w14:val="tx1"/>
                  </w14:solidFill>
                </w14:textFill>
              </w:rPr>
              <w:t>）</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9K20912C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.本产品设置不同的理财产品份额，每类理财产品份额以下内容可能单独设置：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sz w:val="18"/>
                <w:szCs w:val="18"/>
              </w:rPr>
              <w:t>特别提示：当销售机构销售产品风险评级为</w:t>
            </w:r>
            <w:r>
              <w:rPr>
                <w:rFonts w:ascii="黑体" w:hAnsi="黑体" w:eastAsia="黑体"/>
                <w:sz w:val="18"/>
                <w:szCs w:val="18"/>
              </w:rPr>
              <w:t>R4</w:t>
            </w:r>
            <w:r>
              <w:rPr>
                <w:rFonts w:hint="eastAsia" w:ascii="黑体" w:hAnsi="黑体" w:eastAsia="黑体"/>
                <w:sz w:val="18"/>
                <w:szCs w:val="18"/>
              </w:rPr>
              <w:t>及</w:t>
            </w:r>
            <w:r>
              <w:rPr>
                <w:rFonts w:ascii="黑体" w:hAnsi="黑体" w:eastAsia="黑体"/>
                <w:sz w:val="18"/>
                <w:szCs w:val="18"/>
              </w:rPr>
              <w:t>以上</w:t>
            </w:r>
            <w:r>
              <w:rPr>
                <w:rFonts w:hint="eastAsia" w:ascii="黑体" w:hAnsi="黑体" w:eastAsia="黑体"/>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50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p>
          <w:p>
            <w:pPr>
              <w:spacing w:line="360" w:lineRule="auto"/>
              <w:rPr>
                <w:rFonts w:cs="仿宋_GB2312"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cs="仿宋_GB2312" w:asciiTheme="majorEastAsia" w:hAnsiTheme="majorEastAsia" w:eastAsiaTheme="majorEastAsia"/>
                <w:kern w:val="0"/>
                <w:sz w:val="18"/>
                <w:szCs w:val="18"/>
              </w:rPr>
              <w:t>无固定期限</w:t>
            </w:r>
          </w:p>
          <w:p>
            <w:pPr>
              <w:spacing w:line="360" w:lineRule="auto"/>
              <w:rPr>
                <w:rFonts w:cs="仿宋_GB2312" w:asciiTheme="majorEastAsia" w:hAnsiTheme="majorEastAsia" w:eastAsiaTheme="majorEastAsia"/>
                <w:kern w:val="0"/>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w:t>
            </w:r>
            <w:r>
              <w:rPr>
                <w:rFonts w:cs="Times New Roman" w:asciiTheme="minorEastAsia" w:hAnsiTheme="minorEastAsia"/>
                <w:sz w:val="18"/>
                <w:szCs w:val="18"/>
              </w:rPr>
              <w:t>21】年【3</w:t>
            </w:r>
            <w:r>
              <w:rPr>
                <w:rFonts w:hint="eastAsia" w:cs="Times New Roman" w:asciiTheme="minorEastAsia" w:hAnsiTheme="minorEastAsia"/>
                <w:sz w:val="18"/>
                <w:szCs w:val="18"/>
              </w:rPr>
              <w:t>】月【</w:t>
            </w:r>
            <w:r>
              <w:rPr>
                <w:rFonts w:cs="Times New Roman" w:asciiTheme="minorEastAsia" w:hAnsiTheme="minorEastAsia"/>
                <w:sz w:val="18"/>
                <w:szCs w:val="18"/>
              </w:rPr>
              <w:t>25</w:t>
            </w:r>
            <w:r>
              <w:rPr>
                <w:rFonts w:hint="eastAsia" w:cs="Times New Roman" w:asciiTheme="minorEastAsia" w:hAnsiTheme="minorEastAsia"/>
                <w:sz w:val="18"/>
                <w:szCs w:val="18"/>
              </w:rPr>
              <w:t>】日【11：00】</w:t>
            </w:r>
            <w:r>
              <w:rPr>
                <w:rFonts w:hint="eastAsia" w:cs="仿宋_GB2312" w:asciiTheme="minorEastAsia" w:hAnsiTheme="minorEastAsia"/>
                <w:sz w:val="18"/>
                <w:szCs w:val="18"/>
              </w:rPr>
              <w:t>至</w:t>
            </w:r>
            <w:r>
              <w:rPr>
                <w:rFonts w:hint="eastAsia" w:cs="Times New Roman" w:asciiTheme="minorEastAsia" w:hAnsiTheme="minorEastAsia"/>
                <w:sz w:val="18"/>
                <w:szCs w:val="18"/>
              </w:rPr>
              <w:t>【20</w:t>
            </w:r>
            <w:r>
              <w:rPr>
                <w:rFonts w:cs="Times New Roman" w:asciiTheme="minorEastAsia" w:hAnsiTheme="minorEastAsia"/>
                <w:sz w:val="18"/>
                <w:szCs w:val="18"/>
              </w:rPr>
              <w:t>21】年【3</w:t>
            </w:r>
            <w:r>
              <w:rPr>
                <w:rFonts w:hint="eastAsia" w:cs="Times New Roman" w:asciiTheme="minorEastAsia" w:hAnsiTheme="minorEastAsia"/>
                <w:sz w:val="18"/>
                <w:szCs w:val="18"/>
              </w:rPr>
              <w:t>】月【</w:t>
            </w:r>
            <w:r>
              <w:rPr>
                <w:rFonts w:cs="Times New Roman" w:asciiTheme="minorEastAsia" w:hAnsiTheme="minorEastAsia"/>
                <w:sz w:val="18"/>
                <w:szCs w:val="18"/>
              </w:rPr>
              <w:t>31</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【15：45】</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w:t>
            </w:r>
            <w:r>
              <w:rPr>
                <w:rFonts w:cs="Times New Roman" w:asciiTheme="minorEastAsia" w:hAnsiTheme="minorEastAsia"/>
                <w:sz w:val="18"/>
                <w:szCs w:val="18"/>
              </w:rPr>
              <w:t>21】年【4</w:t>
            </w:r>
            <w:r>
              <w:rPr>
                <w:rFonts w:hint="eastAsia" w:cs="Times New Roman" w:asciiTheme="minorEastAsia" w:hAnsiTheme="minorEastAsia"/>
                <w:sz w:val="18"/>
                <w:szCs w:val="18"/>
              </w:rPr>
              <w:t>】月【</w:t>
            </w:r>
            <w:r>
              <w:rPr>
                <w:rFonts w:cs="Times New Roman" w:asciiTheme="minorEastAsia" w:hAnsiTheme="minorEastAsia"/>
                <w:sz w:val="18"/>
                <w:szCs w:val="18"/>
              </w:rPr>
              <w:t>1</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inorEastAsia" w:hAnsiTheme="minorEastAsia" w:eastAsiaTheme="minorEastAsia"/>
                <w:bCs/>
                <w:color w:val="000000" w:themeColor="text1"/>
                <w:sz w:val="18"/>
                <w:szCs w:val="18"/>
                <w14:textFill>
                  <w14:solidFill>
                    <w14:schemeClr w14:val="tx1"/>
                  </w14:solidFill>
                </w14:textFill>
              </w:rPr>
              <w:t>1</w:t>
            </w:r>
            <w:r>
              <w:rPr>
                <w:rFonts w:asciiTheme="majorEastAsia" w:hAnsiTheme="majorEastAsia" w:eastAsiaTheme="majorEastAsia"/>
                <w:bCs/>
                <w:color w:val="000000" w:themeColor="text1"/>
                <w:sz w:val="18"/>
                <w:szCs w:val="18"/>
                <w14:textFill>
                  <w14:solidFill>
                    <w14:schemeClr w14:val="tx1"/>
                  </w14:solidFill>
                </w14:textFill>
              </w:rPr>
              <w:t>.投资周期的设置</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w:t>
            </w:r>
            <w:r>
              <w:rPr>
                <w:rFonts w:hint="eastAsia" w:asciiTheme="majorEastAsia" w:hAnsiTheme="majorEastAsia" w:eastAsiaTheme="majorEastAsia"/>
                <w:bCs/>
                <w:color w:val="000000" w:themeColor="text1"/>
                <w:sz w:val="18"/>
                <w:szCs w:val="18"/>
                <w14:textFill>
                  <w14:solidFill>
                    <w14:schemeClr w14:val="tx1"/>
                  </w14:solidFill>
                </w14:textFill>
              </w:rPr>
              <w:t>投资周期指</w:t>
            </w:r>
            <w:r>
              <w:rPr>
                <w:rFonts w:hint="eastAsia" w:asciiTheme="minorEastAsia" w:hAnsiTheme="minorEastAsia" w:eastAsiaTheme="minorEastAsia"/>
                <w:bCs/>
                <w:color w:val="000000" w:themeColor="text1"/>
                <w:sz w:val="18"/>
                <w:szCs w:val="18"/>
                <w14:textFill>
                  <w14:solidFill>
                    <w14:schemeClr w14:val="tx1"/>
                  </w14:solidFill>
                </w14:textFill>
              </w:rPr>
              <w:t>投资者</w:t>
            </w:r>
            <w:r>
              <w:rPr>
                <w:rFonts w:asciiTheme="minorEastAsia" w:hAnsiTheme="minorEastAsia" w:eastAsiaTheme="minorEastAsia"/>
                <w:bCs/>
                <w:color w:val="000000" w:themeColor="text1"/>
                <w:sz w:val="18"/>
                <w:szCs w:val="18"/>
                <w14:textFill>
                  <w14:solidFill>
                    <w14:schemeClr w14:val="tx1"/>
                  </w14:solidFill>
                </w14:textFill>
              </w:rPr>
              <w:t>持有理财产品份额</w:t>
            </w:r>
            <w:r>
              <w:rPr>
                <w:rFonts w:hint="eastAsia" w:asciiTheme="minorEastAsia" w:hAnsiTheme="minorEastAsia" w:eastAsiaTheme="minorEastAsia"/>
                <w:bCs/>
                <w:color w:val="000000" w:themeColor="text1"/>
                <w:sz w:val="18"/>
                <w:szCs w:val="18"/>
                <w14:textFill>
                  <w14:solidFill>
                    <w14:schemeClr w14:val="tx1"/>
                  </w14:solidFill>
                </w14:textFill>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（2）每一个投资周期：包含投资者持有理财产品份额的认购确认日或申购确认日至该产品份额的最近一个赎回确认日或产品终止日的期间</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asciiTheme="minorEastAsia" w:hAnsiTheme="minorEastAsia" w:eastAsiaTheme="min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正常情况下，本产品的一个投资周期为【</w:t>
            </w:r>
            <w:r>
              <w:rPr>
                <w:rFonts w:asciiTheme="majorEastAsia" w:hAnsiTheme="majorEastAsia" w:eastAsiaTheme="majorEastAsia"/>
                <w:bCs/>
                <w:color w:val="000000" w:themeColor="text1"/>
                <w:sz w:val="18"/>
                <w:szCs w:val="18"/>
                <w14:textFill>
                  <w14:solidFill>
                    <w14:schemeClr w14:val="tx1"/>
                  </w14:solidFill>
                </w14:textFill>
              </w:rPr>
              <w:t>9</w:t>
            </w:r>
            <w:r>
              <w:rPr>
                <w:rFonts w:hint="eastAsia" w:asciiTheme="majorEastAsia" w:hAnsiTheme="majorEastAsia" w:eastAsiaTheme="majorEastAsia"/>
                <w:bCs/>
                <w:color w:val="000000" w:themeColor="text1"/>
                <w:sz w:val="18"/>
                <w:szCs w:val="18"/>
                <w14:textFill>
                  <w14:solidFill>
                    <w14:schemeClr w14:val="tx1"/>
                  </w14:solidFill>
                </w14:textFill>
              </w:rPr>
              <w:t>个月】</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投资周期存在长于或短于【</w:t>
            </w:r>
            <w:r>
              <w:rPr>
                <w:rFonts w:asciiTheme="majorEastAsia" w:hAnsiTheme="majorEastAsia" w:eastAsiaTheme="majorEastAsia"/>
                <w:bCs/>
                <w:color w:val="000000" w:themeColor="text1"/>
                <w:sz w:val="18"/>
                <w:szCs w:val="18"/>
                <w14:textFill>
                  <w14:solidFill>
                    <w14:schemeClr w14:val="tx1"/>
                  </w14:solidFill>
                </w14:textFill>
              </w:rPr>
              <w:t>9</w:t>
            </w:r>
            <w:r>
              <w:rPr>
                <w:rFonts w:hint="eastAsia" w:asciiTheme="majorEastAsia" w:hAnsiTheme="majorEastAsia" w:eastAsiaTheme="majorEastAsia"/>
                <w:bCs/>
                <w:color w:val="000000" w:themeColor="text1"/>
                <w:sz w:val="18"/>
                <w:szCs w:val="18"/>
                <w14:textFill>
                  <w14:solidFill>
                    <w14:schemeClr w14:val="tx1"/>
                  </w14:solidFill>
                </w14:textFill>
              </w:rPr>
              <w:t>个月】的可能，投资者具体投资周期以本产品说明书“申购</w:t>
            </w:r>
            <w:r>
              <w:rPr>
                <w:rFonts w:asciiTheme="majorEastAsia" w:hAnsiTheme="majorEastAsia" w:eastAsiaTheme="majorEastAsia"/>
                <w:bCs/>
                <w:color w:val="000000" w:themeColor="text1"/>
                <w:sz w:val="18"/>
                <w:szCs w:val="18"/>
                <w14:textFill>
                  <w14:solidFill>
                    <w14:schemeClr w14:val="tx1"/>
                  </w14:solidFill>
                </w14:textFill>
              </w:rPr>
              <w:t>/赎回安排</w:t>
            </w:r>
            <w:r>
              <w:rPr>
                <w:rFonts w:hint="eastAsia" w:asciiTheme="majorEastAsia" w:hAnsiTheme="majorEastAsia" w:eastAsiaTheme="majorEastAsia"/>
                <w:bCs/>
                <w:color w:val="000000" w:themeColor="text1"/>
                <w:sz w:val="18"/>
                <w:szCs w:val="18"/>
                <w14:textFill>
                  <w14:solidFill>
                    <w14:schemeClr w14:val="tx1"/>
                  </w14:solidFill>
                </w14:textFill>
              </w:rPr>
              <w:t>”所载明的天数为准。投资周期终止日如遇非工作日则产品管理人做相应调整。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2.投资周期的参与</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本产品</w:t>
            </w:r>
            <w:r>
              <w:rPr>
                <w:rFonts w:cs="仿宋_GB2312" w:asciiTheme="majorEastAsia" w:hAnsiTheme="majorEastAsia" w:eastAsiaTheme="majorEastAsia"/>
                <w:color w:val="000000" w:themeColor="text1"/>
                <w:kern w:val="0"/>
                <w:sz w:val="18"/>
                <w:szCs w:val="18"/>
                <w14:textFill>
                  <w14:solidFill>
                    <w14:schemeClr w14:val="tx1"/>
                  </w14:solidFill>
                </w14:textFill>
              </w:rPr>
              <w:t>成立后管理人可根据募集情况设置预约申购期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在理财产品运作一个完整的投资周期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结束前后，</w:t>
            </w:r>
            <w:r>
              <w:rPr>
                <w:rFonts w:cs="仿宋_GB2312" w:asciiTheme="majorEastAsia" w:hAnsiTheme="majorEastAsia" w:eastAsiaTheme="majorEastAsia"/>
                <w:color w:val="000000" w:themeColor="text1"/>
                <w:kern w:val="0"/>
                <w:sz w:val="18"/>
                <w:szCs w:val="18"/>
                <w14:textFill>
                  <w14:solidFill>
                    <w14:schemeClr w14:val="tx1"/>
                  </w14:solidFill>
                </w14:textFill>
              </w:rPr>
              <w:t>管理人可设置预约申购期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3.投资周期的退出</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（1）本产品成立后，投资者可通过预约赎回方式退出本产品的投资周期。在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在运作一个完整的投资周期结束前，投资者可在预约赎回期内</w:t>
            </w:r>
            <w:r>
              <w:rPr>
                <w:rFonts w:asciiTheme="minorEastAsia" w:hAnsiTheme="minorEastAsia" w:eastAsiaTheme="minorEastAsia"/>
                <w:bCs/>
                <w:color w:val="000000" w:themeColor="text1"/>
                <w:sz w:val="18"/>
                <w:szCs w:val="18"/>
                <w14:textFill>
                  <w14:solidFill>
                    <w14:schemeClr w14:val="tx1"/>
                  </w14:solidFill>
                </w14:textFill>
              </w:rPr>
              <w:t>提出预约</w:t>
            </w:r>
            <w:r>
              <w:rPr>
                <w:rFonts w:hint="eastAsia" w:asciiTheme="minorEastAsia" w:hAnsiTheme="minorEastAsia" w:eastAsiaTheme="minorEastAsia"/>
                <w:bCs/>
                <w:color w:val="000000" w:themeColor="text1"/>
                <w:sz w:val="18"/>
                <w:szCs w:val="18"/>
                <w14:textFill>
                  <w14:solidFill>
                    <w14:schemeClr w14:val="tx1"/>
                  </w14:solidFill>
                </w14:textFill>
              </w:rPr>
              <w:t>赎回申请，如未赎回将进入下一个投资周期继续运作。</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（2）在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在运作一个完整的投资周期后，投资者</w:t>
            </w:r>
            <w:r>
              <w:rPr>
                <w:rFonts w:asciiTheme="minorEastAsia" w:hAnsiTheme="minorEastAsia" w:eastAsiaTheme="minorEastAsia"/>
                <w:bCs/>
                <w:color w:val="000000" w:themeColor="text1"/>
                <w:sz w:val="18"/>
                <w:szCs w:val="18"/>
                <w14:textFill>
                  <w14:solidFill>
                    <w14:schemeClr w14:val="tx1"/>
                  </w14:solidFill>
                </w14:textFill>
              </w:rPr>
              <w:t>也可以继续</w:t>
            </w:r>
            <w:r>
              <w:rPr>
                <w:rFonts w:hint="eastAsia" w:asciiTheme="minorEastAsia" w:hAnsiTheme="minorEastAsia" w:eastAsiaTheme="minorEastAsia"/>
                <w:bCs/>
                <w:color w:val="000000" w:themeColor="text1"/>
                <w:sz w:val="18"/>
                <w:szCs w:val="18"/>
                <w14:textFill>
                  <w14:solidFill>
                    <w14:schemeClr w14:val="tx1"/>
                  </w14:solidFill>
                </w14:textFill>
              </w:rPr>
              <w:t>持有理财产品份额进入</w:t>
            </w:r>
            <w:r>
              <w:rPr>
                <w:rFonts w:asciiTheme="minorEastAsia" w:hAnsiTheme="minorEastAsia" w:eastAsiaTheme="minorEastAsia"/>
                <w:bCs/>
                <w:color w:val="000000" w:themeColor="text1"/>
                <w:sz w:val="18"/>
                <w:szCs w:val="18"/>
                <w14:textFill>
                  <w14:solidFill>
                    <w14:schemeClr w14:val="tx1"/>
                  </w14:solidFill>
                </w14:textFill>
              </w:rPr>
              <w:t>下一个投资周期</w:t>
            </w:r>
            <w:r>
              <w:rPr>
                <w:rFonts w:hint="eastAsia" w:asciiTheme="minorEastAsia" w:hAnsiTheme="minorEastAsia" w:eastAsiaTheme="minorEastAsia"/>
                <w:bCs/>
                <w:color w:val="000000" w:themeColor="text1"/>
                <w:sz w:val="18"/>
                <w:szCs w:val="18"/>
                <w14:textFill>
                  <w14:solidFill>
                    <w14:schemeClr w14:val="tx1"/>
                  </w14:solidFill>
                </w14:textFill>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hint="eastAsia" w:asciiTheme="majorEastAsia" w:hAnsiTheme="majorEastAsia" w:eastAsiaTheme="majorEastAsia"/>
                <w:bCs/>
                <w:sz w:val="18"/>
                <w:szCs w:val="18"/>
              </w:rPr>
              <w:t>如果投资者在本产品提前终止时仍有未赎回的份额，则产品管理人将按照《产品说明书》“第十条 理财产品的终止与清算（二）理财产品的清算”条款处理。</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4</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产品管理人有权调整投资周期，调整后的投资周期以产品管理人发布的公告为准。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1.</w:t>
            </w:r>
            <w:r>
              <w:rPr>
                <w:rFonts w:hint="eastAsia" w:cs="Times New Roman" w:asciiTheme="minorEastAsia" w:hAnsiTheme="minorEastAsia"/>
                <w:sz w:val="18"/>
                <w:szCs w:val="18"/>
              </w:rPr>
              <w:t>本产品成立后，开放多个预约申购/赎回期。</w:t>
            </w:r>
          </w:p>
          <w:p>
            <w:pPr>
              <w:spacing w:line="360" w:lineRule="auto"/>
              <w:rPr>
                <w:rFonts w:asciiTheme="majorEastAsia" w:hAnsiTheme="majorEastAsia"/>
                <w:bCs/>
                <w:color w:val="000000" w:themeColor="text1"/>
                <w:sz w:val="18"/>
                <w:szCs w:val="18"/>
                <w14:textFill>
                  <w14:solidFill>
                    <w14:schemeClr w14:val="tx1"/>
                  </w14:solidFill>
                </w14:textFill>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预约申购安排</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□预约申购期：【2023】年【06】月【29】日11:00至【2023】年【07】月【05】日15: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；投资周期【272】天；</w:t>
            </w:r>
          </w:p>
          <w:p>
            <w:pPr>
              <w:spacing w:line="360" w:lineRule="auto"/>
              <w:rPr>
                <w:rFonts w:hint="eastAsia"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□预约申购期：【2023】年【07】月【06】日11:00至【2023】年【07】月【12】日15: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；投资周期【265】天；</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□预约申购期：【2023】年【07】月【13】日11:00至【2023】年【07】月【19】日15: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；投资周期【258】天；</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（2）申购的确认</w:t>
            </w:r>
          </w:p>
          <w:tbl>
            <w:tblPr>
              <w:tblStyle w:val="10"/>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03"/>
              <w:gridCol w:w="2551"/>
              <w:gridCol w:w="1276"/>
              <w:gridCol w:w="1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603"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2551" w:type="dxa"/>
                  <w:vAlign w:val="center"/>
                </w:tcPr>
                <w:p>
                  <w:pPr>
                    <w:pStyle w:val="17"/>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申购申请日和申购日</w:t>
                  </w:r>
                </w:p>
              </w:tc>
              <w:tc>
                <w:tcPr>
                  <w:tcW w:w="1276"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1760"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603" w:type="dxa"/>
                </w:tcPr>
                <w:p>
                  <w:pPr>
                    <w:pStyle w:val="17"/>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2551" w:type="dxa"/>
                </w:tcPr>
                <w:p>
                  <w:pPr>
                    <w:pStyle w:val="17"/>
                    <w:spacing w:line="360" w:lineRule="auto"/>
                    <w:jc w:val="both"/>
                    <w:rPr>
                      <w:rFonts w:ascii="黑体" w:hAnsi="黑体" w:eastAsia="黑体" w:cs="Times New Roman"/>
                      <w:color w:val="auto"/>
                      <w:sz w:val="18"/>
                      <w:szCs w:val="18"/>
                    </w:rPr>
                  </w:pPr>
                  <w:r>
                    <w:rPr>
                      <w:rFonts w:hint="eastAsia" w:cs="Times New Roman" w:asciiTheme="minorEastAsia" w:hAnsiTheme="minorEastAsia" w:eastAsiaTheme="minorEastAsia"/>
                      <w:color w:val="auto"/>
                      <w:sz w:val="18"/>
                      <w:szCs w:val="18"/>
                    </w:rPr>
                    <w:t>申购申请日：预约申购期内最后一个工作日为申购申请日</w:t>
                  </w:r>
                  <w:r>
                    <w:rPr>
                      <w:rFonts w:hint="eastAsia" w:ascii="黑体" w:hAnsi="黑体" w:eastAsia="黑体" w:cs="Times New Roman"/>
                      <w:color w:val="auto"/>
                      <w:sz w:val="18"/>
                      <w:szCs w:val="18"/>
                    </w:rPr>
                    <w:t>（注：在申购申请日，投资者的预约申购申请自动转化为申购申请）。</w:t>
                  </w:r>
                </w:p>
                <w:p>
                  <w:pPr>
                    <w:pStyle w:val="17"/>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申购</w:t>
                  </w:r>
                  <w:r>
                    <w:rPr>
                      <w:rFonts w:cs="Times New Roman" w:asciiTheme="minorEastAsia" w:hAnsiTheme="minorEastAsia" w:eastAsiaTheme="minorEastAsia"/>
                      <w:color w:val="auto"/>
                      <w:sz w:val="18"/>
                      <w:szCs w:val="18"/>
                    </w:rPr>
                    <w:t>日</w:t>
                  </w:r>
                  <w:r>
                    <w:rPr>
                      <w:rFonts w:hint="eastAsia" w:cs="Times New Roman" w:asciiTheme="minorEastAsia" w:hAnsiTheme="minorEastAsia" w:eastAsiaTheme="minorEastAsia"/>
                      <w:color w:val="auto"/>
                      <w:sz w:val="18"/>
                      <w:szCs w:val="18"/>
                    </w:rPr>
                    <w:t>：与申购申请日为同一日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申购申请视为在申购申请日的交易时间内做出，故申购申请日即为申购日）。</w:t>
                  </w:r>
                </w:p>
              </w:tc>
              <w:tc>
                <w:tcPr>
                  <w:tcW w:w="1276"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申购日后【2】个工作日内。</w:t>
                  </w:r>
                </w:p>
              </w:tc>
              <w:tc>
                <w:tcPr>
                  <w:tcW w:w="1760"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sz w:val="18"/>
                <w:szCs w:val="18"/>
              </w:rPr>
              <w:t>本产品在一个完整投资周期结束前，设置一个预约申购期；在一个完整投资周期结束后，可以再设置多个预约申购期。</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3</w:t>
            </w:r>
            <w:r>
              <w:rPr>
                <w:rFonts w:asciiTheme="majorEastAsia" w:hAnsiTheme="majorEastAsia" w:eastAsiaTheme="majorEastAsia"/>
                <w:bCs/>
                <w:color w:val="000000" w:themeColor="text1"/>
                <w:sz w:val="18"/>
                <w:szCs w:val="18"/>
                <w14:textFill>
                  <w14:solidFill>
                    <w14:schemeClr w14:val="tx1"/>
                  </w14:solidFill>
                </w14:textFill>
              </w:rPr>
              <w:t>.预约</w:t>
            </w:r>
            <w:r>
              <w:rPr>
                <w:rFonts w:hint="eastAsia" w:asciiTheme="majorEastAsia" w:hAnsiTheme="majorEastAsia" w:eastAsiaTheme="majorEastAsia"/>
                <w:bCs/>
                <w:color w:val="000000" w:themeColor="text1"/>
                <w:sz w:val="18"/>
                <w:szCs w:val="18"/>
                <w14:textFill>
                  <w14:solidFill>
                    <w14:schemeClr w14:val="tx1"/>
                  </w14:solidFill>
                </w14:textFill>
              </w:rPr>
              <w:t>赎回安排</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（1）赎回的时间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预约赎回期：【2024】年【03】月【20】日00:00至【2024】年【04】月【02】日15: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（2）赎回的确认</w:t>
            </w:r>
          </w:p>
          <w:tbl>
            <w:tblPr>
              <w:tblStyle w:val="10"/>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45"/>
              <w:gridCol w:w="2409"/>
              <w:gridCol w:w="1418"/>
              <w:gridCol w:w="16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745"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预约赎回申请日</w:t>
                  </w:r>
                </w:p>
              </w:tc>
              <w:tc>
                <w:tcPr>
                  <w:tcW w:w="2409" w:type="dxa"/>
                  <w:vAlign w:val="center"/>
                </w:tcPr>
                <w:p>
                  <w:pPr>
                    <w:pStyle w:val="17"/>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赎回申请日和赎回日</w:t>
                  </w:r>
                </w:p>
              </w:tc>
              <w:tc>
                <w:tcPr>
                  <w:tcW w:w="1418"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赎回确认日</w:t>
                  </w:r>
                </w:p>
              </w:tc>
              <w:tc>
                <w:tcPr>
                  <w:tcW w:w="1618" w:type="dxa"/>
                  <w:vAlign w:val="center"/>
                </w:tcPr>
                <w:p>
                  <w:pPr>
                    <w:pStyle w:val="17"/>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745" w:type="dxa"/>
                </w:tcPr>
                <w:p>
                  <w:pPr>
                    <w:pStyle w:val="17"/>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为预约赎回期内任意一日。</w:t>
                  </w:r>
                </w:p>
              </w:tc>
              <w:tc>
                <w:tcPr>
                  <w:tcW w:w="2409" w:type="dxa"/>
                </w:tcPr>
                <w:p>
                  <w:pPr>
                    <w:pStyle w:val="17"/>
                    <w:spacing w:line="360" w:lineRule="auto"/>
                    <w:jc w:val="both"/>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赎回申请日：预约赎回期内最后一个工作日为赎回申请日</w:t>
                  </w:r>
                  <w:r>
                    <w:rPr>
                      <w:rFonts w:hint="eastAsia" w:ascii="黑体" w:hAnsi="黑体" w:eastAsia="黑体" w:cs="Times New Roman"/>
                      <w:color w:val="auto"/>
                      <w:sz w:val="18"/>
                      <w:szCs w:val="18"/>
                    </w:rPr>
                    <w:t>（注：在赎回申请日，投资者的预约赎回申请自动转化为赎回申请）</w:t>
                  </w:r>
                  <w:r>
                    <w:rPr>
                      <w:rFonts w:hint="eastAsia" w:cs="Times New Roman" w:asciiTheme="minorEastAsia" w:hAnsiTheme="minorEastAsia" w:eastAsiaTheme="minorEastAsia"/>
                      <w:color w:val="auto"/>
                      <w:sz w:val="18"/>
                      <w:szCs w:val="18"/>
                    </w:rPr>
                    <w:t>。</w:t>
                  </w:r>
                </w:p>
                <w:p>
                  <w:pPr>
                    <w:pStyle w:val="17"/>
                    <w:spacing w:line="360" w:lineRule="auto"/>
                    <w:jc w:val="both"/>
                    <w:rPr>
                      <w:rFonts w:cs="Times New Roman" w:asciiTheme="minorEastAsia" w:hAnsiTheme="minorEastAsia" w:eastAsiaTheme="minorEastAsia"/>
                      <w:color w:val="auto"/>
                      <w:sz w:val="18"/>
                      <w:szCs w:val="18"/>
                    </w:rPr>
                  </w:pPr>
                  <w:r>
                    <w:rPr>
                      <w:rFonts w:cs="Times New Roman" w:asciiTheme="minorEastAsia" w:hAnsiTheme="minorEastAsia" w:eastAsiaTheme="minorEastAsia"/>
                      <w:color w:val="auto"/>
                      <w:sz w:val="18"/>
                      <w:szCs w:val="18"/>
                    </w:rPr>
                    <w:t>赎回日</w:t>
                  </w:r>
                  <w:r>
                    <w:rPr>
                      <w:rFonts w:hint="eastAsia" w:cs="Times New Roman" w:asciiTheme="minorEastAsia" w:hAnsiTheme="minorEastAsia" w:eastAsiaTheme="minorEastAsia"/>
                      <w:color w:val="auto"/>
                      <w:sz w:val="18"/>
                      <w:szCs w:val="18"/>
                    </w:rPr>
                    <w:t>：与赎回申请日为同一日</w:t>
                  </w:r>
                  <w:r>
                    <w:rPr>
                      <w:rFonts w:hint="eastAsia" w:ascii="黑体" w:hAnsi="黑体" w:eastAsia="黑体" w:cs="Times New Roman"/>
                      <w:color w:val="auto"/>
                      <w:sz w:val="18"/>
                      <w:szCs w:val="18"/>
                    </w:rPr>
                    <w:t>（注：</w:t>
                  </w:r>
                  <w:r>
                    <w:rPr>
                      <w:rFonts w:ascii="黑体" w:hAnsi="黑体" w:eastAsia="黑体" w:cs="Times New Roman"/>
                      <w:color w:val="auto"/>
                      <w:sz w:val="18"/>
                      <w:szCs w:val="18"/>
                    </w:rPr>
                    <w:t>前述</w:t>
                  </w:r>
                  <w:r>
                    <w:rPr>
                      <w:rFonts w:hint="eastAsia" w:ascii="黑体" w:hAnsi="黑体" w:eastAsia="黑体" w:cs="Times New Roman"/>
                      <w:color w:val="auto"/>
                      <w:sz w:val="18"/>
                      <w:szCs w:val="18"/>
                    </w:rPr>
                    <w:t>赎回申请视为在赎回申请日的交易时间内做出，故赎回申请日即为赎回日）。</w:t>
                  </w:r>
                </w:p>
              </w:tc>
              <w:tc>
                <w:tcPr>
                  <w:tcW w:w="1418"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赎回日后【2】个工作日内。</w:t>
                  </w:r>
                </w:p>
              </w:tc>
              <w:tc>
                <w:tcPr>
                  <w:tcW w:w="1618" w:type="dxa"/>
                </w:tcPr>
                <w:p>
                  <w:pPr>
                    <w:pStyle w:val="17"/>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产品管理人在赎回</w:t>
                  </w:r>
                  <w:r>
                    <w:rPr>
                      <w:rFonts w:cs="Times New Roman" w:asciiTheme="minorEastAsia" w:hAnsiTheme="minorEastAsia" w:eastAsiaTheme="minorEastAsia"/>
                      <w:bCs/>
                      <w:sz w:val="18"/>
                      <w:szCs w:val="18"/>
                    </w:rPr>
                    <w:t>确认日</w:t>
                  </w:r>
                  <w:r>
                    <w:rPr>
                      <w:rFonts w:hint="eastAsia" w:cs="Times New Roman" w:asciiTheme="minorEastAsia" w:hAnsiTheme="minorEastAsia" w:eastAsiaTheme="minorEastAsia"/>
                      <w:bCs/>
                      <w:sz w:val="18"/>
                      <w:szCs w:val="18"/>
                    </w:rPr>
                    <w:t>对投资者的赎回申请的有效性进行确认，并注销理财份额。</w:t>
                  </w:r>
                </w:p>
              </w:tc>
            </w:tr>
          </w:tbl>
          <w:p>
            <w:pPr>
              <w:spacing w:line="360" w:lineRule="auto"/>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color w:val="000000" w:themeColor="text1"/>
                <w:sz w:val="18"/>
                <w14:textFill>
                  <w14:solidFill>
                    <w14:schemeClr w14:val="tx1"/>
                  </w14:solidFill>
                </w14:textFill>
              </w:rPr>
              <w:t>赎回</w:t>
            </w:r>
            <w:r>
              <w:rPr>
                <w:rFonts w:hint="eastAsia" w:ascii="黑体" w:hAnsi="黑体" w:eastAsia="黑体" w:cs="黑体"/>
                <w:color w:val="000000" w:themeColor="text1"/>
                <w:sz w:val="18"/>
                <w:szCs w:val="18"/>
                <w14:textFill>
                  <w14:solidFill>
                    <w14:schemeClr w14:val="tx1"/>
                  </w14:solidFill>
                </w14:textFill>
              </w:rPr>
              <w:t>款项于</w:t>
            </w:r>
            <w:r>
              <w:rPr>
                <w:rFonts w:hint="eastAsia" w:ascii="黑体" w:hAnsi="黑体" w:eastAsia="黑体" w:cs="黑体"/>
                <w:kern w:val="0"/>
                <w:sz w:val="18"/>
                <w:szCs w:val="18"/>
              </w:rPr>
              <w:t>赎回</w:t>
            </w:r>
            <w:r>
              <w:rPr>
                <w:rFonts w:hint="eastAsia" w:ascii="黑体" w:hAnsi="黑体" w:eastAsia="黑体" w:cs="黑体"/>
                <w:kern w:val="0"/>
                <w:sz w:val="18"/>
              </w:rPr>
              <w:t>日后【5】个工作日</w:t>
            </w:r>
            <w:r>
              <w:rPr>
                <w:rFonts w:hint="eastAsia" w:ascii="黑体" w:hAnsi="黑体" w:eastAsia="黑体" w:cs="黑体"/>
                <w:kern w:val="0"/>
                <w:sz w:val="18"/>
                <w:szCs w:val="18"/>
              </w:rPr>
              <w:t>内支付给</w:t>
            </w:r>
            <w:r>
              <w:rPr>
                <w:rFonts w:hint="eastAsia" w:ascii="黑体" w:hAnsi="黑体" w:eastAsia="黑体" w:cs="黑体"/>
                <w:kern w:val="0"/>
                <w:sz w:val="18"/>
              </w:rPr>
              <w:t>投资者</w:t>
            </w:r>
            <w:r>
              <w:rPr>
                <w:rFonts w:hint="eastAsia" w:ascii="黑体" w:hAnsi="黑体" w:eastAsia="黑体" w:cs="黑体"/>
                <w:kern w:val="0"/>
                <w:sz w:val="18"/>
                <w:szCs w:val="18"/>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4.预约申购期/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预约赎回期的起始日和终止日如遇非工作日，则产品管理人做相应调整。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cs="Times New Roman" w:asciiTheme="minorEastAsia" w:hAnsiTheme="minorEastAsia"/>
                <w:sz w:val="18"/>
                <w:szCs w:val="18"/>
              </w:rPr>
              <w:t>本产品在一个完整投资周期结束前，产品</w:t>
            </w:r>
            <w:r>
              <w:rPr>
                <w:rFonts w:cs="Times New Roman" w:asciiTheme="minorEastAsia" w:hAnsiTheme="minorEastAsia"/>
                <w:sz w:val="18"/>
                <w:szCs w:val="18"/>
              </w:rPr>
              <w:t>管理人可以</w:t>
            </w:r>
            <w:r>
              <w:rPr>
                <w:rFonts w:hint="eastAsia" w:cs="Times New Roman" w:asciiTheme="minorEastAsia" w:hAnsiTheme="minorEastAsia"/>
                <w:sz w:val="18"/>
                <w:szCs w:val="18"/>
              </w:rPr>
              <w:t>更新产品说明书，约定后续投资周期对应的</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购买起点金额为【1.00】元；超出起点金额的部分以【0.01】元的整数倍递增。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（适用【A/C】类份额）</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asciiTheme="majorEastAsia" w:hAnsiTheme="majorEastAsia" w:eastAsiaTheme="majorEastAsia"/>
                <w:bCs/>
                <w:sz w:val="18"/>
                <w:szCs w:val="18"/>
              </w:rPr>
              <w:t>300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000.00</w:t>
            </w:r>
            <w:r>
              <w:rPr>
                <w:rFonts w:hint="eastAsia" w:asciiTheme="majorEastAsia" w:hAnsiTheme="majorEastAsia" w:eastAsiaTheme="majorEastAsia"/>
                <w:bCs/>
                <w:sz w:val="18"/>
                <w:szCs w:val="18"/>
              </w:rPr>
              <w:t>】元；超出起点金额的部分以【1</w:t>
            </w:r>
            <w:r>
              <w:rPr>
                <w:rFonts w:asciiTheme="majorEastAsia" w:hAnsiTheme="majorEastAsia" w:eastAsiaTheme="majorEastAsia"/>
                <w:bCs/>
                <w:sz w:val="18"/>
                <w:szCs w:val="18"/>
              </w:rPr>
              <w:t>0,000.00</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（适用【B】类份额）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17"/>
              <w:spacing w:line="360" w:lineRule="auto"/>
              <w:rPr>
                <w:rFonts w:asciiTheme="minorEastAsia" w:hAnsiTheme="minorEastAsia" w:eastAsiaTheme="minorEastAsia"/>
                <w:color w:val="auto"/>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17"/>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单一投资者认购上限为【/】。如需突破上限，请与产品管理人或销售机构客户经理联系。</w:t>
            </w:r>
          </w:p>
          <w:p>
            <w:pPr>
              <w:pStyle w:val="17"/>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17"/>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17"/>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w:t>
            </w:r>
            <w:r>
              <w:rPr>
                <w:rFonts w:ascii="黑体" w:hAnsi="黑体" w:eastAsia="黑体"/>
                <w:bCs/>
                <w:color w:val="000000" w:themeColor="text1"/>
                <w:sz w:val="18"/>
                <w:szCs w:val="18"/>
                <w14:textFill>
                  <w14:solidFill>
                    <w14:schemeClr w14:val="tx1"/>
                  </w14:solidFill>
                </w14:textFill>
              </w:rPr>
              <w:t>50%。</w:t>
            </w:r>
          </w:p>
          <w:p>
            <w:pPr>
              <w:pStyle w:val="17"/>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17"/>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17"/>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预约赎回期中，本产品的累计产品份额净预约赎回申请（预约赎回申请总份额扣除预约申购总份额后的余额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下同）之和达到赎回日上一日产品总份额的【10】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日之前的估值日公布的产品份额净值已扣除理财产品的费用和税收。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jc w:val="left"/>
              <w:rPr>
                <w:rFonts w:ascii="宋体" w:hAnsi="宋体"/>
                <w:b/>
                <w:bCs/>
                <w:sz w:val="18"/>
                <w:szCs w:val="18"/>
              </w:rPr>
            </w:pPr>
            <w:r>
              <w:rPr>
                <w:rFonts w:hint="eastAsia" w:ascii="宋体" w:hAnsi="宋体"/>
                <w:b/>
                <w:bCs/>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Theme="majorEastAsia" w:hAnsiTheme="majorEastAsia"/>
                <w:bCs/>
                <w:sz w:val="18"/>
                <w:szCs w:val="18"/>
              </w:rPr>
            </w:pPr>
            <w:r>
              <w:rPr>
                <w:rFonts w:hint="eastAsia" w:ascii="宋体" w:hAnsi="宋体"/>
                <w:bCs/>
                <w:sz w:val="18"/>
                <w:szCs w:val="18"/>
              </w:rPr>
              <w:t>（1）业绩比较基准的说明：【</w:t>
            </w:r>
            <w:r>
              <w:rPr>
                <w:rFonts w:hint="eastAsia" w:asciiTheme="majorEastAsia" w:hAnsiTheme="majorEastAsia" w:eastAsiaTheme="majorEastAsia"/>
                <w:bCs/>
                <w:sz w:val="18"/>
                <w:szCs w:val="18"/>
              </w:rPr>
              <w:t>以一年期定期存款利率为无风险利率，基于当前对未来市场的判断，根据拟投资债权类资产的信用利差、久期敞口以及流动性溢价，预判组合的波动幅度，设定业绩基准</w:t>
            </w:r>
            <w:r>
              <w:rPr>
                <w:rFonts w:ascii="宋体" w:hAnsi="宋体"/>
                <w:bCs/>
                <w:sz w:val="18"/>
                <w:szCs w:val="18"/>
              </w:rPr>
              <w:t>】</w:t>
            </w:r>
            <w:r>
              <w:rPr>
                <w:rFonts w:hint="eastAsia" w:ascii="宋体" w:hAnsi="宋体"/>
                <w:bCs/>
                <w:sz w:val="18"/>
                <w:szCs w:val="18"/>
              </w:rPr>
              <w:t>。</w:t>
            </w:r>
          </w:p>
          <w:p>
            <w:pPr>
              <w:spacing w:line="360" w:lineRule="auto"/>
              <w:jc w:val="left"/>
              <w:rPr>
                <w:rFonts w:asciiTheme="majorEastAsia" w:hAnsiTheme="majorEastAsia"/>
                <w:sz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jc w:val="left"/>
              <w:rPr>
                <w:rFonts w:ascii="宋体" w:hAnsi="宋体"/>
                <w:bCs/>
                <w:color w:val="000000" w:themeColor="text1"/>
                <w:sz w:val="18"/>
                <w:szCs w:val="18"/>
                <w14:textFill>
                  <w14:solidFill>
                    <w14:schemeClr w14:val="tx1"/>
                  </w14:solidFill>
                </w14:textFill>
              </w:rPr>
            </w:pPr>
            <w:r>
              <w:rPr>
                <w:rFonts w:ascii="宋体" w:hAnsi="宋体"/>
                <w:bCs/>
                <w:sz w:val="18"/>
                <w:szCs w:val="18"/>
              </w:rPr>
              <w:t>A</w:t>
            </w:r>
            <w:r>
              <w:rPr>
                <w:rFonts w:hint="eastAsia" w:ascii="宋体" w:hAnsi="宋体"/>
                <w:bCs/>
                <w:sz w:val="18"/>
                <w:szCs w:val="18"/>
              </w:rPr>
              <w:t>类份额：年化【</w:t>
            </w:r>
            <w:r>
              <w:rPr>
                <w:rFonts w:ascii="宋体" w:hAnsi="宋体"/>
                <w:bCs/>
                <w:sz w:val="18"/>
                <w:szCs w:val="18"/>
              </w:rPr>
              <w:t>2.55</w:t>
            </w:r>
            <w:r>
              <w:rPr>
                <w:rFonts w:hint="eastAsia" w:ascii="宋体" w:hAnsi="宋体"/>
                <w:bCs/>
                <w:sz w:val="18"/>
                <w:szCs w:val="18"/>
              </w:rPr>
              <w:t>-</w:t>
            </w:r>
            <w:r>
              <w:rPr>
                <w:rFonts w:ascii="宋体" w:hAnsi="宋体"/>
                <w:bCs/>
                <w:sz w:val="18"/>
                <w:szCs w:val="18"/>
              </w:rPr>
              <w:t>3.55</w:t>
            </w:r>
            <w:r>
              <w:rPr>
                <w:rFonts w:hint="eastAsia" w:ascii="宋体" w:hAnsi="宋体"/>
                <w:bCs/>
                <w:sz w:val="18"/>
                <w:szCs w:val="18"/>
              </w:rPr>
              <w:t>%</w:t>
            </w:r>
            <w:r>
              <w:rPr>
                <w:rFonts w:ascii="宋体" w:hAnsi="宋体"/>
                <w:bCs/>
                <w:sz w:val="18"/>
                <w:szCs w:val="18"/>
              </w:rPr>
              <w:t>】</w:t>
            </w:r>
          </w:p>
          <w:p>
            <w:pPr>
              <w:spacing w:line="360" w:lineRule="auto"/>
              <w:jc w:val="left"/>
              <w:rPr>
                <w:rFonts w:ascii="宋体" w:hAnsi="宋体"/>
                <w:bCs/>
                <w:color w:val="000000" w:themeColor="text1"/>
                <w:sz w:val="18"/>
                <w:szCs w:val="18"/>
                <w14:textFill>
                  <w14:solidFill>
                    <w14:schemeClr w14:val="tx1"/>
                  </w14:solidFill>
                </w14:textFill>
              </w:rPr>
            </w:pPr>
            <w:r>
              <w:rPr>
                <w:rFonts w:ascii="宋体" w:hAnsi="宋体"/>
                <w:bCs/>
                <w:sz w:val="18"/>
                <w:szCs w:val="18"/>
              </w:rPr>
              <w:t>B</w:t>
            </w:r>
            <w:r>
              <w:rPr>
                <w:rFonts w:hint="eastAsia" w:ascii="宋体" w:hAnsi="宋体"/>
                <w:bCs/>
                <w:sz w:val="18"/>
                <w:szCs w:val="18"/>
              </w:rPr>
              <w:t>类份额：年化【</w:t>
            </w:r>
            <w:r>
              <w:rPr>
                <w:rFonts w:ascii="宋体" w:hAnsi="宋体"/>
                <w:bCs/>
                <w:sz w:val="18"/>
                <w:szCs w:val="18"/>
              </w:rPr>
              <w:t>2.60</w:t>
            </w:r>
            <w:r>
              <w:rPr>
                <w:rFonts w:hint="eastAsia" w:ascii="宋体" w:hAnsi="宋体"/>
                <w:bCs/>
                <w:sz w:val="18"/>
                <w:szCs w:val="18"/>
              </w:rPr>
              <w:t>-</w:t>
            </w:r>
            <w:r>
              <w:rPr>
                <w:rFonts w:ascii="宋体" w:hAnsi="宋体"/>
                <w:bCs/>
                <w:sz w:val="18"/>
                <w:szCs w:val="18"/>
              </w:rPr>
              <w:t>3.60</w:t>
            </w:r>
            <w:r>
              <w:rPr>
                <w:rFonts w:hint="eastAsia" w:ascii="宋体" w:hAnsi="宋体"/>
                <w:bCs/>
                <w:sz w:val="18"/>
                <w:szCs w:val="18"/>
              </w:rPr>
              <w:t>%</w:t>
            </w:r>
            <w:r>
              <w:rPr>
                <w:rFonts w:ascii="宋体" w:hAnsi="宋体"/>
                <w:bCs/>
                <w:sz w:val="18"/>
                <w:szCs w:val="18"/>
              </w:rPr>
              <w:t>】</w:t>
            </w:r>
          </w:p>
          <w:p>
            <w:pPr>
              <w:spacing w:line="360" w:lineRule="auto"/>
              <w:jc w:val="left"/>
              <w:rPr>
                <w:rFonts w:ascii="宋体" w:hAnsi="宋体"/>
                <w:bCs/>
                <w:sz w:val="18"/>
                <w:szCs w:val="18"/>
              </w:rPr>
            </w:pPr>
            <w:r>
              <w:rPr>
                <w:rFonts w:ascii="宋体" w:hAnsi="宋体"/>
                <w:bCs/>
                <w:sz w:val="18"/>
                <w:szCs w:val="18"/>
              </w:rPr>
              <w:t>C</w:t>
            </w:r>
            <w:r>
              <w:rPr>
                <w:rFonts w:hint="eastAsia" w:ascii="宋体" w:hAnsi="宋体"/>
                <w:bCs/>
                <w:sz w:val="18"/>
                <w:szCs w:val="18"/>
              </w:rPr>
              <w:t>类份额：年化【</w:t>
            </w:r>
            <w:r>
              <w:rPr>
                <w:rFonts w:ascii="宋体" w:hAnsi="宋体"/>
                <w:bCs/>
                <w:sz w:val="18"/>
                <w:szCs w:val="18"/>
              </w:rPr>
              <w:t>2.45-3.45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w:t>
            </w:r>
            <w:r>
              <w:rPr>
                <w:rFonts w:hint="eastAsia"/>
                <w:sz w:val="18"/>
                <w:szCs w:val="18"/>
              </w:rPr>
              <w:t>★</w:t>
            </w:r>
            <w:r>
              <w:rPr>
                <w:rFonts w:hint="eastAsia" w:asciiTheme="majorEastAsia" w:hAnsiTheme="majorEastAsia" w:eastAsiaTheme="majorEastAsia"/>
                <w:b/>
                <w:bCs/>
                <w:sz w:val="18"/>
                <w:szCs w:val="18"/>
              </w:rPr>
              <w:t>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jc w:val="left"/>
              <w:rPr>
                <w:rFonts w:ascii="宋体" w:hAnsi="宋体"/>
                <w:b/>
                <w:bCs/>
                <w:sz w:val="18"/>
                <w:szCs w:val="18"/>
              </w:rPr>
            </w:pPr>
            <w:r>
              <w:rPr>
                <w:rFonts w:ascii="宋体"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sz w:val="18"/>
              </w:rPr>
            </w:pPr>
            <w:r>
              <w:rPr>
                <w:rFonts w:ascii="宋体" w:hAnsi="宋体"/>
                <w:bCs/>
                <w:sz w:val="18"/>
                <w:szCs w:val="18"/>
              </w:rPr>
              <w:t>业绩报酬计提基准的</w:t>
            </w:r>
            <w:r>
              <w:rPr>
                <w:rFonts w:ascii="宋体" w:hAnsi="宋体"/>
                <w:sz w:val="18"/>
              </w:rPr>
              <w:t>设定</w:t>
            </w:r>
            <w:r>
              <w:rPr>
                <w:rFonts w:hint="eastAsia" w:ascii="宋体" w:hAnsi="宋体"/>
                <w:sz w:val="18"/>
              </w:rPr>
              <w:t>：管理人</w:t>
            </w:r>
            <w:r>
              <w:rPr>
                <w:rFonts w:ascii="宋体" w:hAnsi="宋体"/>
                <w:sz w:val="18"/>
              </w:rPr>
              <w:t>对本产品设定</w:t>
            </w:r>
            <w:r>
              <w:rPr>
                <w:rFonts w:hint="eastAsia" w:ascii="宋体" w:hAnsi="宋体"/>
                <w:sz w:val="18"/>
              </w:rPr>
              <w:t>业绩报酬计提基准：【</w:t>
            </w:r>
            <w:r>
              <w:rPr>
                <w:rFonts w:hint="eastAsia" w:ascii="宋体" w:hAnsi="宋体"/>
                <w:bCs/>
                <w:sz w:val="18"/>
                <w:szCs w:val="18"/>
              </w:rPr>
              <w:t>业绩比较基准中枢</w:t>
            </w:r>
            <w:r>
              <w:rPr>
                <w:rFonts w:hint="eastAsia" w:ascii="宋体" w:hAnsi="宋体"/>
                <w:sz w:val="18"/>
              </w:rPr>
              <w:t>】。</w:t>
            </w:r>
          </w:p>
          <w:p>
            <w:pPr>
              <w:spacing w:line="360" w:lineRule="auto"/>
              <w:jc w:val="left"/>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jc w:val="left"/>
              <w:rPr>
                <w:rFonts w:ascii="宋体" w:hAnsi="宋体"/>
                <w:b/>
                <w:bCs/>
                <w:sz w:val="18"/>
                <w:szCs w:val="18"/>
              </w:rPr>
            </w:pPr>
            <w:r>
              <w:rPr>
                <w:rFonts w:hint="eastAsia" w:ascii="宋体" w:hAnsi="宋体"/>
                <w:b/>
                <w:bCs/>
                <w:sz w:val="18"/>
                <w:szCs w:val="18"/>
              </w:rPr>
              <w:t>（1）</w:t>
            </w:r>
            <w:r>
              <w:rPr>
                <w:rFonts w:hint="eastAsia"/>
                <w:sz w:val="18"/>
                <w:szCs w:val="18"/>
              </w:rPr>
              <w:t>★</w:t>
            </w:r>
            <w:r>
              <w:rPr>
                <w:rFonts w:hint="eastAsia" w:ascii="宋体" w:hAnsi="宋体"/>
                <w:b/>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b/>
                <w:sz w:val="18"/>
                <w:szCs w:val="18"/>
              </w:rPr>
            </w:pPr>
            <w:r>
              <w:rPr>
                <w:rFonts w:hint="eastAsia" w:hAnsi="宋体"/>
                <w:b/>
                <w:sz w:val="18"/>
                <w:szCs w:val="18"/>
              </w:rPr>
              <w:t>★</w:t>
            </w:r>
            <w:r>
              <w:rPr>
                <w:rFonts w:hint="eastAsia"/>
                <w:b/>
                <w:sz w:val="18"/>
                <w:szCs w:val="18"/>
              </w:rPr>
              <w:t>理财产品利益分配</w:t>
            </w:r>
          </w:p>
        </w:tc>
        <w:tc>
          <w:tcPr>
            <w:tcW w:w="770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（2）</w:t>
            </w:r>
            <w:r>
              <w:rPr>
                <w:rFonts w:ascii="宋体" w:hAnsi="宋体"/>
                <w:b/>
                <w:bCs/>
                <w:color w:val="000000" w:themeColor="text1"/>
                <w:sz w:val="18"/>
                <w:szCs w:val="18"/>
                <w14:textFill>
                  <w14:solidFill>
                    <w14:schemeClr w14:val="tx1"/>
                  </w14:solidFill>
                </w14:textFill>
              </w:rPr>
              <w:t>申购费：</w:t>
            </w: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（3）赎回费：</w:t>
            </w:r>
            <w:r>
              <w:rPr>
                <w:rFonts w:hint="eastAsia" w:ascii="宋体" w:hAnsi="宋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
                <w:bCs/>
                <w:color w:val="000000" w:themeColor="text1"/>
                <w:sz w:val="18"/>
                <w:szCs w:val="18"/>
                <w14:textFill>
                  <w14:solidFill>
                    <w14:schemeClr w14:val="tx1"/>
                  </w14:solidFill>
                </w14:textFill>
              </w:rPr>
              <w:t>（4）</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宋体" w:hAnsi="宋体"/>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【0.40】%</w:t>
            </w:r>
            <w:r>
              <w:rPr>
                <w:rFonts w:hint="eastAsia" w:ascii="宋体" w:hAnsi="宋体"/>
                <w:bCs/>
                <w:color w:val="000000" w:themeColor="text1"/>
                <w:sz w:val="18"/>
                <w:szCs w:val="18"/>
                <w14:textFill>
                  <w14:solidFill>
                    <w14:schemeClr w14:val="tx1"/>
                  </w14:solidFill>
                </w14:textFill>
              </w:rPr>
              <w:t>（适用A</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35</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（适用B类份额）。</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20%】</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（6）产品托管费：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【0.03%</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（7）超额业绩报酬：</w:t>
            </w:r>
          </w:p>
          <w:p>
            <w:pPr>
              <w:widowControl/>
              <w:spacing w:line="360" w:lineRule="auto"/>
              <w:jc w:val="left"/>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30%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7"/>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2" w:name="_Toc79154666"/>
      <w:bookmarkStart w:id="73" w:name="_Toc92377132"/>
      <w:bookmarkStart w:id="74" w:name="_Toc116984886"/>
      <w:r>
        <w:rPr>
          <w:rFonts w:ascii="Times New Roman"/>
          <w:sz w:val="30"/>
        </w:rPr>
        <w:t>第</w:t>
      </w:r>
      <w:r>
        <w:rPr>
          <w:rFonts w:hint="eastAsia" w:ascii="Times New Roman"/>
          <w:sz w:val="30"/>
        </w:rPr>
        <w:t>三条</w:t>
      </w:r>
      <w:r>
        <w:rPr>
          <w:rFonts w:ascii="Times New Roman"/>
          <w:sz w:val="30"/>
        </w:rPr>
        <w:t xml:space="preserve">  </w:t>
      </w:r>
      <w:bookmarkStart w:id="75" w:name="_Toc79392573"/>
      <w:r>
        <w:rPr>
          <w:rFonts w:hint="eastAsia" w:ascii="Times New Roman"/>
          <w:sz w:val="30"/>
        </w:rPr>
        <w:t>理财产品的认购</w:t>
      </w:r>
      <w:bookmarkEnd w:id="72"/>
      <w:bookmarkEnd w:id="73"/>
      <w:bookmarkEnd w:id="74"/>
    </w:p>
    <w:p>
      <w:pPr>
        <w:spacing w:line="360" w:lineRule="auto"/>
        <w:ind w:firstLine="361" w:firstLineChars="200"/>
        <w:rPr>
          <w:rFonts w:asciiTheme="minorEastAsia" w:hAnsiTheme="minorEastAsia"/>
          <w:b/>
          <w:bCs/>
          <w:sz w:val="18"/>
          <w:szCs w:val="18"/>
        </w:rPr>
      </w:pPr>
      <w:bookmarkStart w:id="76" w:name="_Hlt88031774"/>
      <w:bookmarkEnd w:id="76"/>
      <w:bookmarkStart w:id="77"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7"/>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10"/>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7"/>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7"/>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7"/>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78" w:name="_Toc79154667"/>
      <w:bookmarkStart w:id="79" w:name="_Toc92377133"/>
      <w:bookmarkStart w:id="80" w:name="_Toc116984887"/>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78"/>
      <w:bookmarkEnd w:id="79"/>
      <w:bookmarkEnd w:id="80"/>
    </w:p>
    <w:bookmarkEnd w:id="77"/>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17"/>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7"/>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17"/>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预约申购期内投资者可提交预约申购申请</w:t>
      </w:r>
      <w:r>
        <w:rPr>
          <w:rFonts w:hint="eastAsia" w:cs="Times New Roman" w:asciiTheme="minorEastAsia" w:hAnsiTheme="minorEastAsia" w:eastAsiaTheme="minorEastAsia"/>
          <w:color w:val="auto"/>
          <w:sz w:val="18"/>
          <w:szCs w:val="18"/>
        </w:rPr>
        <w:t>。</w:t>
      </w:r>
      <w:r>
        <w:rPr>
          <w:rFonts w:hint="eastAsia" w:asciiTheme="majorEastAsia" w:hAnsiTheme="majorEastAsia" w:eastAsiaTheme="majorEastAsia"/>
          <w:color w:val="auto"/>
          <w:sz w:val="18"/>
          <w:szCs w:val="18"/>
        </w:rPr>
        <w:t>提交预约申购申请并不代表申购成功，产品管理人将在申购确认日确认投资者是否申购成功。申购是否成功以管理人的确认结果为准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17"/>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17"/>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申购的起点和递增金额</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本产品设置预约赎回期，具体的预约赎回期时间以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本产品预约赎回期内提出预约赎回申请。</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17"/>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17"/>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spacing w:line="360" w:lineRule="auto"/>
        <w:ind w:firstLine="360" w:firstLineChars="200"/>
        <w:rPr>
          <w:rFonts w:asciiTheme="minorEastAsia" w:hAnsiTheme="minorEastAsia" w:eastAsiaTheme="minorEastAsia"/>
          <w:sz w:val="18"/>
          <w:szCs w:val="18"/>
        </w:rPr>
      </w:pPr>
      <w:r>
        <w:rPr>
          <w:rFonts w:hint="eastAsia" w:asciiTheme="minorEastAsia" w:hAnsiTheme="minorEastAsia"/>
          <w:bCs/>
          <w:sz w:val="18"/>
          <w:szCs w:val="18"/>
        </w:rPr>
        <w:t>预约赎回期内投资者可提交预约赎回申请</w:t>
      </w:r>
      <w:r>
        <w:rPr>
          <w:rFonts w:hint="eastAsia" w:cs="Times New Roman" w:asciiTheme="minorEastAsia" w:hAnsiTheme="minorEastAsia" w:eastAsiaTheme="minorEastAsia"/>
          <w:sz w:val="18"/>
          <w:szCs w:val="18"/>
        </w:rPr>
        <w:t>。</w:t>
      </w:r>
      <w:r>
        <w:rPr>
          <w:rFonts w:hint="eastAsia" w:asciiTheme="majorEastAsia" w:hAnsiTheme="majorEastAsia" w:eastAsiaTheme="majorEastAsia"/>
          <w:sz w:val="18"/>
          <w:szCs w:val="18"/>
        </w:rPr>
        <w:t>提交预约赎回申请并不代表赎回成功，产品管理人将在赎回确认日确认投资者是否赎回成功。赎回是否成功以管理人的确认结果为准</w:t>
      </w:r>
      <w:r>
        <w:rPr>
          <w:rFonts w:hint="eastAsia" w:asciiTheme="minorEastAsia" w:hAnsiTheme="minorEastAsia" w:eastAsiaTheme="minorEastAsia"/>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17"/>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赎回总金额=赎回份额×赎回日该产品份额净值</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（三）</w:t>
      </w:r>
      <w:r>
        <w:rPr>
          <w:rFonts w:hint="eastAsia" w:asciiTheme="majorEastAsia" w:hAnsiTheme="majorEastAsia" w:eastAsiaTheme="majorEastAsia"/>
          <w:b/>
          <w:color w:val="auto"/>
          <w:sz w:val="18"/>
          <w:szCs w:val="18"/>
        </w:rPr>
        <w:t>申购与赎回的原则</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日交易时间</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（四）拒绝或暂停申购的情形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（五）暂停赎回或延缓支付赎回款项的情形</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超出部分的净预约赎回申请，但投资者可于下一预约赎回期重新进行预约赎回申请；（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在发生巨额赎回产品管理人暂停接受投资者预约赎回申请时，产品管理人将依约定发布相关公告信息。</w:t>
      </w:r>
    </w:p>
    <w:p>
      <w:pPr>
        <w:pStyle w:val="17"/>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（七）日期遇非工作日的调整</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17"/>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（八）投资者持有理财份额的限额和理财产品总规模限额</w:t>
      </w:r>
    </w:p>
    <w:p>
      <w:pPr>
        <w:pStyle w:val="17"/>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75"/>
    <w:p>
      <w:pPr>
        <w:pStyle w:val="2"/>
        <w:spacing w:before="0" w:after="0" w:line="360" w:lineRule="auto"/>
        <w:jc w:val="center"/>
        <w:rPr>
          <w:rFonts w:ascii="Times New Roman"/>
          <w:sz w:val="30"/>
        </w:rPr>
      </w:pPr>
      <w:bookmarkStart w:id="81" w:name="_Toc90742321"/>
      <w:bookmarkStart w:id="82" w:name="_Toc92377134"/>
      <w:bookmarkStart w:id="83" w:name="_Toc6714"/>
      <w:bookmarkStart w:id="84" w:name="_Toc27226"/>
      <w:bookmarkStart w:id="85" w:name="_Toc74065741"/>
      <w:bookmarkStart w:id="86" w:name="_Toc15203"/>
      <w:bookmarkStart w:id="87" w:name="_Toc90742688"/>
      <w:bookmarkStart w:id="88" w:name="_Toc116984888"/>
      <w:bookmarkStart w:id="89" w:name="_Toc79154668"/>
      <w:bookmarkStart w:id="90" w:name="_Toc29948"/>
      <w:bookmarkStart w:id="91" w:name="_Toc90742390"/>
      <w:bookmarkStart w:id="92" w:name="_Toc27189"/>
      <w:bookmarkStart w:id="93" w:name="_Toc7151"/>
      <w:bookmarkStart w:id="94" w:name="_Toc16265"/>
      <w:bookmarkStart w:id="95" w:name="_Toc22074"/>
      <w:bookmarkStart w:id="96" w:name="_Toc3266"/>
      <w:bookmarkStart w:id="97" w:name="_Toc29784"/>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7"/>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17"/>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本产品主要投资范围包括但不限于（实际投资范围可根据法律法规及监管规定进行调整）：</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（1）银行存款、债券逆回购、货币基金等货币市场工具及其它银行间和交易所资金融通工具；</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（3）符合监管要求的债权类资产。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（4）以套期保值为目的的国债期货、利率互换、信用风险缓释工具、债券借贷。</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（6）其他风险不高于前述资产的资产。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 xml:space="preserve">（1）本产品投资于债权类资产的比例不低于产品总资产的80%。 </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（2）符合监管要求的非标准化债权类资产低于产品净资产的50%。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（3）国债期货、利率互换、信用风险缓释工具等衍生品占产品总资产比例低于20%。</w:t>
      </w:r>
    </w:p>
    <w:p>
      <w:pPr>
        <w:autoSpaceDE w:val="0"/>
        <w:autoSpaceDN w:val="0"/>
        <w:adjustRightInd w:val="0"/>
        <w:spacing w:line="360" w:lineRule="auto"/>
        <w:ind w:firstLine="361" w:firstLineChars="200"/>
        <w:jc w:val="left"/>
        <w:rPr>
          <w:rFonts w:asciiTheme="majorEastAsia" w:hAnsiTheme="majorEastAsia" w:eastAsiaTheme="majorEastAsia"/>
          <w:bCs/>
          <w:sz w:val="18"/>
          <w:szCs w:val="18"/>
        </w:rPr>
      </w:pPr>
      <w:r>
        <w:rPr>
          <w:rFonts w:hint="eastAsia"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.如果法律法规对本销售文件约定投资组合比例限制进行变更的，以变更后的规定为准。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17"/>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7"/>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17"/>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本</w:t>
      </w:r>
      <w:r>
        <w:rPr>
          <w:rFonts w:hint="eastAsia" w:asciiTheme="majorEastAsia" w:hAnsiTheme="majorEastAsia" w:eastAsiaTheme="majorEastAsia"/>
          <w:color w:val="auto"/>
          <w:sz w:val="18"/>
          <w:szCs w:val="18"/>
        </w:rPr>
        <w:t>产品投资单只证券或者单只公募证券投资基金的市值不得超过该理财产品净资产的</w:t>
      </w:r>
      <w:r>
        <w:rPr>
          <w:rFonts w:asciiTheme="majorEastAsia" w:hAnsiTheme="majorEastAsia" w:eastAsiaTheme="majorEastAsia"/>
          <w:color w:val="auto"/>
          <w:sz w:val="18"/>
          <w:szCs w:val="18"/>
        </w:rPr>
        <w:t>10%</w:t>
      </w:r>
      <w:r>
        <w:rPr>
          <w:rFonts w:hint="eastAsia" w:asciiTheme="majorEastAsia" w:hAnsiTheme="majorEastAsia" w:eastAsiaTheme="majorEastAsia"/>
          <w:color w:val="auto"/>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（2）本产品管理人全部公募理财产品持有单只证券或单只公募证券投资基金的市值，不得超过该证券市值或该公募证券投资基金市值的30%。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（3）本产品管理人全部理财产品持有单一上市公司发行的股票，不得超过该上市公司可流通股票的30%。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（4）本产品管理人全部开放式公募理财产品投资单一上市公司发行的股票不得超过该上市公司可流通股票的15%。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（5）本产品直接投资于流动性受限资产的市值在开放日不得超过该产品资产净值的15%。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每只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本产品每日确认且需当日支付的净赎回申请不超过前一工作日产品7个工作日可变现资产的可变现价值，银保监会另有规定的除外。在开放日前一工作日内，本产品7个工作日可变现资产的可变现价值应当不低于该产品资产净值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通过对经济基本面、企业盈利、无风险利率水平、资金面等因素进行定性和定量分析，根据产品的业绩目标和回撤目标制定各个阶段产品资产投资比例。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将密切关注股票、债券以及货币市场的运行状况与风险收益特征，综合分析宏观经济基本面、政策面、流动性、估值与供求等因素，判断金融市场运行趋势和不同资产类别的相对投资价值，对各大类资产的风险收益特征进行评估，在符合本产品相关投资比例规定的前提下，确定各类属资产的配置比例，并依据各因素的动态变化进行及时调整。</w:t>
      </w:r>
    </w:p>
    <w:p>
      <w:pPr>
        <w:pStyle w:val="7"/>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8" w:name="_Toc92377135"/>
      <w:bookmarkStart w:id="99" w:name="_Toc26986"/>
      <w:bookmarkStart w:id="100" w:name="_Toc116984889"/>
      <w:bookmarkStart w:id="101" w:name="_Toc141703885"/>
      <w:bookmarkStart w:id="102" w:name="_Toc18526"/>
      <w:bookmarkStart w:id="103" w:name="_Toc7848"/>
      <w:bookmarkStart w:id="104" w:name="_Toc21988"/>
      <w:bookmarkStart w:id="105" w:name="_Toc1823"/>
      <w:bookmarkStart w:id="106" w:name="_Toc18329"/>
      <w:bookmarkStart w:id="107" w:name="_Toc79154669"/>
      <w:bookmarkStart w:id="108" w:name="_Toc74065742"/>
      <w:bookmarkStart w:id="109" w:name="_Toc18797"/>
      <w:bookmarkStart w:id="110" w:name="_Toc17912"/>
      <w:bookmarkStart w:id="111" w:name="_Toc14893"/>
      <w:bookmarkStart w:id="112" w:name="_Toc4741"/>
      <w:bookmarkStart w:id="113" w:name="_Toc139991735"/>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spacing w:line="360" w:lineRule="auto"/>
        <w:ind w:firstLine="361" w:firstLineChars="200"/>
        <w:rPr>
          <w:rFonts w:asciiTheme="majorEastAsia" w:hAnsiTheme="majorEastAsia" w:eastAsiaTheme="majorEastAsia"/>
          <w:b/>
          <w:color w:val="auto"/>
          <w:sz w:val="18"/>
          <w:szCs w:val="18"/>
        </w:rPr>
      </w:pPr>
      <w:bookmarkStart w:id="114" w:name="_Hlk490214295"/>
      <w:r>
        <w:rPr>
          <w:rFonts w:hint="eastAsia" w:asciiTheme="majorEastAsia" w:hAnsiTheme="majorEastAsia" w:eastAsiaTheme="majorEastAsia"/>
          <w:b/>
          <w:color w:val="auto"/>
          <w:sz w:val="18"/>
          <w:szCs w:val="18"/>
        </w:rPr>
        <w:t>（一）理财产品的资产的保管和处分</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7"/>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14"/>
    <w:p>
      <w:pPr>
        <w:pStyle w:val="2"/>
        <w:spacing w:before="0" w:after="0" w:line="360" w:lineRule="auto"/>
        <w:jc w:val="center"/>
        <w:rPr>
          <w:rFonts w:ascii="Times New Roman"/>
          <w:sz w:val="28"/>
          <w:szCs w:val="28"/>
        </w:rPr>
      </w:pPr>
      <w:bookmarkStart w:id="115" w:name="_Toc116984890"/>
      <w:bookmarkStart w:id="116" w:name="_Toc83391971"/>
      <w:bookmarkStart w:id="117" w:name="_Toc92377136"/>
      <w:bookmarkStart w:id="118" w:name="_Toc1270"/>
      <w:bookmarkStart w:id="119" w:name="_Toc7920"/>
      <w:bookmarkStart w:id="120" w:name="_Toc20733"/>
      <w:bookmarkStart w:id="121" w:name="_Toc123102453"/>
      <w:bookmarkStart w:id="122" w:name="_Toc23822"/>
      <w:bookmarkStart w:id="123" w:name="_Toc10463"/>
      <w:bookmarkStart w:id="124" w:name="_Toc610"/>
      <w:bookmarkStart w:id="125" w:name="_Toc79154670"/>
      <w:bookmarkStart w:id="126" w:name="_Toc98560352"/>
      <w:bookmarkStart w:id="127" w:name="_Toc17244"/>
      <w:bookmarkStart w:id="128" w:name="_Toc123051452"/>
      <w:bookmarkStart w:id="129" w:name="_Toc1427"/>
      <w:bookmarkStart w:id="130" w:name="_Toc123112234"/>
      <w:bookmarkStart w:id="131" w:name="_Toc141703886"/>
      <w:bookmarkStart w:id="132" w:name="_Toc139991736"/>
      <w:bookmarkStart w:id="133" w:name="_Toc79392606"/>
      <w:bookmarkStart w:id="134" w:name="_Toc74065743"/>
      <w:bookmarkStart w:id="135" w:name="_Toc23261"/>
      <w:bookmarkStart w:id="136" w:name="_Toc4003"/>
      <w:bookmarkStart w:id="137" w:name="_Toc48649707"/>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115"/>
      <w:bookmarkEnd w:id="116"/>
      <w:bookmarkEnd w:id="117"/>
    </w:p>
    <w:p>
      <w:pPr>
        <w:pStyle w:val="17"/>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7"/>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，每【周】进行一次估值。如遇产品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w:t>
      </w:r>
      <w:r>
        <w:rPr>
          <w:rFonts w:cs="Times New Roman" w:asciiTheme="minorEastAsia" w:hAnsiTheme="minorEastAsia" w:eastAsiaTheme="minorEastAsia"/>
          <w:sz w:val="18"/>
          <w:szCs w:val="18"/>
        </w:rPr>
        <w:t>/赎回</w:t>
      </w:r>
      <w:r>
        <w:rPr>
          <w:rFonts w:hint="eastAsia" w:cs="Times New Roman" w:asciiTheme="minorEastAsia" w:hAnsiTheme="minorEastAsia" w:eastAsiaTheme="minorEastAsia"/>
          <w:sz w:val="18"/>
          <w:szCs w:val="18"/>
        </w:rPr>
        <w:t>日、季度末</w:t>
      </w:r>
      <w:r>
        <w:rPr>
          <w:rFonts w:cs="Times New Roman" w:asciiTheme="minorEastAsia" w:hAnsiTheme="minorEastAsia" w:eastAsiaTheme="minorEastAsia"/>
          <w:sz w:val="18"/>
          <w:szCs w:val="18"/>
        </w:rPr>
        <w:t>、半年度</w:t>
      </w:r>
      <w:r>
        <w:rPr>
          <w:rFonts w:hint="eastAsia" w:cs="Times New Roman" w:asciiTheme="minorEastAsia" w:hAnsiTheme="minorEastAsia" w:eastAsiaTheme="minorEastAsia"/>
          <w:sz w:val="18"/>
          <w:szCs w:val="18"/>
        </w:rPr>
        <w:t>末</w:t>
      </w:r>
      <w:r>
        <w:rPr>
          <w:rFonts w:cs="Times New Roman" w:asciiTheme="minorEastAsia" w:hAnsiTheme="minorEastAsia" w:eastAsiaTheme="minorEastAsia"/>
          <w:sz w:val="18"/>
          <w:szCs w:val="18"/>
        </w:rPr>
        <w:t>、年度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17"/>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17"/>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17"/>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17"/>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若无法获取净值，产品管理人可与托管人商定后，采用在当前情况下适用的估值技术确定公允价值。</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17"/>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17"/>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17"/>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17"/>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17"/>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17"/>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17"/>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17"/>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17"/>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7"/>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Pr>
        <w:pStyle w:val="2"/>
        <w:spacing w:before="0" w:after="0" w:line="360" w:lineRule="auto"/>
        <w:ind w:left="60" w:firstLine="10"/>
        <w:jc w:val="center"/>
        <w:rPr>
          <w:rFonts w:ascii="Times New Roman"/>
          <w:sz w:val="30"/>
        </w:rPr>
      </w:pPr>
      <w:bookmarkStart w:id="138" w:name="_Hlt70481650"/>
      <w:bookmarkEnd w:id="138"/>
      <w:bookmarkStart w:id="139" w:name="_Toc31653"/>
      <w:bookmarkStart w:id="140" w:name="_Toc79154671"/>
      <w:bookmarkStart w:id="141" w:name="_Toc31644"/>
      <w:bookmarkStart w:id="142" w:name="_Toc6405"/>
      <w:bookmarkStart w:id="143" w:name="_Toc98560353"/>
      <w:bookmarkStart w:id="144" w:name="_Toc15143"/>
      <w:bookmarkStart w:id="145" w:name="_Toc116984891"/>
      <w:bookmarkStart w:id="146" w:name="_Toc123102454"/>
      <w:bookmarkStart w:id="147" w:name="_Toc141703887"/>
      <w:bookmarkStart w:id="148" w:name="_Toc29251"/>
      <w:bookmarkStart w:id="149" w:name="_Toc3601"/>
      <w:bookmarkStart w:id="150" w:name="_Toc12245"/>
      <w:bookmarkStart w:id="151" w:name="_Toc123051453"/>
      <w:bookmarkStart w:id="152" w:name="_Toc139991737"/>
      <w:bookmarkStart w:id="153" w:name="_Toc31235"/>
      <w:bookmarkStart w:id="154" w:name="_Toc14835"/>
      <w:bookmarkStart w:id="155" w:name="_Toc123112235"/>
      <w:bookmarkStart w:id="156" w:name="_Toc92377137"/>
      <w:bookmarkStart w:id="157" w:name="_Toc26207"/>
      <w:bookmarkStart w:id="158" w:name="_Toc74065744"/>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Start w:id="159" w:name="_Hlt55355235"/>
      <w:bookmarkEnd w:id="159"/>
      <w:bookmarkStart w:id="160" w:name="_Toc57530239"/>
      <w:bookmarkStart w:id="161" w:name="_Toc523711668"/>
      <w:bookmarkStart w:id="162" w:name="_Toc79392580"/>
      <w:bookmarkStart w:id="163" w:name="_Toc15118234"/>
    </w:p>
    <w:p>
      <w:pPr>
        <w:pStyle w:val="17"/>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7"/>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7"/>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7"/>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7"/>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7"/>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7"/>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7"/>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7"/>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7"/>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7"/>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7"/>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7"/>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7"/>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7"/>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7"/>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7"/>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60"/>
    <w:bookmarkEnd w:id="161"/>
    <w:bookmarkEnd w:id="162"/>
    <w:bookmarkEnd w:id="163"/>
    <w:p>
      <w:pPr>
        <w:pStyle w:val="2"/>
        <w:spacing w:before="0" w:after="0" w:line="360" w:lineRule="auto"/>
        <w:jc w:val="center"/>
        <w:rPr>
          <w:rFonts w:ascii="Times New Roman"/>
          <w:sz w:val="30"/>
        </w:rPr>
      </w:pPr>
      <w:bookmarkStart w:id="164" w:name="_Hlt88897298"/>
      <w:bookmarkEnd w:id="164"/>
      <w:bookmarkStart w:id="165" w:name="_Hlt88825574"/>
      <w:bookmarkEnd w:id="165"/>
      <w:bookmarkStart w:id="166" w:name="_Toc9706"/>
      <w:bookmarkStart w:id="167" w:name="_Toc92377138"/>
      <w:bookmarkStart w:id="168" w:name="_Toc123051454"/>
      <w:bookmarkStart w:id="169" w:name="_Toc11030"/>
      <w:bookmarkStart w:id="170" w:name="_Toc116984892"/>
      <w:bookmarkStart w:id="171" w:name="_Toc79392583"/>
      <w:bookmarkStart w:id="172" w:name="_Toc7058"/>
      <w:bookmarkStart w:id="173" w:name="_Toc25783"/>
      <w:bookmarkStart w:id="174" w:name="_Toc123112236"/>
      <w:bookmarkStart w:id="175" w:name="_Toc123102455"/>
      <w:bookmarkStart w:id="176" w:name="_Toc139991738"/>
      <w:bookmarkStart w:id="177" w:name="_Toc6447"/>
      <w:bookmarkStart w:id="178" w:name="_Toc79154672"/>
      <w:bookmarkStart w:id="179" w:name="_Toc141703888"/>
      <w:bookmarkStart w:id="180" w:name="_Toc4559"/>
      <w:bookmarkStart w:id="181" w:name="_Toc10650"/>
      <w:bookmarkStart w:id="182" w:name="_Toc18567"/>
      <w:bookmarkStart w:id="183" w:name="_Toc3321"/>
      <w:bookmarkStart w:id="184" w:name="_Toc98560354"/>
      <w:bookmarkStart w:id="185" w:name="_Toc74065745"/>
      <w:bookmarkStart w:id="186" w:name="_Toc3771"/>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14"/>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7"/>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业绩报酬计提基准的设置、超额业绩报酬的具体比例数值以《产品说明书》“第二条 理财产品基本情况”为准。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③在每个投资周期赎回日提取超额业绩报酬的，超额业绩报酬从理财资金中扣除；在产品终止日提取超额业绩报酬的，超额业绩报酬从清算资金中扣除。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每份产品份额超额业绩报酬每日计提，每个投资周期赎回日或产品终止日结算。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产品管理人对每份产品份额当前年化收益率（R）超过当前业绩报酬计提基准的部分，按比例（N）以及该份产品份额当前投资周期天数（D）提取超额业绩报酬，计算方法如下：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当R＞当前业绩报酬计提基准，超额业绩报酬=投资者持有的产品份额数量×产品成立日或当前投资周期产品份额申购日的产品份额净值×（R-当前业绩报酬计提基准）×N×D/365。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7"/>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7"/>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17"/>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7"/>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87" w:name="_Toc3963"/>
      <w:bookmarkStart w:id="188" w:name="_Toc1745"/>
      <w:r>
        <w:br w:type="page"/>
      </w:r>
      <w:bookmarkStart w:id="189" w:name="_Toc123102456"/>
      <w:bookmarkStart w:id="190" w:name="_Toc123112237"/>
      <w:bookmarkStart w:id="191" w:name="_Toc10398"/>
      <w:bookmarkStart w:id="192" w:name="_Toc725"/>
      <w:bookmarkStart w:id="193" w:name="_Toc139991739"/>
      <w:bookmarkStart w:id="194" w:name="_Toc141703889"/>
      <w:bookmarkStart w:id="195" w:name="_Toc116984893"/>
      <w:bookmarkStart w:id="196" w:name="_Toc98560355"/>
      <w:bookmarkStart w:id="197" w:name="_Toc16164"/>
      <w:bookmarkStart w:id="198" w:name="_Toc74065746"/>
      <w:bookmarkStart w:id="199" w:name="_Toc21735"/>
      <w:bookmarkStart w:id="200" w:name="_Toc3572"/>
      <w:bookmarkStart w:id="201" w:name="_Toc79154673"/>
      <w:bookmarkStart w:id="202" w:name="_Toc92377139"/>
      <w:bookmarkStart w:id="203" w:name="_Toc3080"/>
      <w:bookmarkStart w:id="204" w:name="_Toc31821"/>
      <w:bookmarkStart w:id="205" w:name="_Toc18206"/>
      <w:bookmarkStart w:id="206" w:name="_Toc123051455"/>
      <w:r>
        <w:rPr>
          <w:rFonts w:hint="eastAsia"/>
          <w:sz w:val="30"/>
        </w:rPr>
        <w:t>第十条</w:t>
      </w:r>
      <w:r>
        <w:rPr>
          <w:sz w:val="30"/>
        </w:rPr>
        <w:t xml:space="preserve">  </w:t>
      </w:r>
      <w:r>
        <w:rPr>
          <w:rFonts w:hint="eastAsia"/>
          <w:sz w:val="30"/>
        </w:rPr>
        <w:t>理财产品的终止与清算</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360" w:lineRule="auto"/>
        <w:ind w:firstLine="361" w:firstLineChars="200"/>
        <w:rPr>
          <w:rFonts w:asciiTheme="majorEastAsia" w:hAnsiTheme="majorEastAsia" w:eastAsiaTheme="majorEastAsia"/>
          <w:b/>
          <w:bCs/>
          <w:sz w:val="18"/>
          <w:szCs w:val="18"/>
        </w:rPr>
      </w:pPr>
      <w:bookmarkStart w:id="207" w:name="_Toc57530252"/>
      <w:bookmarkStart w:id="208" w:name="_Toc79392593"/>
      <w:bookmarkStart w:id="209"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207"/>
    <w:bookmarkEnd w:id="208"/>
    <w:bookmarkEnd w:id="209"/>
    <w:p>
      <w:pPr>
        <w:pStyle w:val="2"/>
        <w:spacing w:before="0" w:after="0" w:line="360" w:lineRule="auto"/>
        <w:jc w:val="center"/>
        <w:rPr>
          <w:rFonts w:ascii="Times New Roman"/>
          <w:sz w:val="18"/>
          <w:szCs w:val="18"/>
        </w:rPr>
      </w:pPr>
      <w:r>
        <w:rPr>
          <w:rFonts w:ascii="Times New Roman"/>
          <w:b w:val="0"/>
          <w:bCs w:val="0"/>
          <w:kern w:val="2"/>
        </w:rPr>
        <w:br w:type="page"/>
      </w:r>
      <w:bookmarkStart w:id="210" w:name="_Toc92377140"/>
      <w:bookmarkStart w:id="211" w:name="_Toc116984894"/>
      <w:bookmarkStart w:id="212" w:name="_Toc74065747"/>
      <w:bookmarkStart w:id="213" w:name="_Toc17920"/>
      <w:bookmarkStart w:id="214" w:name="_Toc48649708"/>
      <w:bookmarkStart w:id="215" w:name="_Toc123112238"/>
      <w:bookmarkStart w:id="216" w:name="_Toc3329"/>
      <w:bookmarkStart w:id="217" w:name="_Toc17198"/>
      <w:bookmarkStart w:id="218" w:name="_Toc739"/>
      <w:bookmarkStart w:id="219" w:name="_Toc8791"/>
      <w:bookmarkStart w:id="220" w:name="_Toc79392622"/>
      <w:bookmarkStart w:id="221" w:name="_Toc32092"/>
      <w:bookmarkStart w:id="222" w:name="_Toc141703890"/>
      <w:bookmarkStart w:id="223" w:name="_Toc5170"/>
      <w:bookmarkStart w:id="224" w:name="_Toc123051456"/>
      <w:bookmarkStart w:id="225" w:name="_Toc79154674"/>
      <w:bookmarkStart w:id="226" w:name="_Toc139991740"/>
      <w:bookmarkStart w:id="227" w:name="_Toc83391975"/>
      <w:bookmarkStart w:id="228" w:name="_Toc98560356"/>
      <w:bookmarkStart w:id="229" w:name="_Toc32584"/>
      <w:bookmarkStart w:id="230" w:name="_Toc21237"/>
      <w:bookmarkStart w:id="231" w:name="_Toc29408"/>
      <w:bookmarkStart w:id="232" w:name="_Toc123102457"/>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210"/>
      <w:bookmarkEnd w:id="211"/>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cs="Times New Roman" w:asciiTheme="minorEastAsia" w:hAnsiTheme="minorEastAsia" w:eastAsiaTheme="minorEastAsia"/>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将同步更新产品说明书中的业绩比较基准（如有）、业绩报酬计提基准（如有），以明确列示下一个完整投资周期对应的业绩比较基准（如有）、业绩报酬计提基准（如有）。</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Pr>
        <w:spacing w:line="360" w:lineRule="auto"/>
        <w:rPr>
          <w:bCs/>
          <w:sz w:val="24"/>
        </w:rPr>
      </w:pPr>
      <w:r>
        <w:rPr>
          <w:sz w:val="24"/>
        </w:rPr>
        <w:br w:type="page"/>
      </w:r>
    </w:p>
    <w:p>
      <w:pPr>
        <w:pStyle w:val="2"/>
        <w:spacing w:before="0" w:after="0" w:line="360" w:lineRule="auto"/>
        <w:jc w:val="center"/>
        <w:rPr>
          <w:rFonts w:ascii="Times New Roman"/>
          <w:b w:val="0"/>
          <w:sz w:val="30"/>
        </w:rPr>
      </w:pPr>
      <w:bookmarkStart w:id="233" w:name="_Toc116984895"/>
      <w:bookmarkStart w:id="234" w:name="_Toc79154675"/>
      <w:bookmarkStart w:id="235" w:name="_Toc92377141"/>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33"/>
      <w:bookmarkEnd w:id="234"/>
      <w:bookmarkEnd w:id="23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（2）投资权益类资产的风险 </w:t>
      </w:r>
    </w:p>
    <w:p>
      <w:pPr>
        <w:spacing w:line="360" w:lineRule="auto"/>
        <w:ind w:firstLine="360" w:firstLineChars="200"/>
        <w:rPr>
          <w:rFonts w:ascii="宋体" w:hAnsi="宋体"/>
          <w:sz w:val="18"/>
          <w:szCs w:val="18"/>
        </w:rPr>
      </w:pPr>
      <w:r>
        <w:rPr>
          <w:rFonts w:hint="eastAsia" w:ascii="宋体" w:hAnsi="宋体"/>
          <w:sz w:val="18"/>
          <w:szCs w:val="18"/>
        </w:rPr>
        <w:t>1）投资股票类资产的风险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2）投资股权类资产的风险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（3）投资商品和金融衍生品类资产的风险 </w:t>
      </w:r>
    </w:p>
    <w:p>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5"/>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17"/>
        <w:spacing w:line="360" w:lineRule="auto"/>
        <w:rPr>
          <w:rFonts w:hAnsi="宋体"/>
          <w:sz w:val="18"/>
          <w:szCs w:val="18"/>
        </w:rPr>
      </w:pPr>
    </w:p>
    <w:p>
      <w:pPr>
        <w:spacing w:line="360" w:lineRule="auto"/>
        <w:jc w:val="left"/>
        <w:rPr>
          <w:rFonts w:hint="eastAsia" w:ascii="宋体" w:hAnsi="宋体"/>
          <w:b/>
          <w:sz w:val="18"/>
          <w:szCs w:val="18"/>
        </w:rPr>
        <w:sectPr>
          <w:headerReference r:id="rId5" w:type="default"/>
          <w:footerReference r:id="rId6" w:type="default"/>
          <w:pgSz w:w="11906" w:h="16838"/>
          <w:pgMar w:top="1276" w:right="1800" w:bottom="1418" w:left="1800" w:header="567" w:footer="850" w:gutter="0"/>
          <w:pgNumType w:start="1"/>
          <w:cols w:space="425" w:num="1"/>
          <w:docGrid w:type="lines" w:linePitch="312" w:charSpace="0"/>
        </w:sectPr>
      </w:pPr>
    </w:p>
    <w:p>
      <w:pPr>
        <w:widowControl/>
        <w:spacing w:before="156"/>
        <w:jc w:val="center"/>
        <w:rPr>
          <w:rFonts w:ascii="黑体" w:hAnsi="黑体" w:eastAsia="黑体"/>
          <w:b/>
          <w:sz w:val="28"/>
          <w:szCs w:val="28"/>
        </w:rPr>
      </w:pPr>
      <w:r>
        <w:rPr>
          <w:rFonts w:hint="eastAsia" w:ascii="黑体" w:hAnsi="黑体" w:eastAsia="黑体"/>
          <w:b/>
          <w:sz w:val="28"/>
          <w:szCs w:val="28"/>
        </w:rPr>
        <w:t>兴银理财【天天万利宝稳利净值型】理财产品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9"/>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7"/>
              <w:jc w:val="both"/>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sym w:font="Wingdings 2" w:char="0052"/>
      </w:r>
      <w:r>
        <w:rPr>
          <w:rFonts w:ascii="黑体" w:hAnsi="黑体" w:eastAsia="黑体"/>
          <w:bCs/>
          <w:sz w:val="18"/>
          <w:szCs w:val="18"/>
        </w:rPr>
        <w:t xml:space="preserve"> </w:t>
      </w:r>
      <w:r>
        <w:rPr>
          <w:rFonts w:hint="eastAsia" w:ascii="黑体" w:hAnsi="黑体" w:eastAsia="黑体" w:cs="仿宋_GB2312"/>
          <w:kern w:val="0"/>
          <w:sz w:val="18"/>
          <w:szCs w:val="18"/>
        </w:rPr>
        <w:t>代销适用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cs="仿宋_GB2312"/>
          <w:kern w:val="0"/>
          <w:sz w:val="18"/>
          <w:szCs w:val="18"/>
          <w:lang w:val="en-US" w:eastAsia="zh-CN"/>
        </w:rPr>
        <w:t>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7"/>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10"/>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7" w:type="default"/>
          <w:footerReference r:id="rId8"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兴银理财天天万利宝稳利净值型</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兴业银行天天万利宝稳利6号H款净值型理财产品</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宋体" w:hAnsi="宋体"/>
          <w:bCs/>
          <w:color w:val="000000" w:themeColor="text1"/>
          <w:sz w:val="18"/>
          <w:szCs w:val="18"/>
          <w14:textFill>
            <w14:solidFill>
              <w14:schemeClr w14:val="tx1"/>
            </w14:solidFill>
          </w14:textFill>
        </w:rPr>
      </w:pPr>
      <w:r>
        <w:rPr>
          <w:rFonts w:hint="eastAsia" w:ascii="宋体" w:hAnsi="宋体"/>
          <w:bCs/>
          <w:sz w:val="18"/>
          <w:szCs w:val="18"/>
        </w:rPr>
        <w:t>【稳利恒盈6号H款 9个月A】</w:t>
      </w:r>
      <w:r>
        <w:rPr>
          <w:rFonts w:hint="eastAsia" w:ascii="宋体" w:hAnsi="宋体"/>
          <w:bCs/>
          <w:color w:val="000000" w:themeColor="text1"/>
          <w:sz w:val="18"/>
          <w:szCs w:val="18"/>
          <w14:textFill>
            <w14:solidFill>
              <w14:schemeClr w14:val="tx1"/>
            </w14:solidFill>
          </w14:textFill>
        </w:rPr>
        <w:t>（适用【A】类份额</w:t>
      </w:r>
      <w:r>
        <w:rPr>
          <w:rFonts w:ascii="宋体" w:hAnsi="宋体"/>
          <w:bCs/>
          <w:color w:val="000000" w:themeColor="text1"/>
          <w:sz w:val="18"/>
          <w:szCs w:val="18"/>
          <w14:textFill>
            <w14:solidFill>
              <w14:schemeClr w14:val="tx1"/>
            </w14:solidFill>
          </w14:textFill>
        </w:rPr>
        <w:t>）</w:t>
      </w:r>
    </w:p>
    <w:p>
      <w:pPr>
        <w:ind w:firstLine="448" w:firstLineChars="249"/>
        <w:rPr>
          <w:rFonts w:ascii="宋体" w:hAnsi="宋体"/>
          <w:bCs/>
          <w:color w:val="000000" w:themeColor="text1"/>
          <w:sz w:val="18"/>
          <w:szCs w:val="18"/>
          <w14:textFill>
            <w14:solidFill>
              <w14:schemeClr w14:val="tx1"/>
            </w14:solidFill>
          </w14:textFill>
        </w:rPr>
      </w:pPr>
      <w:r>
        <w:rPr>
          <w:rFonts w:hint="eastAsia" w:ascii="宋体" w:hAnsi="宋体"/>
          <w:bCs/>
          <w:sz w:val="18"/>
          <w:szCs w:val="18"/>
        </w:rPr>
        <w:t>【稳利恒盈6号H款 9个月</w:t>
      </w:r>
      <w:r>
        <w:rPr>
          <w:rFonts w:ascii="宋体" w:hAnsi="宋体"/>
          <w:bCs/>
          <w:sz w:val="18"/>
          <w:szCs w:val="18"/>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ind w:firstLine="448" w:firstLineChars="249"/>
        <w:rPr>
          <w:rFonts w:ascii="宋体" w:hAnsi="宋体" w:cs="仿宋_GB2312"/>
          <w:kern w:val="0"/>
          <w:sz w:val="18"/>
          <w:szCs w:val="18"/>
        </w:rPr>
      </w:pPr>
      <w:r>
        <w:rPr>
          <w:rFonts w:hint="eastAsia" w:ascii="宋体" w:hAnsi="宋体"/>
          <w:bCs/>
          <w:sz w:val="18"/>
          <w:szCs w:val="18"/>
        </w:rPr>
        <w:t>【稳利恒盈6号H款 9个月</w:t>
      </w:r>
      <w:r>
        <w:rPr>
          <w:rFonts w:ascii="宋体" w:hAnsi="宋体"/>
          <w:bCs/>
          <w:sz w:val="18"/>
          <w:szCs w:val="18"/>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kern w:val="0"/>
          <w:sz w:val="18"/>
          <w:szCs w:val="18"/>
        </w:rPr>
        <w:t>）</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Z7002021000096</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有固定期限：【】</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2】</w:t>
      </w:r>
      <w:r>
        <w:rPr>
          <w:rFonts w:hint="eastAsia" w:ascii="宋体" w:hAnsi="宋体" w:cs="仿宋_GB2312"/>
          <w:kern w:val="0"/>
          <w:sz w:val="18"/>
          <w:szCs w:val="18"/>
        </w:rPr>
        <w:t>（产品管理人定义的产品风险评级为【R</w:t>
      </w:r>
      <w:r>
        <w:rPr>
          <w:rFonts w:ascii="宋体" w:hAnsi="宋体" w:cs="仿宋_GB2312"/>
          <w:kern w:val="0"/>
          <w:sz w:val="18"/>
          <w:szCs w:val="18"/>
        </w:rPr>
        <w:t>2】</w:t>
      </w:r>
      <w:r>
        <w:rPr>
          <w:rFonts w:hint="eastAsia" w:ascii="宋体" w:hAnsi="宋体" w:cs="仿宋_GB2312"/>
          <w:kern w:val="0"/>
          <w:sz w:val="18"/>
          <w:szCs w:val="18"/>
        </w:rPr>
        <w:t>；代理销售机构定义的产品风险评级为【R</w:t>
      </w:r>
      <w:r>
        <w:rPr>
          <w:rFonts w:ascii="宋体" w:hAnsi="宋体" w:cs="仿宋_GB2312"/>
          <w:kern w:val="0"/>
          <w:sz w:val="18"/>
          <w:szCs w:val="18"/>
        </w:rPr>
        <w:t>2</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5"/>
        <w:ind w:firstLine="360"/>
        <w:rPr>
          <w:rFonts w:ascii="宋体" w:hAnsi="宋体"/>
          <w:sz w:val="18"/>
          <w:szCs w:val="18"/>
        </w:rPr>
      </w:pPr>
      <w:r>
        <w:rPr>
          <w:rFonts w:hint="eastAsia" w:ascii="宋体" w:hAnsi="宋体"/>
          <w:sz w:val="18"/>
          <w:szCs w:val="18"/>
        </w:rPr>
        <w:t>1.拟投资市场和资产的风险：</w:t>
      </w:r>
    </w:p>
    <w:p>
      <w:pPr>
        <w:pStyle w:val="15"/>
        <w:ind w:firstLine="360"/>
        <w:rPr>
          <w:rFonts w:ascii="宋体" w:hAnsi="宋体"/>
          <w:sz w:val="18"/>
          <w:szCs w:val="18"/>
        </w:rPr>
      </w:pPr>
      <w:r>
        <w:rPr>
          <w:rFonts w:hint="eastAsia" w:ascii="宋体" w:hAnsi="宋体"/>
          <w:sz w:val="18"/>
          <w:szCs w:val="18"/>
        </w:rPr>
        <w:t>（1）投资债权类资产的风险</w:t>
      </w:r>
    </w:p>
    <w:p>
      <w:pPr>
        <w:pStyle w:val="15"/>
        <w:ind w:firstLine="360"/>
        <w:rPr>
          <w:rFonts w:ascii="宋体" w:hAnsi="宋体"/>
          <w:sz w:val="18"/>
          <w:szCs w:val="18"/>
        </w:rPr>
      </w:pPr>
      <w:r>
        <w:rPr>
          <w:rFonts w:hint="eastAsia" w:ascii="宋体" w:hAnsi="宋体"/>
          <w:sz w:val="18"/>
          <w:szCs w:val="18"/>
        </w:rPr>
        <w:t>1）投资标准化债权类资产的风险</w:t>
      </w:r>
    </w:p>
    <w:p>
      <w:pPr>
        <w:pStyle w:val="15"/>
        <w:ind w:firstLine="36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5"/>
        <w:ind w:firstLine="360"/>
        <w:rPr>
          <w:rFonts w:ascii="宋体" w:hAnsi="宋体"/>
          <w:sz w:val="18"/>
          <w:szCs w:val="18"/>
        </w:rPr>
      </w:pPr>
      <w:r>
        <w:rPr>
          <w:rFonts w:hint="eastAsia" w:ascii="宋体" w:hAnsi="宋体"/>
          <w:sz w:val="18"/>
          <w:szCs w:val="18"/>
        </w:rPr>
        <w:t>2）投资非标准化债权类资产的风险</w:t>
      </w:r>
    </w:p>
    <w:p>
      <w:pPr>
        <w:pStyle w:val="15"/>
        <w:ind w:firstLine="36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5"/>
        <w:ind w:firstLine="360"/>
        <w:rPr>
          <w:rFonts w:ascii="宋体" w:hAnsi="宋体"/>
          <w:sz w:val="18"/>
          <w:szCs w:val="18"/>
        </w:rPr>
      </w:pPr>
      <w:r>
        <w:rPr>
          <w:rFonts w:hint="eastAsia" w:ascii="宋体" w:hAnsi="宋体"/>
          <w:sz w:val="18"/>
          <w:szCs w:val="18"/>
        </w:rPr>
        <w:t xml:space="preserve">（2）投资权益类资产的风险 </w:t>
      </w:r>
    </w:p>
    <w:p>
      <w:pPr>
        <w:pStyle w:val="15"/>
        <w:ind w:firstLine="360"/>
        <w:rPr>
          <w:rFonts w:ascii="宋体" w:hAnsi="宋体"/>
          <w:sz w:val="18"/>
          <w:szCs w:val="18"/>
        </w:rPr>
      </w:pPr>
      <w:r>
        <w:rPr>
          <w:rFonts w:hint="eastAsia" w:ascii="宋体" w:hAnsi="宋体"/>
          <w:sz w:val="18"/>
          <w:szCs w:val="18"/>
        </w:rPr>
        <w:t>1）投资股票类资产的风险</w:t>
      </w:r>
    </w:p>
    <w:p>
      <w:pPr>
        <w:pStyle w:val="15"/>
        <w:ind w:firstLine="360"/>
        <w:rPr>
          <w:rFonts w:ascii="宋体" w:hAnsi="宋体"/>
          <w:sz w:val="18"/>
          <w:szCs w:val="18"/>
        </w:rPr>
      </w:pPr>
      <w:r>
        <w:rPr>
          <w:rFonts w:hint="eastAsia" w:ascii="宋体" w:hAnsi="宋体"/>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pStyle w:val="15"/>
        <w:ind w:firstLine="360"/>
        <w:rPr>
          <w:rFonts w:ascii="宋体" w:hAnsi="宋体"/>
          <w:sz w:val="18"/>
          <w:szCs w:val="18"/>
        </w:rPr>
      </w:pPr>
      <w:r>
        <w:rPr>
          <w:rFonts w:hint="eastAsia" w:ascii="宋体" w:hAnsi="宋体"/>
          <w:sz w:val="18"/>
          <w:szCs w:val="18"/>
        </w:rPr>
        <w:t>2）投资股权类资产的风险</w:t>
      </w:r>
    </w:p>
    <w:p>
      <w:pPr>
        <w:pStyle w:val="15"/>
        <w:ind w:firstLine="360"/>
        <w:rPr>
          <w:rFonts w:ascii="宋体" w:hAnsi="宋体"/>
          <w:sz w:val="18"/>
          <w:szCs w:val="18"/>
        </w:rPr>
      </w:pPr>
      <w:r>
        <w:rPr>
          <w:rFonts w:hint="eastAsia" w:ascii="宋体" w:hAnsi="宋体"/>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pStyle w:val="15"/>
        <w:ind w:firstLine="360"/>
        <w:rPr>
          <w:rFonts w:ascii="宋体" w:hAnsi="宋体"/>
          <w:sz w:val="18"/>
          <w:szCs w:val="18"/>
        </w:rPr>
      </w:pPr>
      <w:r>
        <w:rPr>
          <w:rFonts w:hint="eastAsia" w:ascii="宋体" w:hAnsi="宋体"/>
          <w:sz w:val="18"/>
          <w:szCs w:val="18"/>
        </w:rPr>
        <w:t xml:space="preserve">（3）投资商品和金融衍生品类资产的风险 </w:t>
      </w:r>
    </w:p>
    <w:p>
      <w:pPr>
        <w:pStyle w:val="15"/>
        <w:ind w:firstLine="360"/>
        <w:rPr>
          <w:rFonts w:ascii="宋体" w:hAnsi="宋体"/>
          <w:bCs/>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bCs/>
          <w:sz w:val="18"/>
          <w:szCs w:val="18"/>
        </w:rPr>
        <w:t>。</w:t>
      </w:r>
    </w:p>
    <w:p>
      <w:pPr>
        <w:pStyle w:val="15"/>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5"/>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5"/>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5"/>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5"/>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5"/>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5"/>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5"/>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5"/>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5"/>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15"/>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5"/>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5"/>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5"/>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5"/>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5"/>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5"/>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5"/>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5"/>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5"/>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5"/>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5"/>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5"/>
        <w:ind w:firstLineChars="0"/>
        <w:rPr>
          <w:rFonts w:ascii="宋体" w:hAnsi="宋体"/>
          <w:b/>
          <w:bCs/>
          <w:sz w:val="18"/>
          <w:szCs w:val="18"/>
        </w:rPr>
      </w:pPr>
      <w:r>
        <w:rPr>
          <w:rFonts w:hint="eastAsia" w:ascii="宋体" w:hAnsi="宋体"/>
          <w:b/>
          <w:bCs/>
          <w:sz w:val="18"/>
          <w:szCs w:val="18"/>
        </w:rPr>
        <w:t>17.关联交易风险</w:t>
      </w:r>
    </w:p>
    <w:p>
      <w:pPr>
        <w:pStyle w:val="15"/>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福建省农村信用社联合社</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10"/>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10"/>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兴银理财天天万利宝稳利净值型理财产品</w:t>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7"/>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宋体" w:hAnsi="宋体"/>
          <w:sz w:val="18"/>
          <w:szCs w:val="18"/>
          <w:lang w:val="en-US" w:eastAsia="zh-CN"/>
        </w:rPr>
        <w:t>福建省农村信用社联合社</w:t>
      </w:r>
      <w:r>
        <w:rPr>
          <w:rFonts w:hint="eastAsia" w:ascii="宋体" w:hAnsi="宋体"/>
          <w:sz w:val="18"/>
          <w:szCs w:val="18"/>
        </w:rPr>
        <w:t>】以(□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hint="eastAsia" w:ascii="宋体" w:hAnsi="宋体"/>
          <w:sz w:val="18"/>
          <w:szCs w:val="18"/>
        </w:rPr>
      </w:pPr>
      <w:r>
        <w:rPr>
          <w:rFonts w:hint="eastAsia" w:ascii="宋体" w:hAnsi="宋体"/>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17"/>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13"/>
          <w:rFonts w:hint="eastAsia" w:ascii="宋体" w:hAnsi="宋体"/>
          <w:sz w:val="18"/>
          <w:szCs w:val="18"/>
        </w:rPr>
        <w:t>9</w:t>
      </w:r>
      <w:r>
        <w:rPr>
          <w:rStyle w:val="13"/>
          <w:rFonts w:ascii="宋体" w:hAnsi="宋体"/>
          <w:sz w:val="18"/>
          <w:szCs w:val="18"/>
        </w:rPr>
        <w:t>5561</w:t>
      </w:r>
      <w:r>
        <w:rPr>
          <w:rStyle w:val="13"/>
          <w:rFonts w:hint="eastAsia" w:ascii="宋体" w:hAnsi="宋体"/>
          <w:sz w:val="18"/>
          <w:szCs w:val="18"/>
        </w:rPr>
        <w:t>@</w:t>
      </w:r>
      <w:r>
        <w:rPr>
          <w:rStyle w:val="13"/>
          <w:rFonts w:asciiTheme="minorEastAsia" w:hAnsiTheme="minorEastAsia"/>
          <w:sz w:val="18"/>
          <w:szCs w:val="18"/>
        </w:rPr>
        <w:t>cib.com.cn</w:t>
      </w:r>
      <w:r>
        <w:rPr>
          <w:rStyle w:val="13"/>
          <w:rFonts w:hint="eastAsia" w:ascii="宋体" w:hAnsi="宋体"/>
          <w:sz w:val="18"/>
          <w:szCs w:val="18"/>
        </w:rPr>
        <w:t>】</w:t>
      </w:r>
      <w:r>
        <w:rPr>
          <w:rStyle w:val="13"/>
          <w:rFonts w:hint="eastAsia" w:ascii="宋体" w:hAnsi="宋体"/>
          <w:sz w:val="18"/>
          <w:szCs w:val="18"/>
        </w:rPr>
        <w:fldChar w:fldCharType="end"/>
      </w:r>
      <w:r>
        <w:rPr>
          <w:rFonts w:hint="eastAsia" w:ascii="宋体" w:hAnsi="宋体"/>
          <w:sz w:val="18"/>
          <w:szCs w:val="18"/>
        </w:rPr>
        <w:t>。</w:t>
      </w:r>
    </w:p>
    <w:p>
      <w:pPr>
        <w:numPr>
          <w:numId w:val="0"/>
        </w:numPr>
        <w:autoSpaceDE w:val="0"/>
        <w:autoSpaceDN w:val="0"/>
        <w:adjustRightInd w:val="0"/>
        <w:spacing w:line="280" w:lineRule="atLeast"/>
        <w:ind w:firstLine="360" w:firstLineChars="200"/>
        <w:jc w:val="left"/>
        <w:rPr>
          <w:rFonts w:hint="eastAsia" w:ascii="宋体" w:hAnsi="宋体"/>
          <w:sz w:val="18"/>
          <w:szCs w:val="18"/>
        </w:rPr>
      </w:pPr>
      <w:bookmarkStart w:id="236" w:name="_GoBack"/>
      <w:bookmarkEnd w:id="236"/>
      <w:r>
        <w:rPr>
          <w:rFonts w:hint="eastAsia" w:ascii="宋体" w:hAnsi="宋体"/>
          <w:sz w:val="18"/>
          <w:szCs w:val="18"/>
        </w:rPr>
        <w:t>3、销售机构：通过【福建省农村信用社联合社】（作为销售服务机构）购买本产品的，请联系【福建省农村信用社联合社】，【福建省农村信用社联合社】客户服务热线：【0591-96336】；【福建省农村信用社联合社】门户网站：【www.fjnx.com.cn】。</w:t>
      </w:r>
    </w:p>
    <w:p>
      <w:pPr>
        <w:autoSpaceDE w:val="0"/>
        <w:autoSpaceDN w:val="0"/>
        <w:adjustRightInd w:val="0"/>
        <w:jc w:val="left"/>
        <w:rPr>
          <w:rFonts w:ascii="仿宋_GB2312" w:eastAsia="仿宋_GB2312" w:cs="仿宋_GB2312"/>
          <w:color w:val="000000"/>
          <w:kern w:val="0"/>
          <w:sz w:val="24"/>
          <w:szCs w:val="24"/>
        </w:rPr>
      </w:pP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12"/>
          <w:rFonts w:ascii="黑体" w:hAnsi="黑体" w:eastAsia="黑体"/>
          <w:sz w:val="28"/>
          <w:szCs w:val="28"/>
        </w:rPr>
      </w:pPr>
      <w:r>
        <w:rPr>
          <w:rStyle w:val="12"/>
          <w:rFonts w:hint="eastAsia" w:ascii="黑体" w:hAnsi="黑体" w:eastAsia="黑体"/>
          <w:sz w:val="28"/>
          <w:szCs w:val="28"/>
        </w:rPr>
        <w:t>兴银理财天天万利宝稳利净值型理财产品</w:t>
      </w:r>
    </w:p>
    <w:p>
      <w:pPr>
        <w:adjustRightInd w:val="0"/>
        <w:spacing w:line="280" w:lineRule="atLeast"/>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7"/>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9"/>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兴银理财天天万利宝稳利净值型理财产品</w:t>
      </w:r>
    </w:p>
    <w:p>
      <w:pPr>
        <w:adjustRightInd w:val="0"/>
        <w:spacing w:line="276" w:lineRule="auto"/>
        <w:jc w:val="center"/>
        <w:rPr>
          <w:rStyle w:val="12"/>
          <w:rFonts w:ascii="黑体" w:hAnsi="黑体" w:eastAsia="黑体"/>
          <w:sz w:val="28"/>
          <w:szCs w:val="28"/>
        </w:rPr>
      </w:pPr>
      <w:r>
        <w:rPr>
          <w:rStyle w:val="12"/>
          <w:rFonts w:hint="eastAsia" w:ascii="黑体" w:hAnsi="黑体" w:eastAsia="黑体"/>
          <w:sz w:val="28"/>
          <w:szCs w:val="28"/>
        </w:rPr>
        <w:t>投资者权益须知</w:t>
      </w:r>
    </w:p>
    <w:p>
      <w:pPr>
        <w:pStyle w:val="17"/>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spacing w:line="360" w:lineRule="auto"/>
        <w:jc w:val="left"/>
        <w:rPr>
          <w:rFonts w:hint="eastAsia" w:ascii="宋体" w:hAnsi="宋体"/>
          <w:b/>
          <w:sz w:val="18"/>
          <w:szCs w:val="18"/>
        </w:rPr>
      </w:pPr>
    </w:p>
    <w:sectPr>
      <w:headerReference r:id="rId11" w:type="default"/>
      <w:footerReference r:id="rId12"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5</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4"/>
          <w:jc w:val="center"/>
        </w:pPr>
        <w:r>
          <w:fldChar w:fldCharType="begin"/>
        </w:r>
        <w:r>
          <w:instrText xml:space="preserve"> PAGE   \* MERGEFORMAT </w:instrText>
        </w:r>
        <w:r>
          <w:fldChar w:fldCharType="separate"/>
        </w:r>
        <w:r>
          <w:rPr>
            <w:lang w:val="zh-CN"/>
          </w:rPr>
          <w:t>41</w:t>
        </w:r>
        <w:r>
          <w:fldChar w:fldCharType="end"/>
        </w:r>
      </w:p>
    </w:sdtContent>
  </w:sdt>
  <w:p>
    <w:pPr>
      <w:pStyle w:val="3"/>
      <w:jc w:val="both"/>
      <w:rPr>
        <w:rFonts w:ascii="黑体" w:hAnsi="黑体" w:eastAsia="黑体"/>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4442659"/>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rPr>
    </w:pPr>
    <w:r>
      <w:rPr>
        <w:rFonts w:hint="eastAsia"/>
        <w:b/>
      </w:rPr>
      <w:t>投资协议书</w:t>
    </w:r>
  </w:p>
  <w:p>
    <w:pPr>
      <w:pStyle w:val="5"/>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b/>
        <w:szCs w:val="20"/>
      </w:rPr>
    </w:pPr>
    <w:r>
      <w:rPr>
        <w:rFonts w:hint="eastAsia"/>
      </w:rPr>
      <w:t xml:space="preserve"> </w:t>
    </w:r>
    <w:r>
      <w:rPr>
        <w:rFonts w:hint="eastAsia" w:ascii="Times New Roman" w:hAnsi="Times New Roman" w:cs="Times New Roman"/>
        <w:b/>
        <w:szCs w:val="20"/>
      </w:rPr>
      <w:t>产品说明书</w:t>
    </w:r>
  </w:p>
  <w:p>
    <w:pPr>
      <w:pStyle w:val="5"/>
      <w:jc w:val="right"/>
      <w:rPr>
        <w:rFonts w:ascii="Times New Roman" w:hAnsi="Times New Roman" w:cs="Times New Roman"/>
        <w:b/>
        <w:szCs w:val="20"/>
      </w:rPr>
    </w:pPr>
    <w:r>
      <w:rPr>
        <w:rFonts w:hint="eastAsia" w:ascii="Times New Roman" w:hAnsi="Times New Roman" w:cs="Times New Roman"/>
        <w:b/>
        <w:szCs w:val="20"/>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324B6B"/>
    <w:rsid w:val="601C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annotation text"/>
    <w:basedOn w:val="1"/>
    <w:qFormat/>
    <w:uiPriority w:val="99"/>
    <w:pPr>
      <w:widowControl/>
      <w:jc w:val="left"/>
    </w:pPr>
    <w:rPr>
      <w:rFonts w:ascii="宋体" w:hAnsi="宋体"/>
      <w:kern w:val="0"/>
      <w:sz w:val="24"/>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39"/>
    <w:pPr>
      <w:tabs>
        <w:tab w:val="right" w:leader="dot" w:pos="8296"/>
      </w:tabs>
      <w:spacing w:line="360" w:lineRule="auto"/>
    </w:pPr>
  </w:style>
  <w:style w:type="paragraph" w:styleId="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qFormat/>
    <w:uiPriority w:val="99"/>
    <w:rPr>
      <w:sz w:val="21"/>
      <w:szCs w:val="21"/>
    </w:rPr>
  </w:style>
  <w:style w:type="paragraph" w:styleId="15">
    <w:name w:val="List Paragraph"/>
    <w:basedOn w:val="1"/>
    <w:qFormat/>
    <w:uiPriority w:val="0"/>
    <w:pPr>
      <w:ind w:firstLine="420" w:firstLineChars="200"/>
    </w:pPr>
  </w:style>
  <w:style w:type="paragraph" w:customStyle="1" w:styleId="1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2023-06-28T05:47:00Z</dcterms:created>
  <dc:creator>admin</dc:creator>
  <cp:lastModifiedBy>高炳荣</cp:lastModifiedBy>
  <dcterms:modified xsi:type="dcterms:W3CDTF">2023-06-29T01:51:33Z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