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287" w:rsidRPr="00A50B8B" w:rsidRDefault="00011287" w:rsidP="00011287">
      <w:pPr>
        <w:spacing w:line="560" w:lineRule="exact"/>
        <w:jc w:val="left"/>
        <w:rPr>
          <w:rFonts w:ascii="方正小标宋简体" w:eastAsia="方正小标宋简体" w:hAnsi="黑体"/>
          <w:szCs w:val="21"/>
        </w:rPr>
      </w:pPr>
    </w:p>
    <w:p w:rsidR="00DB57CC" w:rsidRPr="00A50B8B" w:rsidRDefault="00A23644" w:rsidP="0001128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A50B8B">
        <w:rPr>
          <w:rFonts w:ascii="方正小标宋简体" w:eastAsia="方正小标宋简体" w:hAnsi="宋体" w:cs="宋体" w:hint="eastAsia"/>
          <w:noProof/>
          <w:sz w:val="44"/>
          <w:szCs w:val="44"/>
        </w:rPr>
        <w:t>明溪县农村信用合作联社</w:t>
      </w:r>
    </w:p>
    <w:p w:rsidR="006E2B6C" w:rsidRPr="00A50B8B" w:rsidRDefault="006E2B6C" w:rsidP="009D4A4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A50B8B">
        <w:rPr>
          <w:rFonts w:ascii="方正小标宋简体" w:eastAsia="方正小标宋简体" w:hAnsi="宋体" w:cs="宋体" w:hint="eastAsia"/>
          <w:noProof/>
          <w:sz w:val="44"/>
          <w:szCs w:val="44"/>
        </w:rPr>
        <w:t>2025</w:t>
      </w:r>
      <w:r w:rsidRPr="00A50B8B">
        <w:rPr>
          <w:rFonts w:ascii="方正小标宋简体" w:eastAsia="方正小标宋简体" w:hAnsi="黑体" w:hint="eastAsia"/>
          <w:sz w:val="44"/>
          <w:szCs w:val="44"/>
        </w:rPr>
        <w:t>年第</w:t>
      </w:r>
      <w:r w:rsidRPr="00A50B8B">
        <w:rPr>
          <w:rFonts w:ascii="方正小标宋简体" w:eastAsia="方正小标宋简体" w:hAnsi="宋体" w:cs="宋体" w:hint="eastAsia"/>
          <w:noProof/>
          <w:sz w:val="44"/>
          <w:szCs w:val="44"/>
        </w:rPr>
        <w:t>一</w:t>
      </w:r>
      <w:r w:rsidRPr="00A50B8B">
        <w:rPr>
          <w:rFonts w:ascii="方正小标宋简体" w:eastAsia="方正小标宋简体" w:hAnsi="黑体" w:hint="eastAsia"/>
          <w:sz w:val="44"/>
          <w:szCs w:val="44"/>
        </w:rPr>
        <w:t>季度关联交易工作报告</w:t>
      </w:r>
    </w:p>
    <w:p w:rsidR="006E2B6C" w:rsidRPr="006E2B6C" w:rsidRDefault="006E2B6C" w:rsidP="006E2B6C">
      <w:pPr>
        <w:jc w:val="center"/>
        <w:rPr>
          <w:rFonts w:ascii="方正小标宋简体" w:eastAsia="方正小标宋简体" w:hAnsi="黑体"/>
          <w:sz w:val="44"/>
          <w:szCs w:val="44"/>
        </w:rPr>
      </w:pPr>
    </w:p>
    <w:p w:rsidR="006E2B6C" w:rsidRDefault="006E2B6C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明溪县农村信用合作联社</w:t>
      </w:r>
      <w:r>
        <w:rPr>
          <w:rFonts w:ascii="仿宋_GB2312" w:eastAsia="仿宋_GB2312" w:hint="eastAsia"/>
          <w:sz w:val="32"/>
          <w:szCs w:val="32"/>
        </w:rPr>
        <w:t>（以下简称</w:t>
      </w:r>
      <w:r w:rsidR="00373FAE">
        <w:rPr>
          <w:rFonts w:ascii="仿宋_GB2312" w:eastAsia="仿宋_GB2312" w:hint="eastAsia"/>
          <w:sz w:val="32"/>
          <w:szCs w:val="32"/>
        </w:rPr>
        <w:t>“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 w:rsidR="00373FAE">
        <w:rPr>
          <w:rFonts w:ascii="仿宋_GB2312" w:eastAsia="仿宋_GB2312" w:hint="eastAsia"/>
          <w:noProof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）积极贯彻落实《银行保险机构关联交易管理办法》和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《关联交易管理办法》等内外部规定,及时收集并主动核查关联方信息，严格执行关联交易事项审批流程，加强关联交易日常监控，确保关联交易管理机制持续有效运行。现将</w:t>
      </w:r>
      <w:r w:rsidR="00E71593">
        <w:rPr>
          <w:rFonts w:ascii="仿宋_GB2312" w:eastAsia="仿宋_GB2312"/>
          <w:noProof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 w:rsidRPr="006B0C06">
        <w:rPr>
          <w:rFonts w:ascii="仿宋_GB2312" w:eastAsia="仿宋_GB2312" w:hint="eastAsia"/>
          <w:sz w:val="32"/>
          <w:szCs w:val="32"/>
        </w:rPr>
        <w:t>第</w:t>
      </w:r>
      <w:r w:rsidR="00E71593">
        <w:rPr>
          <w:rFonts w:ascii="仿宋_GB2312" w:eastAsia="仿宋_GB2312"/>
          <w:noProof/>
          <w:sz w:val="32"/>
          <w:szCs w:val="32"/>
        </w:rPr>
        <w:t>一</w:t>
      </w:r>
      <w:r w:rsidRPr="006B0C06"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z w:val="32"/>
          <w:szCs w:val="32"/>
        </w:rPr>
        <w:t>关联交易情况报告如下：</w:t>
      </w:r>
    </w:p>
    <w:p w:rsidR="006E2B6C" w:rsidRPr="00096F1D" w:rsidRDefault="006E2B6C" w:rsidP="006E2B6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6F1D">
        <w:rPr>
          <w:rFonts w:ascii="黑体" w:eastAsia="黑体" w:hAnsi="黑体" w:hint="eastAsia"/>
          <w:sz w:val="32"/>
          <w:szCs w:val="32"/>
        </w:rPr>
        <w:t>一、关联交易管理情况</w:t>
      </w:r>
    </w:p>
    <w:p w:rsidR="006E2B6C" w:rsidRDefault="00C85706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严格落实关联交易的审批程序，一般关联交易经有权审批人审批后，及时向关联交易控制委员会报备，重大关联交易经由关联交易控制委员会审查后，提交</w:t>
      </w:r>
      <w:r w:rsidR="00057EFA">
        <w:rPr>
          <w:rFonts w:ascii="仿宋_GB2312" w:eastAsia="仿宋_GB2312" w:hint="eastAsia"/>
          <w:noProof/>
          <w:sz w:val="32"/>
          <w:szCs w:val="32"/>
        </w:rPr>
        <w:t>理</w:t>
      </w:r>
      <w:r w:rsidR="00F956AD">
        <w:rPr>
          <w:rFonts w:ascii="仿宋_GB2312" w:eastAsia="仿宋_GB2312"/>
          <w:noProof/>
          <w:sz w:val="32"/>
          <w:szCs w:val="32"/>
        </w:rPr>
        <w:t>事会</w:t>
      </w:r>
      <w:r w:rsidR="006E2B6C">
        <w:rPr>
          <w:rFonts w:ascii="仿宋_GB2312" w:eastAsia="仿宋_GB2312" w:hint="eastAsia"/>
          <w:sz w:val="32"/>
          <w:szCs w:val="32"/>
        </w:rPr>
        <w:t>或</w:t>
      </w:r>
      <w:r w:rsidR="007D732F">
        <w:rPr>
          <w:rFonts w:ascii="仿宋_GB2312" w:eastAsia="仿宋_GB2312" w:hint="eastAsia"/>
          <w:noProof/>
          <w:sz w:val="32"/>
          <w:szCs w:val="32"/>
        </w:rPr>
        <w:t>社员</w:t>
      </w:r>
      <w:r w:rsidR="00057EFA">
        <w:rPr>
          <w:rFonts w:ascii="仿宋_GB2312" w:eastAsia="仿宋_GB2312" w:hint="eastAsia"/>
          <w:noProof/>
          <w:sz w:val="32"/>
          <w:szCs w:val="32"/>
        </w:rPr>
        <w:t>代表</w:t>
      </w:r>
      <w:r w:rsidR="00F956AD">
        <w:rPr>
          <w:rFonts w:ascii="仿宋_GB2312" w:eastAsia="仿宋_GB2312"/>
          <w:noProof/>
          <w:sz w:val="32"/>
          <w:szCs w:val="32"/>
        </w:rPr>
        <w:t>大会</w:t>
      </w:r>
      <w:r w:rsidR="006E2B6C">
        <w:rPr>
          <w:rFonts w:ascii="仿宋_GB2312" w:eastAsia="仿宋_GB2312" w:hint="eastAsia"/>
          <w:sz w:val="32"/>
          <w:szCs w:val="32"/>
        </w:rPr>
        <w:t>批准。报告期内，</w:t>
      </w: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关联交易控制委员会召开与关联交易相关的会议</w:t>
      </w:r>
      <w:r w:rsidR="00A5587B">
        <w:rPr>
          <w:rFonts w:ascii="仿宋_GB2312" w:eastAsia="仿宋_GB2312" w:hint="eastAsia"/>
          <w:sz w:val="32"/>
          <w:szCs w:val="32"/>
        </w:rPr>
        <w:t>1</w:t>
      </w:r>
      <w:r w:rsidR="00F956AD">
        <w:rPr>
          <w:rFonts w:ascii="仿宋_GB2312" w:eastAsia="仿宋_GB2312" w:hint="eastAsia"/>
          <w:sz w:val="32"/>
          <w:szCs w:val="32"/>
        </w:rPr>
        <w:t xml:space="preserve"> </w:t>
      </w:r>
      <w:r w:rsidR="006E2B6C">
        <w:rPr>
          <w:rFonts w:ascii="仿宋_GB2312" w:eastAsia="仿宋_GB2312" w:hint="eastAsia"/>
          <w:sz w:val="32"/>
          <w:szCs w:val="32"/>
        </w:rPr>
        <w:t>次，审议通过了《</w:t>
      </w:r>
      <w:r w:rsidR="00A5587B">
        <w:rPr>
          <w:rFonts w:ascii="仿宋_GB2312" w:eastAsia="仿宋_GB2312" w:hint="eastAsia"/>
          <w:sz w:val="32"/>
          <w:szCs w:val="32"/>
        </w:rPr>
        <w:t>2024</w:t>
      </w:r>
      <w:r w:rsidR="006E2B6C">
        <w:rPr>
          <w:rFonts w:ascii="仿宋_GB2312" w:eastAsia="仿宋_GB2312" w:hint="eastAsia"/>
          <w:sz w:val="32"/>
          <w:szCs w:val="32"/>
        </w:rPr>
        <w:t>年度关联交易报告》及</w:t>
      </w:r>
      <w:r w:rsidR="00A5587B">
        <w:rPr>
          <w:rFonts w:ascii="仿宋_GB2312" w:eastAsia="仿宋_GB2312" w:hint="eastAsia"/>
          <w:sz w:val="32"/>
          <w:szCs w:val="32"/>
        </w:rPr>
        <w:t>2024年四</w:t>
      </w:r>
      <w:r w:rsidR="006E2B6C">
        <w:rPr>
          <w:rFonts w:ascii="仿宋_GB2312" w:eastAsia="仿宋_GB2312" w:hint="eastAsia"/>
          <w:sz w:val="32"/>
          <w:szCs w:val="32"/>
        </w:rPr>
        <w:t>季度关联交易</w:t>
      </w:r>
      <w:r w:rsidR="00A5587B">
        <w:rPr>
          <w:rFonts w:ascii="仿宋_GB2312" w:eastAsia="仿宋_GB2312" w:hint="eastAsia"/>
          <w:sz w:val="32"/>
          <w:szCs w:val="32"/>
        </w:rPr>
        <w:t>新增情况</w:t>
      </w:r>
      <w:r w:rsidR="006E2B6C">
        <w:rPr>
          <w:rFonts w:ascii="仿宋_GB2312" w:eastAsia="仿宋_GB2312" w:hint="eastAsia"/>
          <w:sz w:val="32"/>
          <w:szCs w:val="32"/>
        </w:rPr>
        <w:t>等议案，具体如下：</w:t>
      </w:r>
    </w:p>
    <w:tbl>
      <w:tblPr>
        <w:tblStyle w:val="a7"/>
        <w:tblW w:w="0" w:type="auto"/>
        <w:tblInd w:w="102" w:type="dxa"/>
        <w:tblLook w:val="04A0"/>
      </w:tblPr>
      <w:tblGrid>
        <w:gridCol w:w="3313"/>
        <w:gridCol w:w="5107"/>
      </w:tblGrid>
      <w:tr w:rsidR="006E2B6C" w:rsidTr="00C85706">
        <w:tc>
          <w:tcPr>
            <w:tcW w:w="3313" w:type="dxa"/>
          </w:tcPr>
          <w:p w:rsidR="006E2B6C" w:rsidRDefault="006E2B6C" w:rsidP="00C8570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会议名称</w:t>
            </w:r>
          </w:p>
        </w:tc>
        <w:tc>
          <w:tcPr>
            <w:tcW w:w="5107" w:type="dxa"/>
          </w:tcPr>
          <w:p w:rsidR="006E2B6C" w:rsidRDefault="006E2B6C" w:rsidP="00C85706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会议议题</w:t>
            </w:r>
          </w:p>
        </w:tc>
      </w:tr>
      <w:tr w:rsidR="006E2B6C" w:rsidTr="00C85706">
        <w:tc>
          <w:tcPr>
            <w:tcW w:w="3313" w:type="dxa"/>
          </w:tcPr>
          <w:p w:rsidR="006E2B6C" w:rsidRDefault="00A5587B" w:rsidP="00A5587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理事会关联交易控制委员会</w:t>
            </w:r>
          </w:p>
        </w:tc>
        <w:tc>
          <w:tcPr>
            <w:tcW w:w="5107" w:type="dxa"/>
          </w:tcPr>
          <w:p w:rsidR="006E2B6C" w:rsidRDefault="00A5587B" w:rsidP="00A5587B">
            <w:pPr>
              <w:spacing w:line="5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2024年四季度关联交易新增情况及2024年度关联交易总体工作情况</w:t>
            </w:r>
          </w:p>
        </w:tc>
      </w:tr>
    </w:tbl>
    <w:p w:rsidR="006E2B6C" w:rsidRPr="00096F1D" w:rsidRDefault="006E2B6C" w:rsidP="006E2B6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6F1D">
        <w:rPr>
          <w:rFonts w:ascii="黑体" w:eastAsia="黑体" w:hAnsi="黑体" w:hint="eastAsia"/>
          <w:sz w:val="32"/>
          <w:szCs w:val="32"/>
        </w:rPr>
        <w:t>二、关联交易制度执行情况</w:t>
      </w:r>
    </w:p>
    <w:p w:rsidR="006E2B6C" w:rsidRPr="00A50B8B" w:rsidRDefault="006E2B6C" w:rsidP="006E2B6C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50B8B">
        <w:rPr>
          <w:rFonts w:ascii="楷体" w:eastAsia="楷体" w:hAnsi="楷体" w:hint="eastAsia"/>
          <w:sz w:val="32"/>
          <w:szCs w:val="32"/>
        </w:rPr>
        <w:t>（一）关联方认定情况</w:t>
      </w:r>
    </w:p>
    <w:p w:rsidR="006E2B6C" w:rsidRDefault="00C85706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遵照</w:t>
      </w:r>
      <w:r w:rsidR="007D732F">
        <w:rPr>
          <w:rFonts w:ascii="仿宋_GB2312" w:eastAsia="仿宋_GB2312" w:hint="eastAsia"/>
          <w:sz w:val="32"/>
          <w:szCs w:val="32"/>
        </w:rPr>
        <w:t>国家金融监督管理总局</w:t>
      </w:r>
      <w:r w:rsidR="006E2B6C">
        <w:rPr>
          <w:rFonts w:ascii="仿宋_GB2312" w:eastAsia="仿宋_GB2312" w:hint="eastAsia"/>
          <w:sz w:val="32"/>
          <w:szCs w:val="32"/>
        </w:rPr>
        <w:t>等监管法规，加强关联方名单管理主动性与前瞻性，及时梳理、动态更新，定期提</w:t>
      </w:r>
      <w:r w:rsidR="006E2B6C">
        <w:rPr>
          <w:rFonts w:ascii="仿宋_GB2312" w:eastAsia="仿宋_GB2312" w:hint="eastAsia"/>
          <w:sz w:val="32"/>
          <w:szCs w:val="32"/>
        </w:rPr>
        <w:lastRenderedPageBreak/>
        <w:t>交关联交易控制委员会建立和维护。通过关联方信息的及时梳理认定，进一步保证了关联方信息的准确性、及时性和完整性。</w:t>
      </w:r>
    </w:p>
    <w:p w:rsidR="006E2B6C" w:rsidRDefault="006E2B6C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 w:rsidR="00E71593">
        <w:rPr>
          <w:rFonts w:ascii="仿宋_GB2312" w:eastAsia="仿宋_GB2312"/>
          <w:noProof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 w:rsidR="00E71593">
        <w:rPr>
          <w:rFonts w:ascii="仿宋_GB2312" w:eastAsia="仿宋_GB2312"/>
          <w:noProof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季度末，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符合</w:t>
      </w:r>
      <w:r w:rsidR="007D732F">
        <w:rPr>
          <w:rFonts w:ascii="仿宋_GB2312" w:eastAsia="仿宋_GB2312" w:hint="eastAsia"/>
          <w:sz w:val="32"/>
          <w:szCs w:val="32"/>
        </w:rPr>
        <w:t>监管</w:t>
      </w:r>
      <w:r>
        <w:rPr>
          <w:rFonts w:ascii="仿宋_GB2312" w:eastAsia="仿宋_GB2312" w:hint="eastAsia"/>
          <w:sz w:val="32"/>
          <w:szCs w:val="32"/>
        </w:rPr>
        <w:t>规定的关联方共</w:t>
      </w:r>
      <w:r w:rsidR="00E96DA8">
        <w:rPr>
          <w:rFonts w:ascii="仿宋_GB2312" w:eastAsia="仿宋_GB2312" w:hint="eastAsia"/>
          <w:sz w:val="32"/>
          <w:szCs w:val="32"/>
        </w:rPr>
        <w:t>395</w:t>
      </w:r>
      <w:r>
        <w:rPr>
          <w:rFonts w:ascii="仿宋_GB2312" w:eastAsia="仿宋_GB2312" w:hint="eastAsia"/>
          <w:sz w:val="32"/>
          <w:szCs w:val="32"/>
        </w:rPr>
        <w:t>户（人），其中关联法人或非法人组织</w:t>
      </w:r>
      <w:r w:rsidR="00E96DA8">
        <w:rPr>
          <w:rFonts w:ascii="仿宋_GB2312" w:eastAsia="仿宋_GB2312"/>
          <w:noProof/>
          <w:sz w:val="32"/>
          <w:szCs w:val="32"/>
        </w:rPr>
        <w:t>2</w:t>
      </w:r>
      <w:r w:rsidR="00E96DA8">
        <w:rPr>
          <w:rFonts w:ascii="仿宋_GB2312" w:eastAsia="仿宋_GB2312" w:hint="eastAsia"/>
          <w:noProof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户，关联自然人</w:t>
      </w:r>
      <w:r w:rsidR="00E71593">
        <w:rPr>
          <w:rFonts w:ascii="仿宋_GB2312" w:eastAsia="仿宋_GB2312"/>
          <w:noProof/>
          <w:sz w:val="32"/>
          <w:szCs w:val="32"/>
        </w:rPr>
        <w:t>372</w:t>
      </w:r>
      <w:r>
        <w:rPr>
          <w:rFonts w:ascii="仿宋_GB2312" w:eastAsia="仿宋_GB2312" w:hint="eastAsia"/>
          <w:sz w:val="32"/>
          <w:szCs w:val="32"/>
        </w:rPr>
        <w:t>人。</w:t>
      </w:r>
    </w:p>
    <w:p w:rsidR="006E2B6C" w:rsidRPr="00A50B8B" w:rsidRDefault="006E2B6C" w:rsidP="006E2B6C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50B8B">
        <w:rPr>
          <w:rFonts w:ascii="楷体" w:eastAsia="楷体" w:hAnsi="楷体" w:hint="eastAsia"/>
          <w:sz w:val="32"/>
          <w:szCs w:val="32"/>
        </w:rPr>
        <w:t>（二）关联交易定价情况</w:t>
      </w:r>
    </w:p>
    <w:p w:rsidR="006E2B6C" w:rsidRDefault="006E2B6C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报告期内，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关联交易均遵循市场化定价原则，以不优于对非关联方同类交易的条件进行，不存在损害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 w:rsidR="00F956AD">
        <w:rPr>
          <w:rFonts w:ascii="仿宋_GB2312" w:eastAsia="仿宋_GB2312"/>
          <w:noProof/>
          <w:sz w:val="32"/>
          <w:szCs w:val="32"/>
        </w:rPr>
        <w:t>股东</w:t>
      </w:r>
      <w:r>
        <w:rPr>
          <w:rFonts w:ascii="仿宋_GB2312" w:eastAsia="仿宋_GB2312" w:hint="eastAsia"/>
          <w:sz w:val="32"/>
          <w:szCs w:val="32"/>
        </w:rPr>
        <w:t>利益，符合关联交易管理的相关要求，不影响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独立性，不会对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的正常经营活动及财务状况造成重大影响。</w:t>
      </w:r>
    </w:p>
    <w:p w:rsidR="006E2B6C" w:rsidRPr="00A50B8B" w:rsidRDefault="00A50B8B" w:rsidP="006E2B6C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（三）严格授信集中度管控，防范集中度风险</w:t>
      </w:r>
    </w:p>
    <w:p w:rsidR="006E2B6C" w:rsidRDefault="00C85706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严格落实</w:t>
      </w:r>
      <w:r w:rsidR="007D732F">
        <w:rPr>
          <w:rFonts w:ascii="仿宋_GB2312" w:eastAsia="仿宋_GB2312" w:hint="eastAsia"/>
          <w:sz w:val="32"/>
          <w:szCs w:val="32"/>
        </w:rPr>
        <w:t>监管</w:t>
      </w:r>
      <w:r w:rsidR="006E2B6C">
        <w:rPr>
          <w:rFonts w:ascii="仿宋_GB2312" w:eastAsia="仿宋_GB2312" w:hint="eastAsia"/>
          <w:sz w:val="32"/>
          <w:szCs w:val="32"/>
        </w:rPr>
        <w:t>关于关联交易集中度管控要求，严格控制对单一关联方、关联方所在集团、全部关联方的授信余额不超过</w:t>
      </w: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资本净额的10%、15%、 50%，切实防范关联方信用风险过度集聚，严守监管底线。报告期内，</w:t>
      </w: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关联集中度均符合监管要求。</w:t>
      </w:r>
    </w:p>
    <w:p w:rsidR="006E2B6C" w:rsidRPr="00A50B8B" w:rsidRDefault="006E2B6C" w:rsidP="006E2B6C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50B8B">
        <w:rPr>
          <w:rFonts w:ascii="楷体" w:eastAsia="楷体" w:hAnsi="楷体" w:hint="eastAsia"/>
          <w:sz w:val="32"/>
          <w:szCs w:val="32"/>
        </w:rPr>
        <w:t>（四）严格履行披露义务，保障股东知情权</w:t>
      </w:r>
    </w:p>
    <w:p w:rsidR="004B309F" w:rsidRDefault="006E2B6C" w:rsidP="006E2B6C">
      <w:pPr>
        <w:spacing w:line="520" w:lineRule="exact"/>
        <w:ind w:firstLineChars="200" w:firstLine="640"/>
        <w:rPr>
          <w:rFonts w:ascii="仿宋_GB2312" w:eastAsia="仿宋_GB2312"/>
          <w:noProof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报告期内，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严格遵循监管机构的相关规定履行关联交易信息披露义务，通过年报、临时公告等，详尽披露关联交易情况，切实保障了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 w:rsidR="00F956AD">
        <w:rPr>
          <w:rFonts w:ascii="仿宋_GB2312" w:eastAsia="仿宋_GB2312"/>
          <w:noProof/>
          <w:sz w:val="32"/>
          <w:szCs w:val="32"/>
        </w:rPr>
        <w:t>股东</w:t>
      </w:r>
      <w:r>
        <w:rPr>
          <w:rFonts w:ascii="仿宋_GB2312" w:eastAsia="仿宋_GB2312" w:hint="eastAsia"/>
          <w:sz w:val="32"/>
          <w:szCs w:val="32"/>
        </w:rPr>
        <w:t>对关联交易的知情权，维护了</w:t>
      </w:r>
      <w:r w:rsidR="00F956AD">
        <w:rPr>
          <w:rFonts w:ascii="仿宋_GB2312" w:eastAsia="仿宋_GB2312"/>
          <w:noProof/>
          <w:sz w:val="32"/>
          <w:szCs w:val="32"/>
        </w:rPr>
        <w:t>股东</w:t>
      </w:r>
      <w:r>
        <w:rPr>
          <w:rFonts w:ascii="仿宋_GB2312" w:eastAsia="仿宋_GB2312" w:hint="eastAsia"/>
          <w:sz w:val="32"/>
          <w:szCs w:val="32"/>
        </w:rPr>
        <w:t>合法权益。</w:t>
      </w:r>
    </w:p>
    <w:p w:rsidR="006E2B6C" w:rsidRPr="00A50B8B" w:rsidRDefault="006E2B6C" w:rsidP="006E2B6C">
      <w:pPr>
        <w:spacing w:line="520" w:lineRule="exact"/>
        <w:ind w:firstLineChars="200" w:firstLine="640"/>
        <w:rPr>
          <w:rFonts w:ascii="楷体" w:eastAsia="楷体" w:hAnsi="楷体"/>
          <w:sz w:val="32"/>
          <w:szCs w:val="32"/>
        </w:rPr>
      </w:pPr>
      <w:r w:rsidRPr="00A50B8B">
        <w:rPr>
          <w:rFonts w:ascii="楷体" w:eastAsia="楷体" w:hAnsi="楷体" w:hint="eastAsia"/>
          <w:sz w:val="32"/>
          <w:szCs w:val="32"/>
        </w:rPr>
        <w:t>（五）做好统计工作，及时报送监管部门</w:t>
      </w:r>
    </w:p>
    <w:p w:rsidR="00057EFA" w:rsidRDefault="00C85706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我社</w:t>
      </w:r>
      <w:r w:rsidR="006E2B6C">
        <w:rPr>
          <w:rFonts w:ascii="仿宋_GB2312" w:eastAsia="仿宋_GB2312" w:hint="eastAsia"/>
          <w:sz w:val="32"/>
          <w:szCs w:val="32"/>
        </w:rPr>
        <w:t>持续监</w:t>
      </w:r>
      <w:r w:rsidR="00373FAE">
        <w:rPr>
          <w:rFonts w:ascii="仿宋_GB2312" w:eastAsia="仿宋_GB2312" w:hint="eastAsia"/>
          <w:sz w:val="32"/>
          <w:szCs w:val="32"/>
        </w:rPr>
        <w:t>测关联交易情况，定期报送关联交易相关数据。一是每季度统计分析我</w:t>
      </w:r>
      <w:r w:rsidR="004B309F">
        <w:rPr>
          <w:rFonts w:ascii="仿宋_GB2312" w:eastAsia="仿宋_GB2312" w:hint="eastAsia"/>
          <w:sz w:val="32"/>
          <w:szCs w:val="32"/>
        </w:rPr>
        <w:t>社</w:t>
      </w:r>
      <w:r w:rsidR="006E2B6C">
        <w:rPr>
          <w:rFonts w:ascii="仿宋_GB2312" w:eastAsia="仿宋_GB2312" w:hint="eastAsia"/>
          <w:sz w:val="32"/>
          <w:szCs w:val="32"/>
        </w:rPr>
        <w:t>所有授信类和非授信类关联交易的实施情况，及时、准确地向银保监会报送《G15</w:t>
      </w:r>
      <w:r w:rsidR="004B309F">
        <w:rPr>
          <w:rFonts w:ascii="仿宋_GB2312" w:eastAsia="仿宋_GB2312" w:hint="eastAsia"/>
          <w:sz w:val="32"/>
          <w:szCs w:val="32"/>
        </w:rPr>
        <w:t>最大十</w:t>
      </w:r>
      <w:r w:rsidR="00373FAE">
        <w:rPr>
          <w:rFonts w:ascii="仿宋_GB2312" w:eastAsia="仿宋_GB2312" w:hint="eastAsia"/>
          <w:sz w:val="32"/>
          <w:szCs w:val="32"/>
        </w:rPr>
        <w:lastRenderedPageBreak/>
        <w:t>家关联方关联交易情况表》，并于关联交易监管系统中报送我</w:t>
      </w:r>
      <w:r w:rsidR="004B309F">
        <w:rPr>
          <w:rFonts w:ascii="仿宋_GB2312" w:eastAsia="仿宋_GB2312" w:hint="eastAsia"/>
          <w:sz w:val="32"/>
          <w:szCs w:val="32"/>
        </w:rPr>
        <w:t>社</w:t>
      </w:r>
      <w:r w:rsidR="006E2B6C">
        <w:rPr>
          <w:rFonts w:ascii="仿宋_GB2312" w:eastAsia="仿宋_GB2312" w:hint="eastAsia"/>
          <w:sz w:val="32"/>
          <w:szCs w:val="32"/>
        </w:rPr>
        <w:t>关联交易季度报表，确保各项关联交易合规开展。二是每季度统计分析</w:t>
      </w:r>
      <w:r w:rsidR="00373FAE">
        <w:rPr>
          <w:rFonts w:ascii="仿宋_GB2312" w:eastAsia="仿宋_GB2312" w:hint="eastAsia"/>
          <w:sz w:val="32"/>
          <w:szCs w:val="32"/>
        </w:rPr>
        <w:t>我</w:t>
      </w:r>
      <w:r w:rsidR="004B309F">
        <w:rPr>
          <w:rFonts w:ascii="仿宋_GB2312" w:eastAsia="仿宋_GB2312" w:hint="eastAsia"/>
          <w:sz w:val="32"/>
          <w:szCs w:val="32"/>
        </w:rPr>
        <w:t>社</w:t>
      </w:r>
      <w:r w:rsidR="006E2B6C">
        <w:rPr>
          <w:rFonts w:ascii="仿宋_GB2312" w:eastAsia="仿宋_GB2312" w:hint="eastAsia"/>
          <w:sz w:val="32"/>
          <w:szCs w:val="32"/>
        </w:rPr>
        <w:t>关联交易情况，并按</w:t>
      </w:r>
      <w:r w:rsidR="004B309F">
        <w:rPr>
          <w:rFonts w:ascii="仿宋_GB2312" w:eastAsia="仿宋_GB2312" w:hint="eastAsia"/>
          <w:sz w:val="32"/>
          <w:szCs w:val="32"/>
        </w:rPr>
        <w:t>监管</w:t>
      </w:r>
      <w:r w:rsidR="006E2B6C">
        <w:rPr>
          <w:rFonts w:ascii="仿宋_GB2312" w:eastAsia="仿宋_GB2312" w:hint="eastAsia"/>
          <w:sz w:val="32"/>
          <w:szCs w:val="32"/>
        </w:rPr>
        <w:t>要求及时报送关联交易管理情况报告。</w:t>
      </w:r>
    </w:p>
    <w:p w:rsidR="006E2B6C" w:rsidRPr="00096F1D" w:rsidRDefault="006E2B6C" w:rsidP="006E2B6C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96F1D">
        <w:rPr>
          <w:rFonts w:ascii="黑体" w:eastAsia="黑体" w:hAnsi="黑体" w:hint="eastAsia"/>
          <w:sz w:val="32"/>
          <w:szCs w:val="32"/>
        </w:rPr>
        <w:t>三、关联交易具体情况</w:t>
      </w:r>
    </w:p>
    <w:p w:rsidR="006E2B6C" w:rsidRDefault="006E2B6C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 w:rsidR="00E71593">
        <w:rPr>
          <w:rFonts w:ascii="仿宋_GB2312" w:eastAsia="仿宋_GB2312"/>
          <w:noProof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 w:rsidR="00E71593">
        <w:rPr>
          <w:rFonts w:ascii="仿宋_GB2312" w:eastAsia="仿宋_GB2312"/>
          <w:noProof/>
          <w:sz w:val="32"/>
          <w:szCs w:val="32"/>
        </w:rPr>
        <w:t>一</w:t>
      </w:r>
      <w:r>
        <w:rPr>
          <w:rFonts w:ascii="仿宋_GB2312" w:eastAsia="仿宋_GB2312" w:hint="eastAsia"/>
          <w:sz w:val="32"/>
          <w:szCs w:val="32"/>
        </w:rPr>
        <w:t>季度末，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资本净额</w:t>
      </w:r>
      <w:r w:rsidR="009E0CA3">
        <w:rPr>
          <w:rFonts w:ascii="仿宋_GB2312" w:eastAsia="仿宋_GB2312"/>
          <w:noProof/>
          <w:sz w:val="32"/>
          <w:szCs w:val="32"/>
        </w:rPr>
        <w:t>41956.15</w:t>
      </w:r>
      <w:r>
        <w:rPr>
          <w:rFonts w:ascii="仿宋_GB2312" w:eastAsia="仿宋_GB2312" w:hint="eastAsia"/>
          <w:sz w:val="32"/>
          <w:szCs w:val="32"/>
        </w:rPr>
        <w:t>万元，全部关联交易余额</w:t>
      </w:r>
      <w:r w:rsidR="004B309F">
        <w:rPr>
          <w:rFonts w:ascii="仿宋_GB2312" w:eastAsia="仿宋_GB2312" w:hint="eastAsia"/>
          <w:noProof/>
          <w:sz w:val="32"/>
          <w:szCs w:val="32"/>
        </w:rPr>
        <w:t>1546.75</w:t>
      </w:r>
      <w:r>
        <w:rPr>
          <w:rFonts w:ascii="仿宋_GB2312" w:eastAsia="仿宋_GB2312" w:hint="eastAsia"/>
          <w:sz w:val="32"/>
          <w:szCs w:val="32"/>
        </w:rPr>
        <w:t>万元，其中授信类关联交易</w:t>
      </w:r>
      <w:r w:rsidR="004B309F">
        <w:rPr>
          <w:rFonts w:ascii="仿宋_GB2312" w:eastAsia="仿宋_GB2312" w:hint="eastAsia"/>
          <w:noProof/>
          <w:sz w:val="32"/>
          <w:szCs w:val="32"/>
        </w:rPr>
        <w:t>921.12</w:t>
      </w:r>
      <w:r>
        <w:rPr>
          <w:rFonts w:ascii="仿宋_GB2312" w:eastAsia="仿宋_GB2312" w:hint="eastAsia"/>
          <w:sz w:val="32"/>
          <w:szCs w:val="32"/>
        </w:rPr>
        <w:t>万元，非授信类关联交易</w:t>
      </w:r>
      <w:r w:rsidR="004B309F">
        <w:rPr>
          <w:rFonts w:ascii="仿宋_GB2312" w:eastAsia="仿宋_GB2312" w:hint="eastAsia"/>
          <w:noProof/>
          <w:sz w:val="32"/>
          <w:szCs w:val="32"/>
        </w:rPr>
        <w:t>625.63</w:t>
      </w:r>
      <w:r>
        <w:rPr>
          <w:rFonts w:ascii="仿宋_GB2312" w:eastAsia="仿宋_GB2312" w:hint="eastAsia"/>
          <w:sz w:val="32"/>
          <w:szCs w:val="32"/>
        </w:rPr>
        <w:t>万元。授信类关联交易中单一最大关联方授信余额</w:t>
      </w:r>
      <w:r w:rsidR="004B309F">
        <w:rPr>
          <w:rFonts w:ascii="仿宋_GB2312" w:eastAsia="仿宋_GB2312" w:hint="eastAsia"/>
          <w:noProof/>
          <w:sz w:val="32"/>
          <w:szCs w:val="32"/>
        </w:rPr>
        <w:t>130</w:t>
      </w:r>
      <w:r>
        <w:rPr>
          <w:rFonts w:ascii="仿宋_GB2312" w:eastAsia="仿宋_GB2312" w:hint="eastAsia"/>
          <w:sz w:val="32"/>
          <w:szCs w:val="32"/>
        </w:rPr>
        <w:t>万元，占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资本净额</w:t>
      </w:r>
      <w:r w:rsidR="00096F1D">
        <w:rPr>
          <w:rFonts w:ascii="仿宋_GB2312" w:eastAsia="仿宋_GB2312" w:hint="eastAsia"/>
          <w:noProof/>
          <w:sz w:val="32"/>
          <w:szCs w:val="32"/>
        </w:rPr>
        <w:t>0.31</w:t>
      </w:r>
      <w:r>
        <w:rPr>
          <w:rFonts w:ascii="仿宋_GB2312" w:eastAsia="仿宋_GB2312" w:hint="eastAsia"/>
          <w:sz w:val="32"/>
          <w:szCs w:val="32"/>
        </w:rPr>
        <w:t>%,</w:t>
      </w:r>
      <w:r w:rsidR="00096F1D">
        <w:rPr>
          <w:rFonts w:ascii="仿宋_GB2312" w:eastAsia="仿宋_GB2312" w:hint="eastAsia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关联集团</w:t>
      </w:r>
      <w:r w:rsidR="00096F1D">
        <w:rPr>
          <w:rFonts w:ascii="仿宋_GB2312" w:eastAsia="仿宋_GB2312" w:hint="eastAsia"/>
          <w:sz w:val="32"/>
          <w:szCs w:val="32"/>
        </w:rPr>
        <w:t>客户</w:t>
      </w:r>
      <w:r>
        <w:rPr>
          <w:rFonts w:ascii="仿宋_GB2312" w:eastAsia="仿宋_GB2312" w:hint="eastAsia"/>
          <w:sz w:val="32"/>
          <w:szCs w:val="32"/>
        </w:rPr>
        <w:t>，授信类关联交易总余额</w:t>
      </w:r>
      <w:r w:rsidR="00096F1D">
        <w:rPr>
          <w:rFonts w:ascii="仿宋_GB2312" w:eastAsia="仿宋_GB2312" w:hint="eastAsia"/>
          <w:noProof/>
          <w:sz w:val="32"/>
          <w:szCs w:val="32"/>
        </w:rPr>
        <w:t>921.12</w:t>
      </w:r>
      <w:r>
        <w:rPr>
          <w:rFonts w:ascii="仿宋_GB2312" w:eastAsia="仿宋_GB2312" w:hint="eastAsia"/>
          <w:sz w:val="32"/>
          <w:szCs w:val="32"/>
        </w:rPr>
        <w:t>万元，占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资本净额</w:t>
      </w:r>
      <w:r w:rsidR="00096F1D">
        <w:rPr>
          <w:rFonts w:ascii="仿宋_GB2312" w:eastAsia="仿宋_GB2312" w:hint="eastAsia"/>
          <w:noProof/>
          <w:sz w:val="32"/>
          <w:szCs w:val="32"/>
        </w:rPr>
        <w:t>2.20</w:t>
      </w:r>
      <w:r>
        <w:rPr>
          <w:rFonts w:ascii="仿宋_GB2312" w:eastAsia="仿宋_GB2312" w:hint="eastAsia"/>
          <w:sz w:val="32"/>
          <w:szCs w:val="32"/>
        </w:rPr>
        <w:t>%，</w:t>
      </w:r>
      <w:r w:rsidR="00C85706">
        <w:rPr>
          <w:rFonts w:ascii="仿宋_GB2312" w:eastAsia="仿宋_GB2312"/>
          <w:noProof/>
          <w:sz w:val="32"/>
          <w:szCs w:val="32"/>
        </w:rPr>
        <w:t>我社</w:t>
      </w:r>
      <w:r>
        <w:rPr>
          <w:rFonts w:ascii="仿宋_GB2312" w:eastAsia="仿宋_GB2312" w:hint="eastAsia"/>
          <w:sz w:val="32"/>
          <w:szCs w:val="32"/>
        </w:rPr>
        <w:t>单一客户关联度、集团客户关联度、全部关联度均符合监管要求。</w:t>
      </w:r>
    </w:p>
    <w:p w:rsidR="006E2B6C" w:rsidRDefault="006E2B6C" w:rsidP="00A7346D">
      <w:pPr>
        <w:spacing w:line="520" w:lineRule="exact"/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特此报告。</w:t>
      </w:r>
    </w:p>
    <w:p w:rsidR="006E2B6C" w:rsidRDefault="006E2B6C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E2B6C" w:rsidRDefault="006E2B6C" w:rsidP="006E2B6C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6E2B6C" w:rsidRDefault="00F956AD" w:rsidP="006E2B6C">
      <w:pPr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明溪县农村信用合作联社</w:t>
      </w:r>
    </w:p>
    <w:p w:rsidR="006E2B6C" w:rsidRDefault="00F956AD" w:rsidP="00F956AD">
      <w:pPr>
        <w:spacing w:line="52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t>2025年04月</w:t>
      </w:r>
      <w:r w:rsidR="00096F1D">
        <w:rPr>
          <w:rFonts w:ascii="仿宋_GB2312" w:eastAsia="仿宋_GB2312" w:hint="eastAsia"/>
          <w:noProof/>
          <w:sz w:val="32"/>
          <w:szCs w:val="32"/>
        </w:rPr>
        <w:t>21</w:t>
      </w:r>
      <w:r>
        <w:rPr>
          <w:rFonts w:ascii="仿宋_GB2312" w:eastAsia="仿宋_GB2312"/>
          <w:noProof/>
          <w:sz w:val="32"/>
          <w:szCs w:val="32"/>
        </w:rPr>
        <w:t>日</w:t>
      </w:r>
    </w:p>
    <w:p w:rsidR="009466D1" w:rsidRPr="006E2B6C" w:rsidRDefault="009466D1" w:rsidP="006E2B6C"/>
    <w:sectPr w:rsidR="009466D1" w:rsidRPr="006E2B6C" w:rsidSect="00B130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207" w:rsidRDefault="00566207" w:rsidP="006E2B6C">
      <w:r>
        <w:separator/>
      </w:r>
    </w:p>
  </w:endnote>
  <w:endnote w:type="continuationSeparator" w:id="1">
    <w:p w:rsidR="00566207" w:rsidRDefault="00566207" w:rsidP="006E2B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207" w:rsidRDefault="00566207" w:rsidP="006E2B6C">
      <w:r>
        <w:separator/>
      </w:r>
    </w:p>
  </w:footnote>
  <w:footnote w:type="continuationSeparator" w:id="1">
    <w:p w:rsidR="00566207" w:rsidRDefault="00566207" w:rsidP="006E2B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2C4"/>
    <w:rsid w:val="00011287"/>
    <w:rsid w:val="00051E0F"/>
    <w:rsid w:val="00057EFA"/>
    <w:rsid w:val="00062D46"/>
    <w:rsid w:val="00096F1D"/>
    <w:rsid w:val="000A10AB"/>
    <w:rsid w:val="000A18D0"/>
    <w:rsid w:val="000A6226"/>
    <w:rsid w:val="000F38D4"/>
    <w:rsid w:val="001156D5"/>
    <w:rsid w:val="001C5F40"/>
    <w:rsid w:val="001D357B"/>
    <w:rsid w:val="001E289F"/>
    <w:rsid w:val="001F3BB7"/>
    <w:rsid w:val="002304CF"/>
    <w:rsid w:val="00236C4C"/>
    <w:rsid w:val="00240054"/>
    <w:rsid w:val="00253851"/>
    <w:rsid w:val="00253B37"/>
    <w:rsid w:val="002759B5"/>
    <w:rsid w:val="0028456E"/>
    <w:rsid w:val="00286EFE"/>
    <w:rsid w:val="002D5612"/>
    <w:rsid w:val="002E0691"/>
    <w:rsid w:val="00347894"/>
    <w:rsid w:val="0036526A"/>
    <w:rsid w:val="00373FAE"/>
    <w:rsid w:val="00386A78"/>
    <w:rsid w:val="003913C4"/>
    <w:rsid w:val="00395B60"/>
    <w:rsid w:val="003B1D35"/>
    <w:rsid w:val="003B6197"/>
    <w:rsid w:val="003C125E"/>
    <w:rsid w:val="003F0304"/>
    <w:rsid w:val="00402401"/>
    <w:rsid w:val="00420E89"/>
    <w:rsid w:val="00434FF5"/>
    <w:rsid w:val="004402AD"/>
    <w:rsid w:val="00457F02"/>
    <w:rsid w:val="00460376"/>
    <w:rsid w:val="00481523"/>
    <w:rsid w:val="004B309F"/>
    <w:rsid w:val="004B7C62"/>
    <w:rsid w:val="004C1D07"/>
    <w:rsid w:val="004C5544"/>
    <w:rsid w:val="004C635D"/>
    <w:rsid w:val="004D7B97"/>
    <w:rsid w:val="004F333C"/>
    <w:rsid w:val="00566207"/>
    <w:rsid w:val="005D0154"/>
    <w:rsid w:val="006830F4"/>
    <w:rsid w:val="00693433"/>
    <w:rsid w:val="006E2B6C"/>
    <w:rsid w:val="006F1D64"/>
    <w:rsid w:val="00707CC8"/>
    <w:rsid w:val="007668EE"/>
    <w:rsid w:val="00793AD6"/>
    <w:rsid w:val="007A0A16"/>
    <w:rsid w:val="007D732F"/>
    <w:rsid w:val="007F69A1"/>
    <w:rsid w:val="00806AA5"/>
    <w:rsid w:val="008453EA"/>
    <w:rsid w:val="008661EE"/>
    <w:rsid w:val="00871562"/>
    <w:rsid w:val="008D0498"/>
    <w:rsid w:val="00924510"/>
    <w:rsid w:val="009466D1"/>
    <w:rsid w:val="00964C93"/>
    <w:rsid w:val="0098598D"/>
    <w:rsid w:val="0099527D"/>
    <w:rsid w:val="009A7313"/>
    <w:rsid w:val="009C37E6"/>
    <w:rsid w:val="009D4A47"/>
    <w:rsid w:val="009E0CA3"/>
    <w:rsid w:val="00A23644"/>
    <w:rsid w:val="00A27560"/>
    <w:rsid w:val="00A50B8B"/>
    <w:rsid w:val="00A5587B"/>
    <w:rsid w:val="00A7346D"/>
    <w:rsid w:val="00A93055"/>
    <w:rsid w:val="00B12557"/>
    <w:rsid w:val="00B1301E"/>
    <w:rsid w:val="00B4648A"/>
    <w:rsid w:val="00B67DBD"/>
    <w:rsid w:val="00B90CCE"/>
    <w:rsid w:val="00BC7549"/>
    <w:rsid w:val="00C1628F"/>
    <w:rsid w:val="00C17003"/>
    <w:rsid w:val="00C17E02"/>
    <w:rsid w:val="00C63D08"/>
    <w:rsid w:val="00C82454"/>
    <w:rsid w:val="00C83E5A"/>
    <w:rsid w:val="00C85706"/>
    <w:rsid w:val="00CA156A"/>
    <w:rsid w:val="00CB3CB2"/>
    <w:rsid w:val="00D10C17"/>
    <w:rsid w:val="00D36ACD"/>
    <w:rsid w:val="00D524E0"/>
    <w:rsid w:val="00D53D84"/>
    <w:rsid w:val="00DB57CC"/>
    <w:rsid w:val="00DB5CFC"/>
    <w:rsid w:val="00DC198B"/>
    <w:rsid w:val="00DE51A4"/>
    <w:rsid w:val="00E01E88"/>
    <w:rsid w:val="00E0308F"/>
    <w:rsid w:val="00E07C70"/>
    <w:rsid w:val="00E105C3"/>
    <w:rsid w:val="00E71593"/>
    <w:rsid w:val="00E96DA8"/>
    <w:rsid w:val="00EB29F3"/>
    <w:rsid w:val="00EB6A5D"/>
    <w:rsid w:val="00EC03B3"/>
    <w:rsid w:val="00EC63F7"/>
    <w:rsid w:val="00F34DEC"/>
    <w:rsid w:val="00F83769"/>
    <w:rsid w:val="00F956AD"/>
    <w:rsid w:val="00F96CBC"/>
    <w:rsid w:val="00FD02C4"/>
    <w:rsid w:val="00FF6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6C"/>
    <w:pPr>
      <w:widowControl w:val="0"/>
      <w:jc w:val="both"/>
    </w:p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2B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2B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2B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2B6C"/>
    <w:rPr>
      <w:sz w:val="18"/>
      <w:szCs w:val="18"/>
    </w:rPr>
  </w:style>
  <w:style w:type="paragraph" w:styleId="a5">
    <w:name w:val="annotation text"/>
    <w:basedOn w:val="a"/>
    <w:link w:val="Char1"/>
    <w:uiPriority w:val="99"/>
    <w:unhideWhenUsed/>
    <w:rsid w:val="006E2B6C"/>
    <w:pPr>
      <w:jc w:val="left"/>
    </w:pPr>
  </w:style>
  <w:style w:type="character" w:customStyle="1" w:styleId="Char1">
    <w:name w:val="批注文字 Char"/>
    <w:basedOn w:val="a0"/>
    <w:link w:val="a5"/>
    <w:uiPriority w:val="99"/>
    <w:rsid w:val="006E2B6C"/>
  </w:style>
  <w:style w:type="paragraph" w:styleId="a6">
    <w:name w:val="Balloon Text"/>
    <w:basedOn w:val="a"/>
    <w:link w:val="Char2"/>
    <w:uiPriority w:val="99"/>
    <w:semiHidden/>
    <w:unhideWhenUsed/>
    <w:rsid w:val="006E2B6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E2B6C"/>
    <w:rPr>
      <w:sz w:val="18"/>
      <w:szCs w:val="18"/>
    </w:rPr>
  </w:style>
  <w:style w:type="table" w:styleId="a7">
    <w:name w:val="Table Grid"/>
    <w:basedOn w:val="a1"/>
    <w:uiPriority w:val="59"/>
    <w:rsid w:val="006E2B6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sid w:val="006E2B6C"/>
    <w:rPr>
      <w:sz w:val="21"/>
      <w:szCs w:val="21"/>
    </w:rPr>
  </w:style>
  <w:style w:type="character" w:styleId="a9">
    <w:name w:val="Hyperlink"/>
    <w:uiPriority w:val="99"/>
    <w:unhideWhenUsed/>
    <w:rsid w:val="00B130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7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A9BF-5F26-4BF2-9B47-AA28F6C48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FJNX</dc:creator>
  <cp:keywords/>
  <dc:description/>
  <cp:lastModifiedBy>zlb</cp:lastModifiedBy>
  <cp:revision>88</cp:revision>
  <cp:lastPrinted>2025-04-22T02:31:00Z</cp:lastPrinted>
  <dcterms:created xsi:type="dcterms:W3CDTF">2023-03-03T09:19:00Z</dcterms:created>
  <dcterms:modified xsi:type="dcterms:W3CDTF">2025-04-22T02:47:00Z</dcterms:modified>
</cp:coreProperties>
</file>