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center"/>
        <w:rPr>
          <w:rFonts w:hint="eastAsia" w:ascii="方正小标宋简体" w:hAnsi="宋体" w:eastAsia="方正小标宋简体"/>
          <w:sz w:val="40"/>
          <w:szCs w:val="40"/>
        </w:rPr>
      </w:pPr>
      <w:r>
        <w:rPr>
          <w:rFonts w:hint="eastAsia" w:ascii="方正小标宋简体" w:hAnsi="宋体" w:eastAsia="方正小标宋简体"/>
          <w:sz w:val="40"/>
          <w:szCs w:val="40"/>
        </w:rPr>
        <w:t>福建</w:t>
      </w:r>
      <w:r>
        <w:rPr>
          <w:rFonts w:hint="eastAsia" w:ascii="方正小标宋简体" w:hAnsi="宋体" w:eastAsia="方正小标宋简体"/>
          <w:sz w:val="40"/>
          <w:szCs w:val="40"/>
          <w:lang w:eastAsia="zh-CN"/>
        </w:rPr>
        <w:t>农信</w:t>
      </w:r>
      <w:r>
        <w:rPr>
          <w:rFonts w:hint="eastAsia" w:ascii="方正小标宋简体" w:hAnsi="宋体" w:eastAsia="方正小标宋简体"/>
          <w:sz w:val="40"/>
          <w:szCs w:val="40"/>
        </w:rPr>
        <w:t>借记卡章程</w:t>
      </w:r>
    </w:p>
    <w:p>
      <w:pPr>
        <w:adjustRightInd w:val="0"/>
        <w:snapToGrid w:val="0"/>
        <w:spacing w:line="640" w:lineRule="exact"/>
        <w:jc w:val="center"/>
        <w:rPr>
          <w:rFonts w:hint="eastAsia" w:ascii="方正小标宋简体" w:hAnsi="宋体" w:eastAsia="方正小标宋简体"/>
          <w:sz w:val="40"/>
          <w:szCs w:val="40"/>
          <w:lang w:eastAsia="zh-CN"/>
        </w:rPr>
      </w:pPr>
      <w:r>
        <w:rPr>
          <w:rFonts w:hint="eastAsia" w:ascii="方正小标宋简体" w:hAnsi="宋体" w:eastAsia="方正小标宋简体"/>
          <w:sz w:val="40"/>
          <w:szCs w:val="40"/>
          <w:lang w:eastAsia="zh-CN"/>
        </w:rPr>
        <w:t>（</w:t>
      </w:r>
      <w:r>
        <w:rPr>
          <w:rFonts w:hint="eastAsia" w:ascii="方正小标宋简体" w:hAnsi="宋体" w:eastAsia="方正小标宋简体"/>
          <w:sz w:val="40"/>
          <w:szCs w:val="40"/>
          <w:lang w:val="en-US" w:eastAsia="zh-CN"/>
        </w:rPr>
        <w:t>2025年修订版</w:t>
      </w:r>
      <w:r>
        <w:rPr>
          <w:rFonts w:hint="eastAsia" w:ascii="方正小标宋简体" w:hAnsi="宋体" w:eastAsia="方正小标宋简体"/>
          <w:sz w:val="40"/>
          <w:szCs w:val="40"/>
          <w:lang w:eastAsia="zh-CN"/>
        </w:rPr>
        <w:t>）</w:t>
      </w:r>
    </w:p>
    <w:p>
      <w:pPr>
        <w:pStyle w:val="15"/>
        <w:spacing w:line="480" w:lineRule="exact"/>
        <w:ind w:firstLine="640"/>
        <w:jc w:val="center"/>
        <w:rPr>
          <w:rFonts w:ascii="黑体" w:hAnsi="黑体" w:eastAsia="黑体"/>
          <w:sz w:val="32"/>
          <w:szCs w:val="32"/>
        </w:rPr>
      </w:pPr>
    </w:p>
    <w:p>
      <w:pPr>
        <w:pStyle w:val="15"/>
        <w:spacing w:line="480" w:lineRule="exact"/>
        <w:ind w:firstLine="640"/>
        <w:jc w:val="center"/>
        <w:outlineLvl w:val="0"/>
        <w:rPr>
          <w:rFonts w:ascii="黑体" w:hAnsi="黑体" w:eastAsia="黑体"/>
          <w:sz w:val="32"/>
          <w:szCs w:val="32"/>
        </w:rPr>
      </w:pPr>
      <w:r>
        <w:rPr>
          <w:rFonts w:hint="eastAsia" w:ascii="黑体" w:hAnsi="黑体" w:eastAsia="黑体"/>
          <w:sz w:val="32"/>
          <w:szCs w:val="32"/>
        </w:rPr>
        <w:t>第一章 总则</w:t>
      </w:r>
    </w:p>
    <w:p>
      <w:pPr>
        <w:pStyle w:val="16"/>
        <w:numPr>
          <w:ilvl w:val="0"/>
          <w:numId w:val="1"/>
        </w:num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w:t>
      </w:r>
      <w:r>
        <w:rPr>
          <w:rFonts w:hint="eastAsia" w:ascii="仿宋_GB2312" w:hAnsi="宋体" w:eastAsia="仿宋_GB2312"/>
          <w:snapToGrid w:val="0"/>
          <w:kern w:val="0"/>
          <w:sz w:val="32"/>
          <w:szCs w:val="32"/>
          <w:shd w:val="clear" w:color="auto" w:fill="FFFFFF"/>
        </w:rPr>
        <w:t>向持卡人提供更好的银行卡服务，同时规范</w:t>
      </w:r>
      <w:r>
        <w:rPr>
          <w:rStyle w:val="13"/>
          <w:rFonts w:hint="eastAsia" w:ascii="仿宋_GB2312" w:eastAsia="仿宋_GB2312" w:cs="Tahoma"/>
          <w:b w:val="0"/>
          <w:bCs w:val="0"/>
          <w:snapToGrid w:val="0"/>
          <w:kern w:val="0"/>
          <w:sz w:val="32"/>
          <w:szCs w:val="32"/>
        </w:rPr>
        <w:t>福建省各市、县、区农村信用合作联社、农村商业银行（以下简称“发卡行社”）和持卡人</w:t>
      </w:r>
      <w:r>
        <w:rPr>
          <w:rFonts w:hint="eastAsia" w:ascii="仿宋_GB2312" w:hAnsi="宋体" w:eastAsia="仿宋_GB2312"/>
          <w:snapToGrid w:val="0"/>
          <w:kern w:val="0"/>
          <w:sz w:val="32"/>
          <w:szCs w:val="32"/>
          <w:shd w:val="clear" w:color="auto" w:fill="FFFFFF"/>
        </w:rPr>
        <w:t>的权利义务，根据《储蓄管理条例》</w:t>
      </w:r>
      <w:r>
        <w:rPr>
          <w:rFonts w:hint="eastAsia" w:ascii="仿宋_GB2312" w:hAnsi="仿宋_GB2312" w:eastAsia="仿宋_GB2312" w:cs="仿宋_GB2312"/>
          <w:color w:val="auto"/>
          <w:sz w:val="32"/>
          <w:szCs w:val="32"/>
          <w:highlight w:val="none"/>
          <w:lang w:eastAsia="zh-CN"/>
        </w:rPr>
        <w:t>《人民币银行结算账户管理办法》</w:t>
      </w:r>
      <w:r>
        <w:rPr>
          <w:rFonts w:hint="eastAsia" w:ascii="仿宋_GB2312" w:hAnsi="宋体" w:eastAsia="仿宋_GB2312"/>
          <w:snapToGrid w:val="0"/>
          <w:kern w:val="0"/>
          <w:sz w:val="32"/>
          <w:szCs w:val="32"/>
          <w:shd w:val="clear" w:color="auto" w:fill="FFFFFF"/>
          <w:lang w:eastAsia="zh-CN"/>
        </w:rPr>
        <w:t>等</w:t>
      </w:r>
      <w:r>
        <w:rPr>
          <w:rFonts w:hint="eastAsia" w:ascii="仿宋_GB2312" w:hAnsi="宋体" w:eastAsia="仿宋_GB2312"/>
          <w:snapToGrid w:val="0"/>
          <w:kern w:val="0"/>
          <w:sz w:val="32"/>
          <w:szCs w:val="32"/>
          <w:shd w:val="clear" w:color="auto" w:fill="FFFFFF"/>
        </w:rPr>
        <w:t>有关规定，制定本章程。</w:t>
      </w:r>
    </w:p>
    <w:p>
      <w:pPr>
        <w:pStyle w:val="16"/>
        <w:numPr>
          <w:ilvl w:val="0"/>
          <w:numId w:val="1"/>
        </w:numPr>
        <w:spacing w:line="560" w:lineRule="exact"/>
        <w:ind w:firstLine="640"/>
        <w:rPr>
          <w:rFonts w:ascii="仿宋_GB2312" w:hAnsi="宋体" w:eastAsia="仿宋_GB2312"/>
          <w:snapToGrid w:val="0"/>
          <w:kern w:val="0"/>
          <w:sz w:val="32"/>
          <w:szCs w:val="32"/>
        </w:rPr>
      </w:pPr>
      <w:r>
        <w:rPr>
          <w:rFonts w:hint="eastAsia" w:ascii="仿宋_GB2312" w:hAnsi="仿宋_GB2312" w:eastAsia="仿宋_GB2312" w:cs="仿宋_GB2312"/>
          <w:color w:val="000000"/>
          <w:sz w:val="32"/>
          <w:szCs w:val="32"/>
        </w:rPr>
        <w:t>本章程所称的“</w:t>
      </w:r>
      <w:r>
        <w:rPr>
          <w:rFonts w:hint="eastAsia" w:ascii="仿宋_GB2312" w:hAnsi="仿宋_GB2312" w:eastAsia="仿宋_GB2312" w:cs="仿宋_GB2312"/>
          <w:color w:val="000000"/>
          <w:sz w:val="32"/>
          <w:szCs w:val="32"/>
          <w:lang w:eastAsia="zh-CN"/>
        </w:rPr>
        <w:t>福建农信</w:t>
      </w:r>
      <w:r>
        <w:rPr>
          <w:rFonts w:hint="eastAsia" w:ascii="仿宋_GB2312" w:hAnsi="仿宋_GB2312" w:eastAsia="仿宋_GB2312" w:cs="仿宋_GB2312"/>
          <w:color w:val="000000"/>
          <w:sz w:val="32"/>
          <w:szCs w:val="32"/>
        </w:rPr>
        <w:t>借记</w:t>
      </w:r>
      <w:r>
        <w:rPr>
          <w:rStyle w:val="13"/>
          <w:rFonts w:hint="eastAsia" w:ascii="仿宋_GB2312" w:eastAsia="仿宋_GB2312" w:cs="Tahoma"/>
          <w:b w:val="0"/>
          <w:bCs w:val="0"/>
          <w:snapToGrid w:val="0"/>
          <w:kern w:val="0"/>
          <w:sz w:val="32"/>
          <w:szCs w:val="32"/>
        </w:rPr>
        <w:t>卡</w:t>
      </w:r>
      <w:r>
        <w:rPr>
          <w:rFonts w:hint="eastAsia" w:ascii="仿宋_GB2312" w:hAnsi="宋体" w:eastAsia="仿宋_GB2312" w:cs="宋体"/>
          <w:snapToGrid w:val="0"/>
          <w:kern w:val="0"/>
          <w:sz w:val="32"/>
          <w:szCs w:val="32"/>
        </w:rPr>
        <w:t>”（以下简称“</w:t>
      </w:r>
      <w:r>
        <w:rPr>
          <w:rFonts w:hint="eastAsia" w:ascii="仿宋_GB2312" w:hAnsi="宋体" w:eastAsia="仿宋_GB2312" w:cs="宋体"/>
          <w:snapToGrid w:val="0"/>
          <w:kern w:val="0"/>
          <w:sz w:val="32"/>
          <w:szCs w:val="32"/>
          <w:lang w:eastAsia="zh-CN"/>
        </w:rPr>
        <w:t>借记卡</w:t>
      </w:r>
      <w:r>
        <w:rPr>
          <w:rFonts w:hint="eastAsia" w:ascii="仿宋_GB2312" w:hAnsi="宋体" w:eastAsia="仿宋_GB2312" w:cs="宋体"/>
          <w:snapToGrid w:val="0"/>
          <w:kern w:val="0"/>
          <w:sz w:val="32"/>
          <w:szCs w:val="32"/>
        </w:rPr>
        <w:t>”）</w:t>
      </w:r>
      <w:r>
        <w:rPr>
          <w:rStyle w:val="13"/>
          <w:rFonts w:hint="eastAsia" w:ascii="仿宋_GB2312" w:eastAsia="仿宋_GB2312" w:cs="Tahoma"/>
          <w:b w:val="0"/>
          <w:bCs w:val="0"/>
          <w:snapToGrid w:val="0"/>
          <w:kern w:val="0"/>
          <w:sz w:val="32"/>
          <w:szCs w:val="32"/>
        </w:rPr>
        <w:t>是各发卡行社委托福建省农村信用社联合社</w:t>
      </w:r>
      <w:r>
        <w:rPr>
          <w:rStyle w:val="13"/>
          <w:rFonts w:hint="eastAsia" w:ascii="仿宋_GB2312" w:eastAsia="仿宋_GB2312" w:cs="Tahoma"/>
          <w:b w:val="0"/>
          <w:bCs w:val="0"/>
          <w:snapToGrid w:val="0"/>
          <w:kern w:val="0"/>
          <w:sz w:val="32"/>
          <w:szCs w:val="32"/>
          <w:lang w:eastAsia="zh-CN"/>
        </w:rPr>
        <w:t>（以下简称“省联社”）</w:t>
      </w:r>
      <w:r>
        <w:rPr>
          <w:rStyle w:val="13"/>
          <w:rFonts w:hint="eastAsia" w:ascii="仿宋_GB2312" w:eastAsia="仿宋_GB2312" w:cs="Tahoma"/>
          <w:b w:val="0"/>
          <w:bCs w:val="0"/>
          <w:snapToGrid w:val="0"/>
          <w:kern w:val="0"/>
          <w:sz w:val="32"/>
          <w:szCs w:val="32"/>
        </w:rPr>
        <w:t>申请的统一品牌借记卡，需遵循</w:t>
      </w:r>
      <w:r>
        <w:rPr>
          <w:rStyle w:val="13"/>
          <w:rFonts w:hint="eastAsia" w:ascii="仿宋_GB2312" w:eastAsia="仿宋_GB2312" w:cs="Tahoma"/>
          <w:b w:val="0"/>
          <w:bCs w:val="0"/>
          <w:snapToGrid w:val="0"/>
          <w:kern w:val="0"/>
          <w:sz w:val="32"/>
          <w:szCs w:val="32"/>
          <w:lang w:eastAsia="zh-CN"/>
        </w:rPr>
        <w:t>金融监管机构相关规定</w:t>
      </w:r>
      <w:r>
        <w:rPr>
          <w:rFonts w:hint="eastAsia" w:ascii="仿宋_GB2312" w:hAnsi="宋体" w:eastAsia="仿宋_GB2312" w:cs="宋体"/>
          <w:snapToGrid w:val="0"/>
          <w:kern w:val="0"/>
          <w:sz w:val="32"/>
          <w:szCs w:val="32"/>
        </w:rPr>
        <w:t>。</w:t>
      </w:r>
    </w:p>
    <w:p>
      <w:pPr>
        <w:pStyle w:val="16"/>
        <w:numPr>
          <w:ilvl w:val="0"/>
          <w:numId w:val="1"/>
        </w:numPr>
        <w:spacing w:line="560" w:lineRule="exact"/>
        <w:ind w:firstLine="640"/>
        <w:rPr>
          <w:rFonts w:ascii="仿宋_GB2312" w:hAnsi="仿宋_GB2312" w:eastAsia="仿宋_GB2312" w:cs="仿宋_GB2312"/>
          <w:color w:val="000000"/>
          <w:sz w:val="32"/>
          <w:szCs w:val="32"/>
        </w:rPr>
      </w:pPr>
      <w:r>
        <w:rPr>
          <w:rFonts w:hint="eastAsia" w:ascii="仿宋_GB2312" w:hAnsi="宋体" w:eastAsia="仿宋_GB2312" w:cs="宋体"/>
          <w:snapToGrid w:val="0"/>
          <w:kern w:val="0"/>
          <w:sz w:val="32"/>
          <w:szCs w:val="32"/>
          <w:lang w:eastAsia="zh-CN"/>
        </w:rPr>
        <w:t>借记卡</w:t>
      </w:r>
      <w:r>
        <w:rPr>
          <w:rFonts w:hint="eastAsia" w:ascii="仿宋_GB2312" w:hAnsi="宋体" w:eastAsia="仿宋_GB2312" w:cs="宋体"/>
          <w:snapToGrid w:val="0"/>
          <w:kern w:val="0"/>
          <w:sz w:val="32"/>
          <w:szCs w:val="32"/>
        </w:rPr>
        <w:t>是具有消费结算、转账汇款、存取现金和投资理财等全部或部分功能的金融支付结算工具，不提供透支服务。</w:t>
      </w:r>
    </w:p>
    <w:p>
      <w:pPr>
        <w:pStyle w:val="16"/>
        <w:numPr>
          <w:ilvl w:val="0"/>
          <w:numId w:val="1"/>
        </w:num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各发卡行社、特约商户、</w:t>
      </w:r>
      <w:r>
        <w:rPr>
          <w:rStyle w:val="13"/>
          <w:rFonts w:hint="eastAsia" w:ascii="仿宋_GB2312" w:eastAsia="仿宋_GB2312" w:cs="Tahoma"/>
          <w:b w:val="0"/>
          <w:bCs w:val="0"/>
          <w:snapToGrid w:val="0"/>
          <w:kern w:val="0"/>
          <w:sz w:val="32"/>
          <w:szCs w:val="32"/>
        </w:rPr>
        <w:t>持有</w:t>
      </w:r>
      <w:r>
        <w:rPr>
          <w:rStyle w:val="13"/>
          <w:rFonts w:hint="eastAsia" w:ascii="仿宋_GB2312" w:eastAsia="仿宋_GB2312" w:cs="Tahoma"/>
          <w:b w:val="0"/>
          <w:bCs w:val="0"/>
          <w:snapToGrid w:val="0"/>
          <w:kern w:val="0"/>
          <w:sz w:val="32"/>
          <w:szCs w:val="32"/>
          <w:lang w:eastAsia="zh-CN"/>
        </w:rPr>
        <w:t>借记卡</w:t>
      </w:r>
      <w:r>
        <w:rPr>
          <w:rStyle w:val="13"/>
          <w:rFonts w:hint="eastAsia" w:ascii="仿宋_GB2312" w:eastAsia="仿宋_GB2312" w:cs="Tahoma"/>
          <w:b w:val="0"/>
          <w:bCs w:val="0"/>
          <w:snapToGrid w:val="0"/>
          <w:kern w:val="0"/>
          <w:sz w:val="32"/>
          <w:szCs w:val="32"/>
        </w:rPr>
        <w:t>的客户（以下简称“持卡人”）和向发卡行社申请</w:t>
      </w:r>
      <w:r>
        <w:rPr>
          <w:rStyle w:val="13"/>
          <w:rFonts w:hint="eastAsia" w:ascii="仿宋_GB2312" w:eastAsia="仿宋_GB2312" w:cs="Tahoma"/>
          <w:b w:val="0"/>
          <w:bCs w:val="0"/>
          <w:snapToGrid w:val="0"/>
          <w:kern w:val="0"/>
          <w:sz w:val="32"/>
          <w:szCs w:val="32"/>
          <w:lang w:eastAsia="zh-CN"/>
        </w:rPr>
        <w:t>借记卡</w:t>
      </w:r>
      <w:r>
        <w:rPr>
          <w:rStyle w:val="13"/>
          <w:rFonts w:hint="eastAsia" w:ascii="仿宋_GB2312" w:eastAsia="仿宋_GB2312" w:cs="Tahoma"/>
          <w:b w:val="0"/>
          <w:bCs w:val="0"/>
          <w:snapToGrid w:val="0"/>
          <w:kern w:val="0"/>
          <w:sz w:val="32"/>
          <w:szCs w:val="32"/>
        </w:rPr>
        <w:t>的客户（以下简称“申请人”）</w:t>
      </w:r>
      <w:r>
        <w:rPr>
          <w:rFonts w:hint="eastAsia" w:ascii="仿宋_GB2312" w:hAnsi="仿宋_GB2312" w:eastAsia="仿宋_GB2312" w:cs="仿宋_GB2312"/>
          <w:color w:val="000000"/>
          <w:sz w:val="32"/>
          <w:szCs w:val="32"/>
        </w:rPr>
        <w:t>及其他当事人办理</w:t>
      </w:r>
      <w:r>
        <w:rPr>
          <w:rFonts w:hint="eastAsia" w:ascii="仿宋_GB2312" w:hAnsi="仿宋_GB2312" w:eastAsia="仿宋_GB2312" w:cs="仿宋_GB2312"/>
          <w:color w:val="000000"/>
          <w:sz w:val="32"/>
          <w:szCs w:val="32"/>
          <w:lang w:eastAsia="zh-CN"/>
        </w:rPr>
        <w:t>借记卡</w:t>
      </w:r>
      <w:r>
        <w:rPr>
          <w:rFonts w:hint="eastAsia" w:ascii="仿宋_GB2312" w:hAnsi="仿宋_GB2312" w:eastAsia="仿宋_GB2312" w:cs="仿宋_GB2312"/>
          <w:color w:val="000000"/>
          <w:sz w:val="32"/>
          <w:szCs w:val="32"/>
        </w:rPr>
        <w:t>业务时均须遵守本章程的相关规定。</w:t>
      </w:r>
    </w:p>
    <w:p>
      <w:pPr>
        <w:pStyle w:val="15"/>
        <w:spacing w:line="480" w:lineRule="exact"/>
        <w:ind w:firstLine="640"/>
        <w:jc w:val="center"/>
        <w:rPr>
          <w:rFonts w:ascii="黑体" w:hAnsi="黑体" w:eastAsia="黑体"/>
          <w:sz w:val="32"/>
          <w:szCs w:val="32"/>
        </w:rPr>
      </w:pPr>
    </w:p>
    <w:p>
      <w:pPr>
        <w:pStyle w:val="15"/>
        <w:spacing w:line="480" w:lineRule="exact"/>
        <w:ind w:firstLine="640"/>
        <w:jc w:val="center"/>
        <w:rPr>
          <w:rFonts w:ascii="黑体" w:hAnsi="黑体" w:eastAsia="黑体"/>
          <w:sz w:val="32"/>
          <w:szCs w:val="32"/>
        </w:rPr>
      </w:pPr>
      <w:r>
        <w:rPr>
          <w:rFonts w:hint="eastAsia" w:ascii="黑体" w:hAnsi="黑体" w:eastAsia="黑体"/>
          <w:sz w:val="32"/>
          <w:szCs w:val="32"/>
        </w:rPr>
        <w:t>第二章 分类及使用范围</w:t>
      </w:r>
    </w:p>
    <w:p>
      <w:pPr>
        <w:pStyle w:val="16"/>
        <w:numPr>
          <w:ilvl w:val="0"/>
          <w:numId w:val="1"/>
        </w:numPr>
        <w:spacing w:line="560" w:lineRule="exact"/>
        <w:ind w:firstLine="640"/>
        <w:rPr>
          <w:rStyle w:val="13"/>
          <w:rFonts w:ascii="仿宋_GB2312" w:hAnsi="仿宋_GB2312" w:eastAsia="仿宋_GB2312" w:cs="仿宋_GB2312"/>
          <w:b w:val="0"/>
          <w:bCs w:val="0"/>
          <w:color w:val="000000"/>
          <w:sz w:val="32"/>
          <w:szCs w:val="32"/>
        </w:rPr>
      </w:pPr>
      <w:r>
        <w:rPr>
          <w:rStyle w:val="13"/>
          <w:rFonts w:hint="eastAsia" w:ascii="仿宋_GB2312" w:hAnsi="仿宋_GB2312" w:eastAsia="仿宋_GB2312" w:cs="仿宋_GB2312"/>
          <w:b w:val="0"/>
          <w:bCs w:val="0"/>
          <w:color w:val="000000"/>
          <w:sz w:val="32"/>
          <w:szCs w:val="32"/>
          <w:lang w:eastAsia="zh-CN"/>
        </w:rPr>
        <w:t>借记卡</w:t>
      </w:r>
      <w:r>
        <w:rPr>
          <w:rStyle w:val="13"/>
          <w:rFonts w:hint="eastAsia" w:ascii="仿宋_GB2312" w:hAnsi="仿宋_GB2312" w:eastAsia="仿宋_GB2312" w:cs="仿宋_GB2312"/>
          <w:b w:val="0"/>
          <w:bCs w:val="0"/>
          <w:color w:val="000000"/>
          <w:sz w:val="32"/>
          <w:szCs w:val="32"/>
        </w:rPr>
        <w:t>分类</w:t>
      </w:r>
    </w:p>
    <w:p>
      <w:pPr>
        <w:pStyle w:val="16"/>
        <w:spacing w:line="560" w:lineRule="exact"/>
        <w:ind w:firstLine="640"/>
        <w:rPr>
          <w:rStyle w:val="13"/>
          <w:rFonts w:ascii="仿宋_GB2312" w:hAnsi="仿宋_GB2312" w:eastAsia="仿宋_GB2312" w:cs="仿宋_GB2312"/>
          <w:b w:val="0"/>
          <w:bCs w:val="0"/>
          <w:color w:val="000000"/>
          <w:sz w:val="32"/>
          <w:szCs w:val="32"/>
        </w:rPr>
      </w:pPr>
      <w:r>
        <w:rPr>
          <w:rStyle w:val="13"/>
          <w:rFonts w:hint="eastAsia" w:ascii="仿宋_GB2312" w:hAnsi="仿宋_GB2312" w:eastAsia="仿宋_GB2312" w:cs="仿宋_GB2312"/>
          <w:b w:val="0"/>
          <w:bCs w:val="0"/>
          <w:color w:val="000000"/>
          <w:sz w:val="32"/>
          <w:szCs w:val="32"/>
        </w:rPr>
        <w:t>（一）按有无实体介质划分为实体卡和虚拟卡。实体卡指配有实体</w:t>
      </w:r>
      <w:r>
        <w:rPr>
          <w:rStyle w:val="13"/>
          <w:rFonts w:ascii="仿宋_GB2312" w:hAnsi="仿宋_GB2312" w:eastAsia="仿宋_GB2312" w:cs="仿宋_GB2312"/>
          <w:b w:val="0"/>
          <w:bCs w:val="0"/>
          <w:color w:val="000000"/>
          <w:sz w:val="32"/>
          <w:szCs w:val="32"/>
        </w:rPr>
        <w:t>介质的</w:t>
      </w:r>
      <w:r>
        <w:rPr>
          <w:rStyle w:val="13"/>
          <w:rFonts w:hint="eastAsia" w:ascii="仿宋_GB2312" w:hAnsi="仿宋_GB2312" w:eastAsia="仿宋_GB2312" w:cs="仿宋_GB2312"/>
          <w:b w:val="0"/>
          <w:bCs w:val="0"/>
          <w:color w:val="000000"/>
          <w:sz w:val="32"/>
          <w:szCs w:val="32"/>
          <w:lang w:eastAsia="zh-CN"/>
        </w:rPr>
        <w:t>借记卡</w:t>
      </w:r>
      <w:r>
        <w:rPr>
          <w:rStyle w:val="13"/>
          <w:rFonts w:hint="eastAsia" w:ascii="仿宋_GB2312" w:hAnsi="仿宋_GB2312" w:eastAsia="仿宋_GB2312" w:cs="仿宋_GB2312"/>
          <w:b w:val="0"/>
          <w:bCs w:val="0"/>
          <w:color w:val="000000"/>
          <w:sz w:val="32"/>
          <w:szCs w:val="32"/>
        </w:rPr>
        <w:t>，虚拟卡指</w:t>
      </w:r>
      <w:r>
        <w:rPr>
          <w:rFonts w:hint="eastAsia" w:ascii="仿宋_GB2312" w:hAnsi="宋体" w:eastAsia="仿宋_GB2312" w:cs="宋体"/>
          <w:snapToGrid w:val="0"/>
          <w:kern w:val="0"/>
          <w:sz w:val="32"/>
          <w:szCs w:val="32"/>
        </w:rPr>
        <w:t>未配实体介质的</w:t>
      </w:r>
      <w:r>
        <w:rPr>
          <w:rFonts w:hint="eastAsia" w:ascii="仿宋_GB2312" w:hAnsi="宋体" w:eastAsia="仿宋_GB2312" w:cs="宋体"/>
          <w:snapToGrid w:val="0"/>
          <w:kern w:val="0"/>
          <w:sz w:val="32"/>
          <w:szCs w:val="32"/>
          <w:lang w:eastAsia="zh-CN"/>
        </w:rPr>
        <w:t>借记卡</w:t>
      </w:r>
      <w:r>
        <w:rPr>
          <w:rFonts w:hint="eastAsia" w:ascii="仿宋_GB2312" w:hAnsi="宋体" w:eastAsia="仿宋_GB2312" w:cs="宋体"/>
          <w:snapToGrid w:val="0"/>
          <w:kern w:val="0"/>
          <w:sz w:val="32"/>
          <w:szCs w:val="32"/>
        </w:rPr>
        <w:t>，账户功能与实体卡一致。</w:t>
      </w:r>
    </w:p>
    <w:p>
      <w:pPr>
        <w:pStyle w:val="16"/>
        <w:spacing w:line="560" w:lineRule="exact"/>
        <w:ind w:firstLine="640"/>
        <w:rPr>
          <w:rStyle w:val="13"/>
          <w:rFonts w:ascii="仿宋_GB2312" w:eastAsia="仿宋_GB2312" w:cs="Tahoma"/>
          <w:b w:val="0"/>
          <w:bCs w:val="0"/>
          <w:snapToGrid w:val="0"/>
          <w:kern w:val="0"/>
          <w:sz w:val="32"/>
          <w:szCs w:val="32"/>
        </w:rPr>
      </w:pPr>
      <w:r>
        <w:rPr>
          <w:rStyle w:val="13"/>
          <w:rFonts w:hint="eastAsia" w:ascii="仿宋_GB2312" w:eastAsia="仿宋_GB2312" w:cs="Tahoma"/>
          <w:b w:val="0"/>
          <w:bCs w:val="0"/>
          <w:snapToGrid w:val="0"/>
          <w:kern w:val="0"/>
          <w:sz w:val="32"/>
          <w:szCs w:val="32"/>
        </w:rPr>
        <w:t>（二）按发卡对象分为普卡、金卡、白金卡、员工卡。</w:t>
      </w:r>
    </w:p>
    <w:p>
      <w:pPr>
        <w:pStyle w:val="16"/>
        <w:spacing w:line="560" w:lineRule="exact"/>
        <w:ind w:firstLine="640"/>
        <w:rPr>
          <w:rFonts w:ascii="仿宋_GB2312" w:hAnsi="仿宋_GB2312" w:eastAsia="仿宋_GB2312" w:cs="仿宋_GB2312"/>
          <w:sz w:val="32"/>
          <w:szCs w:val="32"/>
        </w:rPr>
      </w:pPr>
      <w:r>
        <w:rPr>
          <w:rStyle w:val="13"/>
          <w:rFonts w:hint="eastAsia" w:ascii="仿宋_GB2312" w:eastAsia="仿宋_GB2312" w:cs="Tahoma"/>
          <w:b w:val="0"/>
          <w:bCs w:val="0"/>
          <w:snapToGrid w:val="0"/>
          <w:kern w:val="0"/>
          <w:sz w:val="32"/>
          <w:szCs w:val="32"/>
        </w:rPr>
        <w:t>（三）按发卡主体，分为联名</w:t>
      </w:r>
      <w:r>
        <w:rPr>
          <w:rFonts w:hint="eastAsia" w:ascii="仿宋_GB2312" w:hAnsi="仿宋_GB2312" w:eastAsia="仿宋_GB2312" w:cs="仿宋_GB2312"/>
          <w:color w:val="000000"/>
          <w:sz w:val="32"/>
          <w:szCs w:val="32"/>
        </w:rPr>
        <w:t>（认同）</w:t>
      </w:r>
      <w:r>
        <w:rPr>
          <w:rStyle w:val="13"/>
          <w:rFonts w:hint="eastAsia" w:ascii="仿宋_GB2312" w:eastAsia="仿宋_GB2312" w:cs="Tahoma"/>
          <w:b w:val="0"/>
          <w:bCs w:val="0"/>
          <w:snapToGrid w:val="0"/>
          <w:kern w:val="0"/>
          <w:sz w:val="32"/>
          <w:szCs w:val="32"/>
        </w:rPr>
        <w:t>卡和非联名卡。</w:t>
      </w:r>
      <w:r>
        <w:rPr>
          <w:rFonts w:hint="eastAsia" w:ascii="仿宋_GB2312" w:hAnsi="仿宋_GB2312" w:eastAsia="仿宋_GB2312" w:cs="仿宋_GB2312"/>
          <w:color w:val="000000"/>
          <w:sz w:val="32"/>
          <w:szCs w:val="32"/>
        </w:rPr>
        <w:t>联名（认同）卡是各发卡行社与联名单位合作发行的</w:t>
      </w:r>
      <w:r>
        <w:rPr>
          <w:rFonts w:hint="eastAsia" w:ascii="仿宋_GB2312" w:hAnsi="仿宋_GB2312" w:eastAsia="仿宋_GB2312" w:cs="仿宋_GB2312"/>
          <w:color w:val="000000"/>
          <w:sz w:val="32"/>
          <w:szCs w:val="32"/>
          <w:lang w:eastAsia="zh-CN"/>
        </w:rPr>
        <w:t>借记卡</w:t>
      </w:r>
      <w:r>
        <w:rPr>
          <w:rFonts w:hint="eastAsia" w:ascii="仿宋_GB2312" w:hAnsi="仿宋_GB2312" w:eastAsia="仿宋_GB2312" w:cs="仿宋_GB2312"/>
          <w:color w:val="000000"/>
          <w:sz w:val="32"/>
          <w:szCs w:val="32"/>
        </w:rPr>
        <w:t>，其中，与盈利性单位联名发行的称为联名卡，与非盈利性单位联名发行的称为认同卡。</w:t>
      </w:r>
    </w:p>
    <w:p>
      <w:pPr>
        <w:pStyle w:val="16"/>
        <w:spacing w:line="560" w:lineRule="exact"/>
        <w:ind w:firstLine="640"/>
        <w:rPr>
          <w:rStyle w:val="13"/>
          <w:rFonts w:ascii="仿宋_GB2312" w:eastAsia="仿宋_GB2312" w:cs="Tahoma"/>
          <w:b w:val="0"/>
          <w:bCs w:val="0"/>
          <w:snapToGrid w:val="0"/>
          <w:kern w:val="0"/>
          <w:sz w:val="32"/>
          <w:szCs w:val="32"/>
        </w:rPr>
      </w:pPr>
      <w:r>
        <w:rPr>
          <w:rStyle w:val="13"/>
          <w:rFonts w:hint="eastAsia" w:ascii="仿宋_GB2312" w:eastAsia="仿宋_GB2312" w:cs="Tahoma"/>
          <w:b w:val="0"/>
          <w:bCs w:val="0"/>
          <w:snapToGrid w:val="0"/>
          <w:kern w:val="0"/>
          <w:sz w:val="32"/>
          <w:szCs w:val="32"/>
        </w:rPr>
        <w:t>（四）按信息载体分为磁条卡、磁条芯片复合卡、纯芯片卡，其中，磁条芯片复合卡、纯芯片卡统称“IC卡”。</w:t>
      </w:r>
    </w:p>
    <w:p>
      <w:pPr>
        <w:pStyle w:val="17"/>
        <w:ind w:firstLine="640"/>
        <w:rPr>
          <w:rStyle w:val="13"/>
          <w:rFonts w:ascii="仿宋_GB2312" w:hAnsi="仿宋_GB2312" w:eastAsia="仿宋_GB2312" w:cs="仿宋_GB2312"/>
          <w:b w:val="0"/>
          <w:bCs w:val="0"/>
          <w:color w:val="000000"/>
          <w:sz w:val="32"/>
          <w:szCs w:val="32"/>
        </w:rPr>
      </w:pPr>
      <w:r>
        <w:rPr>
          <w:rStyle w:val="13"/>
          <w:rFonts w:hint="eastAsia" w:ascii="仿宋_GB2312" w:eastAsia="仿宋_GB2312" w:cs="Tahoma"/>
          <w:b w:val="0"/>
          <w:bCs w:val="0"/>
          <w:snapToGrid w:val="0"/>
          <w:kern w:val="0"/>
          <w:sz w:val="32"/>
          <w:szCs w:val="32"/>
        </w:rPr>
        <w:t>（五）按账户类型分为I类户、Ⅱ类户和Ⅲ类户</w:t>
      </w:r>
      <w:r>
        <w:rPr>
          <w:rStyle w:val="13"/>
          <w:rFonts w:hint="eastAsia" w:ascii="仿宋_GB2312" w:eastAsia="仿宋_GB2312" w:cs="Tahoma"/>
          <w:b w:val="0"/>
          <w:bCs w:val="0"/>
          <w:snapToGrid w:val="0"/>
          <w:kern w:val="0"/>
          <w:sz w:val="32"/>
          <w:szCs w:val="32"/>
          <w:lang w:eastAsia="zh-CN"/>
        </w:rPr>
        <w:t>借记卡</w:t>
      </w:r>
      <w:r>
        <w:rPr>
          <w:rStyle w:val="13"/>
          <w:rFonts w:hint="eastAsia" w:ascii="仿宋_GB2312" w:eastAsia="仿宋_GB2312" w:cs="Tahoma"/>
          <w:b w:val="0"/>
          <w:bCs w:val="0"/>
          <w:snapToGrid w:val="0"/>
          <w:kern w:val="0"/>
          <w:sz w:val="32"/>
          <w:szCs w:val="32"/>
        </w:rPr>
        <w:t>。</w:t>
      </w:r>
    </w:p>
    <w:p>
      <w:pPr>
        <w:pStyle w:val="16"/>
        <w:numPr>
          <w:ilvl w:val="0"/>
          <w:numId w:val="1"/>
        </w:numPr>
        <w:spacing w:line="560" w:lineRule="exact"/>
        <w:ind w:firstLine="640"/>
        <w:rPr>
          <w:rStyle w:val="13"/>
          <w:rFonts w:ascii="仿宋_GB2312" w:hAnsi="仿宋_GB2312" w:eastAsia="仿宋_GB2312" w:cs="仿宋_GB2312"/>
          <w:b w:val="0"/>
          <w:bCs w:val="0"/>
          <w:color w:val="000000"/>
          <w:sz w:val="32"/>
          <w:szCs w:val="32"/>
        </w:rPr>
      </w:pPr>
      <w:r>
        <w:rPr>
          <w:rStyle w:val="13"/>
          <w:rFonts w:hint="eastAsia" w:ascii="仿宋_GB2312" w:hAnsi="仿宋_GB2312" w:eastAsia="仿宋_GB2312" w:cs="仿宋_GB2312"/>
          <w:b w:val="0"/>
          <w:bCs w:val="0"/>
          <w:color w:val="000000"/>
          <w:sz w:val="32"/>
          <w:szCs w:val="32"/>
          <w:lang w:eastAsia="zh-CN"/>
        </w:rPr>
        <w:t>借记卡</w:t>
      </w:r>
      <w:r>
        <w:rPr>
          <w:rStyle w:val="13"/>
          <w:rFonts w:hint="eastAsia" w:ascii="仿宋_GB2312" w:hAnsi="仿宋_GB2312" w:eastAsia="仿宋_GB2312" w:cs="仿宋_GB2312"/>
          <w:b w:val="0"/>
          <w:bCs w:val="0"/>
          <w:color w:val="000000"/>
          <w:sz w:val="32"/>
          <w:szCs w:val="32"/>
        </w:rPr>
        <w:t>使用范围</w:t>
      </w:r>
    </w:p>
    <w:p>
      <w:pPr>
        <w:pStyle w:val="16"/>
        <w:spacing w:line="560" w:lineRule="exact"/>
        <w:ind w:firstLine="640"/>
        <w:rPr>
          <w:rStyle w:val="13"/>
          <w:rFonts w:ascii="仿宋_GB2312" w:hAnsi="仿宋_GB2312" w:eastAsia="仿宋_GB2312" w:cs="仿宋_GB2312"/>
          <w:b w:val="0"/>
          <w:bCs w:val="0"/>
          <w:color w:val="000000"/>
          <w:sz w:val="32"/>
          <w:szCs w:val="32"/>
        </w:rPr>
      </w:pPr>
      <w:r>
        <w:rPr>
          <w:rStyle w:val="13"/>
          <w:rFonts w:hint="eastAsia" w:ascii="仿宋_GB2312" w:hAnsi="仿宋_GB2312" w:eastAsia="仿宋_GB2312" w:cs="仿宋_GB2312"/>
          <w:b w:val="0"/>
          <w:bCs w:val="0"/>
          <w:color w:val="000000"/>
          <w:sz w:val="32"/>
          <w:szCs w:val="32"/>
          <w:lang w:eastAsia="zh-CN"/>
        </w:rPr>
        <w:t>借记卡</w:t>
      </w:r>
      <w:r>
        <w:rPr>
          <w:rStyle w:val="13"/>
          <w:rFonts w:hint="eastAsia" w:ascii="仿宋_GB2312" w:hAnsi="仿宋_GB2312" w:eastAsia="仿宋_GB2312" w:cs="仿宋_GB2312"/>
          <w:b w:val="0"/>
          <w:bCs w:val="0"/>
          <w:color w:val="000000"/>
          <w:sz w:val="32"/>
          <w:szCs w:val="32"/>
        </w:rPr>
        <w:t>可在各发卡行社营业网点、柜员机、电子支付渠道上使用，也可在</w:t>
      </w:r>
      <w:r>
        <w:rPr>
          <w:rStyle w:val="13"/>
          <w:rFonts w:hint="eastAsia" w:ascii="仿宋_GB2312" w:eastAsia="仿宋_GB2312" w:cs="Tahoma"/>
          <w:b w:val="0"/>
          <w:bCs w:val="0"/>
          <w:snapToGrid w:val="0"/>
          <w:kern w:val="0"/>
          <w:sz w:val="32"/>
          <w:szCs w:val="32"/>
        </w:rPr>
        <w:t>中华人民共和国境内及其他国家或地区</w:t>
      </w:r>
      <w:r>
        <w:rPr>
          <w:rStyle w:val="13"/>
          <w:rFonts w:hint="eastAsia" w:ascii="仿宋_GB2312" w:hAnsi="仿宋_GB2312" w:eastAsia="仿宋_GB2312" w:cs="仿宋_GB2312"/>
          <w:b w:val="0"/>
          <w:bCs w:val="0"/>
          <w:color w:val="000000"/>
          <w:sz w:val="32"/>
          <w:szCs w:val="32"/>
        </w:rPr>
        <w:t>有“银联”标识的自动柜员机、特约商户POS机及微信、支付宝、网络电商等第三方支付渠道上使用。</w:t>
      </w:r>
    </w:p>
    <w:p>
      <w:pPr>
        <w:pStyle w:val="15"/>
        <w:spacing w:line="480" w:lineRule="exact"/>
        <w:ind w:firstLine="640"/>
        <w:jc w:val="center"/>
        <w:rPr>
          <w:rFonts w:ascii="黑体" w:hAnsi="黑体" w:eastAsia="黑体"/>
          <w:sz w:val="32"/>
          <w:szCs w:val="32"/>
        </w:rPr>
      </w:pPr>
    </w:p>
    <w:p>
      <w:pPr>
        <w:pStyle w:val="15"/>
        <w:spacing w:line="480" w:lineRule="exact"/>
        <w:ind w:firstLine="640"/>
        <w:jc w:val="center"/>
        <w:rPr>
          <w:rFonts w:ascii="黑体" w:hAnsi="黑体" w:eastAsia="黑体"/>
          <w:sz w:val="32"/>
          <w:szCs w:val="32"/>
        </w:rPr>
      </w:pPr>
      <w:r>
        <w:rPr>
          <w:rFonts w:hint="eastAsia" w:ascii="黑体" w:hAnsi="黑体" w:eastAsia="黑体"/>
          <w:sz w:val="32"/>
          <w:szCs w:val="32"/>
        </w:rPr>
        <w:t>第三章 申领</w:t>
      </w:r>
    </w:p>
    <w:p>
      <w:pPr>
        <w:pStyle w:val="16"/>
        <w:numPr>
          <w:ilvl w:val="0"/>
          <w:numId w:val="1"/>
        </w:numPr>
        <w:spacing w:line="560" w:lineRule="exact"/>
        <w:ind w:firstLine="640"/>
        <w:rPr>
          <w:rFonts w:ascii="仿宋_GB2312" w:eastAsia="仿宋_GB2312"/>
          <w:sz w:val="30"/>
          <w:szCs w:val="30"/>
        </w:rPr>
      </w:pPr>
      <w:r>
        <w:rPr>
          <w:rFonts w:hint="eastAsia" w:ascii="仿宋_GB2312" w:hAnsi="宋体" w:eastAsia="仿宋_GB2312"/>
          <w:snapToGrid w:val="0"/>
          <w:kern w:val="0"/>
          <w:sz w:val="32"/>
          <w:szCs w:val="32"/>
          <w:shd w:val="clear" w:color="auto" w:fill="FFFFFF"/>
          <w:lang w:eastAsia="zh-CN"/>
        </w:rPr>
        <w:t>借记卡</w:t>
      </w:r>
      <w:r>
        <w:rPr>
          <w:rFonts w:hint="eastAsia" w:ascii="仿宋_GB2312" w:hAnsi="宋体" w:eastAsia="仿宋_GB2312"/>
          <w:snapToGrid w:val="0"/>
          <w:kern w:val="0"/>
          <w:sz w:val="32"/>
          <w:szCs w:val="32"/>
          <w:shd w:val="clear" w:color="auto" w:fill="FFFFFF"/>
        </w:rPr>
        <w:t>采用实名制，中国境内的自然人（包括中国公民、境内的外籍人士、港澳台同胞），满足国家实名制有关规定，均可申领</w:t>
      </w:r>
      <w:r>
        <w:rPr>
          <w:rFonts w:hint="eastAsia" w:ascii="仿宋_GB2312" w:hAnsi="宋体" w:eastAsia="仿宋_GB2312"/>
          <w:snapToGrid w:val="0"/>
          <w:kern w:val="0"/>
          <w:sz w:val="32"/>
          <w:szCs w:val="32"/>
          <w:shd w:val="clear" w:color="auto" w:fill="FFFFFF"/>
          <w:lang w:eastAsia="zh-CN"/>
        </w:rPr>
        <w:t>借记卡</w:t>
      </w:r>
      <w:r>
        <w:rPr>
          <w:rFonts w:hint="eastAsia" w:ascii="仿宋_GB2312" w:hAnsi="宋体" w:eastAsia="仿宋_GB2312"/>
          <w:snapToGrid w:val="0"/>
          <w:kern w:val="0"/>
          <w:sz w:val="32"/>
          <w:szCs w:val="32"/>
          <w:shd w:val="clear" w:color="auto" w:fill="FFFFFF"/>
        </w:rPr>
        <w:t>。单位代理个人开立</w:t>
      </w:r>
      <w:r>
        <w:rPr>
          <w:rFonts w:hint="eastAsia" w:ascii="仿宋_GB2312" w:hAnsi="宋体" w:eastAsia="仿宋_GB2312"/>
          <w:snapToGrid w:val="0"/>
          <w:kern w:val="0"/>
          <w:sz w:val="32"/>
          <w:szCs w:val="32"/>
          <w:shd w:val="clear" w:color="auto" w:fill="FFFFFF"/>
          <w:lang w:eastAsia="zh-CN"/>
        </w:rPr>
        <w:t>借记卡</w:t>
      </w:r>
      <w:r>
        <w:rPr>
          <w:rFonts w:hint="eastAsia" w:ascii="仿宋_GB2312" w:hAnsi="宋体" w:eastAsia="仿宋_GB2312"/>
          <w:snapToGrid w:val="0"/>
          <w:kern w:val="0"/>
          <w:sz w:val="32"/>
          <w:szCs w:val="32"/>
          <w:shd w:val="clear" w:color="auto" w:fill="FFFFFF"/>
        </w:rPr>
        <w:t>、无民事行为能力或限制民事行为能力等特殊情况的按照中国人民银行相关规定代理办理。</w:t>
      </w:r>
    </w:p>
    <w:p>
      <w:pPr>
        <w:pStyle w:val="16"/>
        <w:numPr>
          <w:ilvl w:val="0"/>
          <w:numId w:val="1"/>
        </w:numPr>
        <w:spacing w:line="560" w:lineRule="exact"/>
        <w:ind w:firstLine="640"/>
        <w:rPr>
          <w:rFonts w:ascii="仿宋_GB2312" w:hAnsi="宋体" w:eastAsia="仿宋_GB2312"/>
          <w:snapToGrid w:val="0"/>
          <w:kern w:val="0"/>
          <w:sz w:val="32"/>
          <w:szCs w:val="32"/>
          <w:shd w:val="clear" w:color="auto" w:fill="FFFFFF"/>
        </w:rPr>
      </w:pPr>
      <w:r>
        <w:rPr>
          <w:rFonts w:hint="eastAsia" w:ascii="仿宋_GB2312" w:hAnsi="宋体" w:eastAsia="仿宋_GB2312"/>
          <w:snapToGrid w:val="0"/>
          <w:kern w:val="0"/>
          <w:sz w:val="32"/>
          <w:szCs w:val="32"/>
          <w:shd w:val="clear" w:color="auto" w:fill="FFFFFF"/>
        </w:rPr>
        <w:t>同一代理人在同一发卡行社代理开卡原则上不得超过3张，对于代理开立的</w:t>
      </w:r>
      <w:r>
        <w:rPr>
          <w:rFonts w:hint="eastAsia" w:ascii="仿宋_GB2312" w:hAnsi="宋体" w:eastAsia="仿宋_GB2312"/>
          <w:snapToGrid w:val="0"/>
          <w:kern w:val="0"/>
          <w:sz w:val="32"/>
          <w:szCs w:val="32"/>
          <w:shd w:val="clear" w:color="auto" w:fill="FFFFFF"/>
          <w:lang w:eastAsia="zh-CN"/>
        </w:rPr>
        <w:t>借记卡</w:t>
      </w:r>
      <w:r>
        <w:rPr>
          <w:rFonts w:hint="eastAsia" w:ascii="仿宋_GB2312" w:hAnsi="宋体" w:eastAsia="仿宋_GB2312"/>
          <w:snapToGrid w:val="0"/>
          <w:kern w:val="0"/>
          <w:sz w:val="32"/>
          <w:szCs w:val="32"/>
          <w:shd w:val="clear" w:color="auto" w:fill="FFFFFF"/>
        </w:rPr>
        <w:t>，</w:t>
      </w:r>
      <w:r>
        <w:rPr>
          <w:rFonts w:hint="eastAsia" w:ascii="仿宋_GB2312" w:hAnsi="宋体" w:eastAsia="仿宋_GB2312" w:cs="宋体"/>
          <w:snapToGrid w:val="0"/>
          <w:kern w:val="0"/>
          <w:sz w:val="32"/>
          <w:szCs w:val="32"/>
        </w:rPr>
        <w:t>被代理人持本人有效身份证件到发卡行社办理身份确认、密码设（重）置等激活手续前，该卡只收不付</w:t>
      </w:r>
      <w:r>
        <w:rPr>
          <w:rFonts w:hint="eastAsia" w:ascii="仿宋_GB2312" w:hAnsi="宋体" w:eastAsia="仿宋_GB2312"/>
          <w:snapToGrid w:val="0"/>
          <w:kern w:val="0"/>
          <w:sz w:val="32"/>
          <w:szCs w:val="32"/>
          <w:shd w:val="clear" w:color="auto" w:fill="FFFFFF"/>
        </w:rPr>
        <w:t>。对于</w:t>
      </w:r>
      <w:r>
        <w:rPr>
          <w:rFonts w:hint="eastAsia" w:ascii="仿宋_GB2312" w:hAnsi="宋体" w:eastAsia="仿宋_GB2312"/>
          <w:snapToGrid w:val="0"/>
          <w:kern w:val="0"/>
          <w:sz w:val="32"/>
          <w:szCs w:val="32"/>
          <w:shd w:val="clear" w:color="auto" w:fill="FFFFFF"/>
          <w:lang w:eastAsia="zh-CN"/>
        </w:rPr>
        <w:t>申请人</w:t>
      </w:r>
      <w:r>
        <w:rPr>
          <w:rFonts w:hint="eastAsia" w:ascii="仿宋_GB2312" w:hAnsi="宋体" w:eastAsia="仿宋_GB2312"/>
          <w:snapToGrid w:val="0"/>
          <w:kern w:val="0"/>
          <w:sz w:val="32"/>
          <w:szCs w:val="32"/>
          <w:shd w:val="clear" w:color="auto" w:fill="FFFFFF"/>
        </w:rPr>
        <w:t>因病残等特殊原因无法亲自办理启用业务的，发卡行社核实情况后可开设绿色通道。其中，16岁以下中国公民由监护人代理开立的</w:t>
      </w:r>
      <w:r>
        <w:rPr>
          <w:rFonts w:hint="eastAsia" w:ascii="仿宋_GB2312" w:hAnsi="宋体" w:eastAsia="仿宋_GB2312"/>
          <w:snapToGrid w:val="0"/>
          <w:kern w:val="0"/>
          <w:sz w:val="32"/>
          <w:szCs w:val="32"/>
          <w:shd w:val="clear" w:color="auto" w:fill="FFFFFF"/>
          <w:lang w:eastAsia="zh-CN"/>
        </w:rPr>
        <w:t>借记卡</w:t>
      </w:r>
      <w:r>
        <w:rPr>
          <w:rFonts w:hint="eastAsia" w:ascii="仿宋_GB2312" w:hAnsi="宋体" w:eastAsia="仿宋_GB2312"/>
          <w:snapToGrid w:val="0"/>
          <w:kern w:val="0"/>
          <w:sz w:val="32"/>
          <w:szCs w:val="32"/>
          <w:shd w:val="clear" w:color="auto" w:fill="FFFFFF"/>
        </w:rPr>
        <w:t>，不受上述限制。</w:t>
      </w:r>
    </w:p>
    <w:p>
      <w:pPr>
        <w:pStyle w:val="16"/>
        <w:numPr>
          <w:ilvl w:val="0"/>
          <w:numId w:val="1"/>
        </w:numPr>
        <w:spacing w:line="560" w:lineRule="exact"/>
        <w:ind w:firstLine="640"/>
        <w:rPr>
          <w:rFonts w:ascii="仿宋_GB2312" w:hAnsi="宋体" w:eastAsia="仿宋_GB2312"/>
          <w:snapToGrid w:val="0"/>
          <w:kern w:val="0"/>
          <w:sz w:val="32"/>
          <w:szCs w:val="32"/>
          <w:shd w:val="clear" w:color="auto" w:fill="FFFFFF"/>
        </w:rPr>
      </w:pPr>
      <w:r>
        <w:rPr>
          <w:rFonts w:hint="eastAsia" w:ascii="仿宋_GB2312" w:hAnsi="宋体" w:eastAsia="仿宋_GB2312" w:cs="宋体"/>
          <w:snapToGrid w:val="0"/>
          <w:kern w:val="0"/>
          <w:sz w:val="32"/>
          <w:szCs w:val="32"/>
        </w:rPr>
        <w:t>单位代理个人开立</w:t>
      </w:r>
      <w:r>
        <w:rPr>
          <w:rFonts w:hint="eastAsia" w:ascii="仿宋_GB2312" w:hAnsi="宋体" w:eastAsia="仿宋_GB2312" w:cs="宋体"/>
          <w:snapToGrid w:val="0"/>
          <w:kern w:val="0"/>
          <w:sz w:val="32"/>
          <w:szCs w:val="32"/>
          <w:lang w:eastAsia="zh-CN"/>
        </w:rPr>
        <w:t>借记卡</w:t>
      </w:r>
      <w:r>
        <w:rPr>
          <w:rFonts w:hint="eastAsia" w:ascii="仿宋_GB2312" w:hAnsi="宋体" w:eastAsia="仿宋_GB2312" w:cs="宋体"/>
          <w:snapToGrid w:val="0"/>
          <w:kern w:val="0"/>
          <w:sz w:val="32"/>
          <w:szCs w:val="32"/>
        </w:rPr>
        <w:t>的，应提供单位证明材料、被代理人有效身份证件的复印件或影印件，被代理人持本人有效身份证件到开户银行办理身份确认、密码设（重）置等激活手续前，该卡只收不付。</w:t>
      </w:r>
    </w:p>
    <w:p>
      <w:pPr>
        <w:pStyle w:val="16"/>
        <w:numPr>
          <w:ilvl w:val="0"/>
          <w:numId w:val="1"/>
        </w:numPr>
        <w:spacing w:line="560" w:lineRule="exact"/>
        <w:ind w:firstLine="640"/>
        <w:rPr>
          <w:rFonts w:ascii="仿宋_GB2312" w:hAnsi="宋体" w:eastAsia="仿宋_GB2312"/>
          <w:snapToGrid w:val="0"/>
          <w:kern w:val="0"/>
          <w:sz w:val="32"/>
          <w:szCs w:val="32"/>
          <w:shd w:val="clear" w:color="auto" w:fill="FFFFFF"/>
        </w:rPr>
      </w:pPr>
      <w:r>
        <w:rPr>
          <w:rFonts w:hint="eastAsia" w:ascii="仿宋_GB2312" w:hAnsi="宋体" w:eastAsia="仿宋_GB2312"/>
          <w:snapToGrid w:val="0"/>
          <w:kern w:val="0"/>
          <w:sz w:val="32"/>
          <w:szCs w:val="32"/>
          <w:shd w:val="clear" w:color="auto" w:fill="FFFFFF"/>
        </w:rPr>
        <w:t>申领</w:t>
      </w:r>
      <w:r>
        <w:rPr>
          <w:rFonts w:hint="eastAsia" w:ascii="仿宋_GB2312" w:hAnsi="宋体" w:eastAsia="仿宋_GB2312"/>
          <w:snapToGrid w:val="0"/>
          <w:kern w:val="0"/>
          <w:sz w:val="32"/>
          <w:szCs w:val="32"/>
          <w:shd w:val="clear" w:color="auto" w:fill="FFFFFF"/>
          <w:lang w:eastAsia="zh-CN"/>
        </w:rPr>
        <w:t>借记卡</w:t>
      </w:r>
      <w:r>
        <w:rPr>
          <w:rFonts w:hint="eastAsia" w:ascii="仿宋_GB2312" w:hAnsi="宋体" w:eastAsia="仿宋_GB2312"/>
          <w:snapToGrid w:val="0"/>
          <w:kern w:val="0"/>
          <w:sz w:val="32"/>
          <w:szCs w:val="32"/>
          <w:shd w:val="clear" w:color="auto" w:fill="FFFFFF"/>
        </w:rPr>
        <w:t>时，申请人或代理人均通过以下任一方式确认表示知悉发卡行社的相关规定，并对所提供材料的真实性负责：</w:t>
      </w:r>
    </w:p>
    <w:p>
      <w:pPr>
        <w:pStyle w:val="17"/>
        <w:ind w:firstLine="640"/>
        <w:rPr>
          <w:rFonts w:ascii="仿宋_GB2312" w:hAnsi="宋体" w:eastAsia="仿宋_GB2312"/>
          <w:snapToGrid w:val="0"/>
          <w:kern w:val="0"/>
          <w:sz w:val="32"/>
          <w:szCs w:val="32"/>
          <w:shd w:val="clear" w:color="auto" w:fill="FFFFFF"/>
        </w:rPr>
      </w:pPr>
      <w:r>
        <w:rPr>
          <w:rFonts w:hint="eastAsia" w:ascii="仿宋_GB2312" w:hAnsi="宋体" w:eastAsia="仿宋_GB2312"/>
          <w:snapToGrid w:val="0"/>
          <w:kern w:val="0"/>
          <w:sz w:val="32"/>
          <w:szCs w:val="32"/>
          <w:shd w:val="clear" w:color="auto" w:fill="FFFFFF"/>
        </w:rPr>
        <w:t>（一）在申请表（纸质）上填写客户信息并签字的；</w:t>
      </w:r>
    </w:p>
    <w:p>
      <w:pPr>
        <w:pStyle w:val="17"/>
        <w:ind w:firstLine="640"/>
        <w:rPr>
          <w:rFonts w:ascii="仿宋_GB2312" w:hAnsi="宋体" w:eastAsia="仿宋_GB2312"/>
          <w:snapToGrid w:val="0"/>
          <w:kern w:val="0"/>
          <w:sz w:val="32"/>
          <w:szCs w:val="32"/>
          <w:shd w:val="clear" w:color="auto" w:fill="FFFFFF"/>
        </w:rPr>
      </w:pPr>
      <w:r>
        <w:rPr>
          <w:rFonts w:hint="eastAsia" w:ascii="仿宋_GB2312" w:hAnsi="宋体" w:eastAsia="仿宋_GB2312"/>
          <w:snapToGrid w:val="0"/>
          <w:kern w:val="0"/>
          <w:sz w:val="32"/>
          <w:szCs w:val="32"/>
          <w:shd w:val="clear" w:color="auto" w:fill="FFFFFF"/>
        </w:rPr>
        <w:t>（二）在线填写客户信息，并在电子设备上签字（含手写签名、指纹等生物识别方式等）的；</w:t>
      </w:r>
    </w:p>
    <w:p>
      <w:pPr>
        <w:pStyle w:val="17"/>
        <w:ind w:firstLine="640"/>
        <w:rPr>
          <w:rFonts w:ascii="仿宋_GB2312" w:hAnsi="宋体" w:eastAsia="仿宋_GB2312"/>
          <w:snapToGrid w:val="0"/>
          <w:kern w:val="0"/>
          <w:sz w:val="32"/>
          <w:szCs w:val="32"/>
          <w:shd w:val="clear" w:color="auto" w:fill="FFFFFF"/>
        </w:rPr>
      </w:pPr>
      <w:r>
        <w:rPr>
          <w:rFonts w:hint="eastAsia" w:ascii="仿宋_GB2312" w:hAnsi="宋体" w:eastAsia="仿宋_GB2312"/>
          <w:snapToGrid w:val="0"/>
          <w:kern w:val="0"/>
          <w:sz w:val="32"/>
          <w:szCs w:val="32"/>
          <w:shd w:val="clear" w:color="auto" w:fill="FFFFFF"/>
        </w:rPr>
        <w:t>（三）在电子渠道上勾选“已阅读相关章程或协议”或类似条款的。</w:t>
      </w:r>
    </w:p>
    <w:p>
      <w:pPr>
        <w:pStyle w:val="17"/>
        <w:numPr>
          <w:ilvl w:val="0"/>
          <w:numId w:val="1"/>
        </w:num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发卡行社有权决定是否批准申请人的领卡申请，且对申请人的个人资料负有保密责任（法律另有规定除外）。有下列情形之一的，发卡行社有权拒绝为申请人开立</w:t>
      </w:r>
      <w:r>
        <w:rPr>
          <w:rFonts w:hint="eastAsia" w:ascii="仿宋_GB2312" w:hAnsi="仿宋_GB2312" w:eastAsia="仿宋_GB2312" w:cs="仿宋_GB2312"/>
          <w:color w:val="000000"/>
          <w:sz w:val="32"/>
          <w:szCs w:val="32"/>
          <w:lang w:eastAsia="zh-CN"/>
        </w:rPr>
        <w:t>借记卡</w:t>
      </w:r>
      <w:r>
        <w:rPr>
          <w:rFonts w:hint="eastAsia" w:ascii="仿宋_GB2312" w:hAnsi="仿宋_GB2312" w:eastAsia="仿宋_GB2312" w:cs="仿宋_GB2312"/>
          <w:color w:val="000000"/>
          <w:sz w:val="32"/>
          <w:szCs w:val="32"/>
        </w:rPr>
        <w:t>：</w:t>
      </w:r>
    </w:p>
    <w:p>
      <w:pPr>
        <w:pStyle w:val="17"/>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（一）对申请人身份信息存在疑义，要求出示辅助证件，申请人拒绝出示的。</w:t>
      </w:r>
    </w:p>
    <w:p>
      <w:pPr>
        <w:pStyle w:val="16"/>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（二）申请人组织他人同时或分批开立</w:t>
      </w:r>
      <w:r>
        <w:rPr>
          <w:rFonts w:hint="eastAsia" w:ascii="仿宋_GB2312" w:hAnsi="仿宋_GB2312" w:eastAsia="仿宋_GB2312" w:cs="仿宋_GB2312"/>
          <w:color w:val="000000"/>
          <w:sz w:val="32"/>
          <w:szCs w:val="32"/>
          <w:lang w:eastAsia="zh-CN"/>
        </w:rPr>
        <w:t>借记卡</w:t>
      </w:r>
      <w:r>
        <w:rPr>
          <w:rFonts w:hint="eastAsia" w:ascii="仿宋_GB2312" w:hAnsi="仿宋_GB2312" w:eastAsia="仿宋_GB2312" w:cs="仿宋_GB2312"/>
          <w:color w:val="000000"/>
          <w:sz w:val="32"/>
          <w:szCs w:val="32"/>
        </w:rPr>
        <w:t>账户的。</w:t>
      </w:r>
    </w:p>
    <w:p>
      <w:pPr>
        <w:pStyle w:val="17"/>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（三）有明显理由怀疑申请人开立</w:t>
      </w:r>
      <w:r>
        <w:rPr>
          <w:rFonts w:hint="eastAsia" w:ascii="仿宋_GB2312" w:hAnsi="仿宋_GB2312" w:eastAsia="仿宋_GB2312" w:cs="仿宋_GB2312"/>
          <w:color w:val="000000"/>
          <w:sz w:val="32"/>
          <w:szCs w:val="32"/>
          <w:lang w:eastAsia="zh-CN"/>
        </w:rPr>
        <w:t>借记卡</w:t>
      </w:r>
      <w:r>
        <w:rPr>
          <w:rFonts w:hint="eastAsia" w:ascii="仿宋_GB2312" w:hAnsi="仿宋_GB2312" w:eastAsia="仿宋_GB2312" w:cs="仿宋_GB2312"/>
          <w:color w:val="000000"/>
          <w:sz w:val="32"/>
          <w:szCs w:val="32"/>
        </w:rPr>
        <w:t>从事违法犯罪活动的。</w:t>
      </w:r>
    </w:p>
    <w:p>
      <w:pPr>
        <w:pStyle w:val="16"/>
        <w:spacing w:line="560" w:lineRule="exact"/>
        <w:ind w:firstLine="640"/>
        <w:rPr>
          <w:rFonts w:ascii="黑体" w:hAnsi="黑体" w:eastAsia="黑体"/>
          <w:sz w:val="32"/>
          <w:szCs w:val="32"/>
        </w:rPr>
      </w:pPr>
      <w:r>
        <w:rPr>
          <w:rFonts w:hint="eastAsia" w:ascii="仿宋_GB2312" w:hAnsi="仿宋_GB2312" w:eastAsia="仿宋_GB2312" w:cs="仿宋_GB2312"/>
          <w:color w:val="000000"/>
          <w:sz w:val="32"/>
          <w:szCs w:val="32"/>
        </w:rPr>
        <w:t>（四）法律、法规、规章及规范性文件规定的其他情形。</w:t>
      </w:r>
    </w:p>
    <w:p>
      <w:pPr>
        <w:pStyle w:val="15"/>
        <w:spacing w:line="480" w:lineRule="exact"/>
        <w:ind w:firstLine="640"/>
        <w:jc w:val="center"/>
        <w:rPr>
          <w:rFonts w:ascii="黑体" w:hAnsi="黑体" w:eastAsia="黑体"/>
          <w:sz w:val="32"/>
          <w:szCs w:val="32"/>
        </w:rPr>
      </w:pPr>
    </w:p>
    <w:p>
      <w:pPr>
        <w:pStyle w:val="15"/>
        <w:spacing w:line="480" w:lineRule="exact"/>
        <w:ind w:firstLine="640"/>
        <w:jc w:val="center"/>
        <w:rPr>
          <w:rFonts w:ascii="黑体" w:hAnsi="黑体" w:eastAsia="黑体"/>
          <w:sz w:val="32"/>
          <w:szCs w:val="32"/>
        </w:rPr>
      </w:pPr>
      <w:r>
        <w:rPr>
          <w:rFonts w:hint="eastAsia" w:ascii="黑体" w:hAnsi="黑体" w:eastAsia="黑体"/>
          <w:sz w:val="32"/>
          <w:szCs w:val="32"/>
        </w:rPr>
        <w:t>第四章 账户及交易管理</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申请人在同一发卡行社只能开立一个Ⅰ类户</w:t>
      </w:r>
      <w:r>
        <w:rPr>
          <w:rFonts w:hint="eastAsia" w:ascii="仿宋_GB2312" w:hAnsi="宋体" w:eastAsia="仿宋_GB2312" w:cs="宋体"/>
          <w:snapToGrid w:val="0"/>
          <w:kern w:val="0"/>
          <w:sz w:val="32"/>
          <w:szCs w:val="32"/>
          <w:lang w:eastAsia="zh-CN"/>
        </w:rPr>
        <w:t>借记卡</w:t>
      </w:r>
      <w:r>
        <w:rPr>
          <w:rFonts w:hint="eastAsia" w:ascii="仿宋_GB2312" w:hAnsi="宋体" w:eastAsia="仿宋_GB2312" w:cs="宋体"/>
          <w:snapToGrid w:val="0"/>
          <w:kern w:val="0"/>
          <w:sz w:val="32"/>
          <w:szCs w:val="32"/>
        </w:rPr>
        <w:t>，已开立Ⅰ类户</w:t>
      </w:r>
      <w:r>
        <w:rPr>
          <w:rFonts w:hint="eastAsia" w:ascii="仿宋_GB2312" w:hAnsi="宋体" w:eastAsia="仿宋_GB2312" w:cs="宋体"/>
          <w:snapToGrid w:val="0"/>
          <w:kern w:val="0"/>
          <w:sz w:val="32"/>
          <w:szCs w:val="32"/>
          <w:lang w:eastAsia="zh-CN"/>
        </w:rPr>
        <w:t>借记卡</w:t>
      </w:r>
      <w:r>
        <w:rPr>
          <w:rFonts w:hint="eastAsia" w:ascii="仿宋_GB2312" w:hAnsi="宋体" w:eastAsia="仿宋_GB2312" w:cs="宋体"/>
          <w:snapToGrid w:val="0"/>
          <w:kern w:val="0"/>
          <w:sz w:val="32"/>
          <w:szCs w:val="32"/>
        </w:rPr>
        <w:t>，再新开卡的，只能开立Ⅱ、Ⅲ类户</w:t>
      </w:r>
      <w:r>
        <w:rPr>
          <w:rFonts w:hint="eastAsia" w:ascii="仿宋_GB2312" w:hAnsi="宋体" w:eastAsia="仿宋_GB2312" w:cs="宋体"/>
          <w:snapToGrid w:val="0"/>
          <w:kern w:val="0"/>
          <w:sz w:val="32"/>
          <w:szCs w:val="32"/>
          <w:lang w:eastAsia="zh-CN"/>
        </w:rPr>
        <w:t>借记卡</w:t>
      </w:r>
      <w:r>
        <w:rPr>
          <w:rFonts w:hint="eastAsia" w:ascii="仿宋_GB2312" w:hAnsi="宋体" w:eastAsia="仿宋_GB2312" w:cs="宋体"/>
          <w:snapToGrid w:val="0"/>
          <w:kern w:val="0"/>
          <w:sz w:val="32"/>
          <w:szCs w:val="32"/>
        </w:rPr>
        <w:t>。同一客户在同一发卡行社开立的Ⅰ类户、Ⅱ类户和Ⅲ类户</w:t>
      </w:r>
      <w:r>
        <w:rPr>
          <w:rFonts w:hint="eastAsia" w:ascii="仿宋_GB2312" w:hAnsi="宋体" w:eastAsia="仿宋_GB2312" w:cs="宋体"/>
          <w:snapToGrid w:val="0"/>
          <w:kern w:val="0"/>
          <w:sz w:val="32"/>
          <w:szCs w:val="32"/>
          <w:lang w:eastAsia="zh-CN"/>
        </w:rPr>
        <w:t>借记卡</w:t>
      </w:r>
      <w:r>
        <w:rPr>
          <w:rFonts w:hint="eastAsia" w:ascii="仿宋_GB2312" w:hAnsi="宋体" w:eastAsia="仿宋_GB2312" w:cs="宋体"/>
          <w:snapToGrid w:val="0"/>
          <w:kern w:val="0"/>
          <w:sz w:val="32"/>
          <w:szCs w:val="32"/>
        </w:rPr>
        <w:t>（实体卡）累计不得超过</w:t>
      </w:r>
      <w:r>
        <w:rPr>
          <w:rFonts w:ascii="仿宋_GB2312" w:hAnsi="宋体" w:eastAsia="仿宋_GB2312" w:cs="宋体"/>
          <w:snapToGrid w:val="0"/>
          <w:kern w:val="0"/>
          <w:sz w:val="32"/>
          <w:szCs w:val="32"/>
        </w:rPr>
        <w:t>4张，社会保障卡、医疗保险卡、</w:t>
      </w:r>
      <w:r>
        <w:rPr>
          <w:rFonts w:hint="eastAsia" w:ascii="仿宋_GB2312" w:hAnsi="宋体" w:eastAsia="仿宋_GB2312" w:cs="宋体"/>
          <w:snapToGrid w:val="0"/>
          <w:kern w:val="0"/>
          <w:sz w:val="32"/>
          <w:szCs w:val="32"/>
        </w:rPr>
        <w:t>军人保障卡、已销户的</w:t>
      </w:r>
      <w:r>
        <w:rPr>
          <w:rFonts w:hint="eastAsia" w:ascii="仿宋_GB2312" w:hAnsi="宋体" w:eastAsia="仿宋_GB2312" w:cs="宋体"/>
          <w:snapToGrid w:val="0"/>
          <w:kern w:val="0"/>
          <w:sz w:val="32"/>
          <w:szCs w:val="32"/>
          <w:lang w:eastAsia="zh-CN"/>
        </w:rPr>
        <w:t>借记卡</w:t>
      </w:r>
      <w:r>
        <w:rPr>
          <w:rFonts w:hint="eastAsia" w:ascii="仿宋_GB2312" w:hAnsi="宋体" w:eastAsia="仿宋_GB2312" w:cs="宋体"/>
          <w:snapToGrid w:val="0"/>
          <w:kern w:val="0"/>
          <w:sz w:val="32"/>
          <w:szCs w:val="32"/>
        </w:rPr>
        <w:t>除外。</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Ⅰ、Ⅱ、Ⅲ类户</w:t>
      </w:r>
      <w:r>
        <w:rPr>
          <w:rFonts w:hint="eastAsia" w:ascii="仿宋_GB2312" w:hAnsi="宋体" w:eastAsia="仿宋_GB2312" w:cs="宋体"/>
          <w:snapToGrid w:val="0"/>
          <w:kern w:val="0"/>
          <w:sz w:val="32"/>
          <w:szCs w:val="32"/>
          <w:lang w:eastAsia="zh-CN"/>
        </w:rPr>
        <w:t>借记卡</w:t>
      </w:r>
      <w:r>
        <w:rPr>
          <w:rFonts w:hint="eastAsia" w:ascii="仿宋_GB2312" w:hAnsi="宋体" w:eastAsia="仿宋_GB2312" w:cs="宋体"/>
          <w:snapToGrid w:val="0"/>
          <w:kern w:val="0"/>
          <w:sz w:val="32"/>
          <w:szCs w:val="32"/>
        </w:rPr>
        <w:t>可通过多渠道实现升降级，即Ⅰ类户卡可降级为Ⅱ、Ⅲ类户卡，Ⅱ类户卡可升级为Ⅰ类户卡或降级为Ⅲ类户卡，Ⅲ类户卡可升级为Ⅰ、Ⅱ类户</w:t>
      </w:r>
      <w:r>
        <w:rPr>
          <w:rFonts w:hint="eastAsia" w:ascii="仿宋_GB2312" w:hAnsi="宋体" w:eastAsia="仿宋_GB2312" w:cs="宋体"/>
          <w:snapToGrid w:val="0"/>
          <w:kern w:val="0"/>
          <w:sz w:val="32"/>
          <w:szCs w:val="32"/>
          <w:lang w:eastAsia="zh-CN"/>
        </w:rPr>
        <w:t>卡</w:t>
      </w:r>
      <w:r>
        <w:rPr>
          <w:rFonts w:hint="eastAsia" w:ascii="仿宋_GB2312" w:hAnsi="宋体" w:eastAsia="仿宋_GB2312" w:cs="宋体"/>
          <w:snapToGrid w:val="0"/>
          <w:kern w:val="0"/>
          <w:sz w:val="32"/>
          <w:szCs w:val="32"/>
        </w:rPr>
        <w:t>。</w:t>
      </w:r>
    </w:p>
    <w:p>
      <w:pPr>
        <w:pStyle w:val="16"/>
        <w:numPr>
          <w:ilvl w:val="0"/>
          <w:numId w:val="1"/>
        </w:numPr>
        <w:spacing w:line="560" w:lineRule="exact"/>
        <w:ind w:firstLine="640"/>
        <w:rPr>
          <w:rFonts w:hint="eastAsia" w:ascii="仿宋_GB2312" w:hAnsi="宋体" w:eastAsia="仿宋_GB2312" w:cs="宋体"/>
          <w:snapToGrid w:val="0"/>
          <w:color w:val="auto"/>
          <w:kern w:val="0"/>
          <w:sz w:val="32"/>
          <w:szCs w:val="32"/>
          <w:highlight w:val="none"/>
          <w:lang w:eastAsia="zh-CN"/>
        </w:rPr>
      </w:pPr>
      <w:r>
        <w:rPr>
          <w:rFonts w:hint="eastAsia" w:ascii="仿宋_GB2312" w:hAnsi="宋体" w:eastAsia="仿宋_GB2312" w:cs="宋体"/>
          <w:snapToGrid w:val="0"/>
          <w:color w:val="auto"/>
          <w:kern w:val="0"/>
          <w:sz w:val="32"/>
          <w:szCs w:val="32"/>
          <w:highlight w:val="none"/>
        </w:rPr>
        <w:t>Ⅰ类</w:t>
      </w:r>
      <w:r>
        <w:rPr>
          <w:rFonts w:hint="eastAsia" w:ascii="仿宋_GB2312" w:hAnsi="宋体" w:eastAsia="仿宋_GB2312" w:cs="宋体"/>
          <w:snapToGrid w:val="0"/>
          <w:color w:val="auto"/>
          <w:kern w:val="0"/>
          <w:sz w:val="32"/>
          <w:szCs w:val="32"/>
          <w:highlight w:val="none"/>
          <w:lang w:eastAsia="zh-CN"/>
        </w:rPr>
        <w:t>户借记卡为持卡人提供存款、存取现金、购买投资理财产品等金融产品、转账汇款、消费缴费、个人贷款等服务。</w:t>
      </w:r>
    </w:p>
    <w:p>
      <w:pPr>
        <w:pStyle w:val="16"/>
        <w:numPr>
          <w:ilvl w:val="0"/>
          <w:numId w:val="0"/>
        </w:numPr>
        <w:spacing w:line="560" w:lineRule="exact"/>
        <w:ind w:firstLine="640" w:firstLineChars="200"/>
        <w:rPr>
          <w:rFonts w:hint="eastAsia" w:ascii="仿宋_GB2312" w:hAnsi="宋体" w:eastAsia="仿宋_GB2312" w:cs="宋体"/>
          <w:snapToGrid w:val="0"/>
          <w:color w:val="auto"/>
          <w:kern w:val="0"/>
          <w:sz w:val="32"/>
          <w:szCs w:val="32"/>
          <w:highlight w:val="none"/>
          <w:lang w:eastAsia="zh-CN"/>
        </w:rPr>
      </w:pPr>
      <w:r>
        <w:rPr>
          <w:rFonts w:hint="eastAsia" w:ascii="仿宋_GB2312" w:hAnsi="宋体" w:eastAsia="仿宋_GB2312" w:cs="宋体"/>
          <w:snapToGrid w:val="0"/>
          <w:color w:val="auto"/>
          <w:kern w:val="0"/>
          <w:sz w:val="32"/>
          <w:szCs w:val="32"/>
          <w:highlight w:val="none"/>
          <w:lang w:eastAsia="zh-CN"/>
        </w:rPr>
        <w:t>经面对面确认身份的Ⅱ类户借记卡为持卡人提供存款、限额存取现金、购买投资理财产品等金融产品、与绑定账户之间转账汇款、限额与非绑定账户之间转账汇款、限额消费和缴费、个人贷款等服务；未经面对面确认身份的Ⅱ类户借记卡为持卡人提供存款、购买投资理财产品等金融产品、与绑定账户之间转账汇款、限额向非绑定账户转出资金、限额消费和缴费、个人贷款等服务。</w:t>
      </w:r>
    </w:p>
    <w:p>
      <w:pPr>
        <w:pStyle w:val="16"/>
        <w:numPr>
          <w:ilvl w:val="0"/>
          <w:numId w:val="0"/>
        </w:numPr>
        <w:spacing w:line="560" w:lineRule="exact"/>
        <w:ind w:firstLine="640" w:firstLineChars="200"/>
        <w:rPr>
          <w:rFonts w:hint="eastAsia" w:ascii="仿宋_GB2312" w:hAnsi="宋体" w:eastAsia="仿宋_GB2312" w:cs="宋体"/>
          <w:snapToGrid w:val="0"/>
          <w:color w:val="auto"/>
          <w:kern w:val="0"/>
          <w:sz w:val="32"/>
          <w:szCs w:val="32"/>
          <w:highlight w:val="none"/>
          <w:lang w:eastAsia="zh-CN"/>
        </w:rPr>
      </w:pPr>
      <w:r>
        <w:rPr>
          <w:rFonts w:hint="eastAsia" w:ascii="仿宋_GB2312" w:hAnsi="宋体" w:eastAsia="仿宋_GB2312" w:cs="宋体"/>
          <w:snapToGrid w:val="0"/>
          <w:color w:val="auto"/>
          <w:kern w:val="0"/>
          <w:sz w:val="32"/>
          <w:szCs w:val="32"/>
          <w:highlight w:val="none"/>
          <w:lang w:eastAsia="zh-CN"/>
        </w:rPr>
        <w:t>经面对面确认身份的Ⅲ类户借记卡为持卡人提供限额存款、限额支取现金、与绑定账户之间转账汇款、小额消费贷款、限额消费和缴费、限额与非绑定账户之间转账汇款等业务；未经面对面确认身份的Ⅲ类户借记卡可以办理限额存款、与绑定账户之间转账汇款、小额消费贷款、限额消费和缴费、限额向非绑定账户转出资金。通过手机银行Ⅲ类户管理功能开通入金功能的，该Ⅲ类户借记卡还可以办理限额接收非绑定账户转入资金业务，但个人客户在同一法人行社只能有一个Ⅲ类户开通入金功能。</w:t>
      </w:r>
    </w:p>
    <w:p>
      <w:pPr>
        <w:pStyle w:val="17"/>
      </w:pP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highlight w:val="none"/>
        </w:rPr>
        <w:t>发卡行社发行的带有“闪付”或“QuickPass”标识的IC卡</w:t>
      </w:r>
      <w:r>
        <w:rPr>
          <w:rFonts w:hint="eastAsia" w:ascii="仿宋_GB2312" w:hAnsi="宋体" w:eastAsia="仿宋_GB2312" w:cs="宋体"/>
          <w:snapToGrid w:val="0"/>
          <w:kern w:val="0"/>
          <w:sz w:val="32"/>
          <w:szCs w:val="32"/>
          <w:highlight w:val="none"/>
          <w:lang w:eastAsia="zh-CN"/>
        </w:rPr>
        <w:t>支持</w:t>
      </w:r>
      <w:r>
        <w:rPr>
          <w:rFonts w:hint="eastAsia" w:ascii="仿宋_GB2312" w:hAnsi="宋体" w:eastAsia="仿宋_GB2312" w:cs="宋体"/>
          <w:snapToGrid w:val="0"/>
          <w:kern w:val="0"/>
          <w:sz w:val="32"/>
          <w:szCs w:val="32"/>
          <w:highlight w:val="none"/>
        </w:rPr>
        <w:t>开通小额免密免签服务。持卡人在指定商户进行一定金额及以下的消费交易时，无需输入密码，无需签名即可完成交易。小额免密免签服务的限额（含：单笔限额和当日累计限额）以发卡行社对外公布的限额为准，并可经发卡行社公告后调整。持卡人如需</w:t>
      </w:r>
      <w:r>
        <w:rPr>
          <w:rFonts w:hint="eastAsia" w:ascii="仿宋_GB2312" w:hAnsi="宋体" w:eastAsia="仿宋_GB2312" w:cs="宋体"/>
          <w:snapToGrid w:val="0"/>
          <w:kern w:val="0"/>
          <w:sz w:val="32"/>
          <w:szCs w:val="32"/>
          <w:highlight w:val="none"/>
          <w:lang w:eastAsia="zh-CN"/>
        </w:rPr>
        <w:t>开通</w:t>
      </w:r>
      <w:r>
        <w:rPr>
          <w:rFonts w:hint="eastAsia" w:ascii="仿宋_GB2312" w:hAnsi="宋体" w:eastAsia="仿宋_GB2312" w:cs="宋体"/>
          <w:snapToGrid w:val="0"/>
          <w:kern w:val="0"/>
          <w:sz w:val="32"/>
          <w:szCs w:val="32"/>
          <w:highlight w:val="none"/>
          <w:lang w:val="en-US" w:eastAsia="zh-CN"/>
        </w:rPr>
        <w:t>/</w:t>
      </w:r>
      <w:r>
        <w:rPr>
          <w:rFonts w:hint="eastAsia" w:ascii="仿宋_GB2312" w:hAnsi="宋体" w:eastAsia="仿宋_GB2312" w:cs="宋体"/>
          <w:snapToGrid w:val="0"/>
          <w:kern w:val="0"/>
          <w:sz w:val="32"/>
          <w:szCs w:val="32"/>
          <w:highlight w:val="none"/>
        </w:rPr>
        <w:t>关闭或在指定限额内调整，可通过</w:t>
      </w:r>
      <w:r>
        <w:rPr>
          <w:rFonts w:hint="eastAsia" w:ascii="仿宋_GB2312" w:hAnsi="宋体" w:eastAsia="仿宋_GB2312" w:cs="宋体"/>
          <w:snapToGrid w:val="0"/>
          <w:kern w:val="0"/>
          <w:sz w:val="32"/>
          <w:szCs w:val="32"/>
          <w:highlight w:val="none"/>
          <w:lang w:eastAsia="zh-CN"/>
        </w:rPr>
        <w:t>营业网点、手机银行等</w:t>
      </w:r>
      <w:r>
        <w:rPr>
          <w:rFonts w:hint="eastAsia" w:ascii="仿宋_GB2312" w:hAnsi="宋体" w:eastAsia="仿宋_GB2312" w:cs="宋体"/>
          <w:snapToGrid w:val="0"/>
          <w:kern w:val="0"/>
          <w:sz w:val="32"/>
          <w:szCs w:val="32"/>
          <w:highlight w:val="none"/>
        </w:rPr>
        <w:t>指</w:t>
      </w:r>
      <w:r>
        <w:rPr>
          <w:rFonts w:hint="eastAsia" w:ascii="仿宋_GB2312" w:hAnsi="宋体" w:eastAsia="仿宋_GB2312" w:cs="宋体"/>
          <w:snapToGrid w:val="0"/>
          <w:kern w:val="0"/>
          <w:sz w:val="32"/>
          <w:szCs w:val="32"/>
        </w:rPr>
        <w:t>定渠道进行办理。</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持卡人可凭卡和密码在特约商户消费结算，可通过小额免密免签服务进行免密免签交易，可在发卡行社指定的受理网点或通过自助设备、手机银行和网上银行等电子渠道按照相关规定办理金融业务。取现、转账及消费结算的最高限额以发卡行社对外公布的标准为准。</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同一张</w:t>
      </w:r>
      <w:r>
        <w:rPr>
          <w:rFonts w:hint="eastAsia" w:ascii="仿宋_GB2312" w:hAnsi="宋体" w:eastAsia="仿宋_GB2312" w:cs="宋体"/>
          <w:snapToGrid w:val="0"/>
          <w:kern w:val="0"/>
          <w:sz w:val="32"/>
          <w:szCs w:val="32"/>
          <w:lang w:eastAsia="zh-CN"/>
        </w:rPr>
        <w:t>借记卡</w:t>
      </w:r>
      <w:r>
        <w:rPr>
          <w:rFonts w:hint="eastAsia" w:ascii="仿宋_GB2312" w:hAnsi="宋体" w:eastAsia="仿宋_GB2312" w:cs="宋体"/>
          <w:snapToGrid w:val="0"/>
          <w:kern w:val="0"/>
          <w:sz w:val="32"/>
          <w:szCs w:val="32"/>
        </w:rPr>
        <w:t>，持卡人如在各种交易渠道当日连续输错或累计输错次数超限（以发卡行社对外公布为准，并可经发卡行社公告后调整）的，卡片当即锁定，该卡只收不付，持卡人可持卡片和本人有效身份证件到福建农信任意营业网点或指定相关渠道解除锁定。</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持卡人因卡片毁损、磁条消磁、到期等原因需要换领新卡的，可持卡片和本人有效身份证件到原发卡行社辖内任意营业网点办理换卡手续。如IC卡芯片损坏无法读取时，电子现金余额以30天后脱机交易清算结果为准。</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持卡人的卡片被盗或遗失，应及时办理卡片挂失手续。</w:t>
      </w:r>
      <w:r>
        <w:rPr>
          <w:rFonts w:hint="eastAsia" w:ascii="仿宋_GB2312" w:hAnsi="仿宋_GB2312" w:eastAsia="仿宋_GB2312" w:cs="仿宋_GB2312"/>
          <w:color w:val="000000"/>
          <w:sz w:val="32"/>
          <w:szCs w:val="32"/>
        </w:rPr>
        <w:t>持</w:t>
      </w:r>
      <w:r>
        <w:rPr>
          <w:rFonts w:hint="eastAsia" w:ascii="仿宋_GB2312" w:hAnsi="仿宋_GB2312" w:eastAsia="仿宋_GB2312" w:cs="仿宋_GB2312"/>
          <w:color w:val="000000"/>
          <w:sz w:val="32"/>
          <w:szCs w:val="32"/>
          <w:lang w:eastAsia="zh-CN"/>
        </w:rPr>
        <w:t>卡</w:t>
      </w:r>
      <w:r>
        <w:rPr>
          <w:rFonts w:hint="eastAsia" w:ascii="仿宋_GB2312" w:hAnsi="仿宋_GB2312" w:eastAsia="仿宋_GB2312" w:cs="仿宋_GB2312"/>
          <w:color w:val="000000"/>
          <w:sz w:val="32"/>
          <w:szCs w:val="32"/>
        </w:rPr>
        <w:t>人可持本人有效身份证件或代理人持本人和持卡人有效身份证件至营业网点或相关指定渠道办理挂失手续。</w:t>
      </w:r>
      <w:r>
        <w:rPr>
          <w:rFonts w:hint="eastAsia" w:ascii="仿宋_GB2312" w:hAnsi="宋体" w:eastAsia="仿宋_GB2312" w:cs="宋体"/>
          <w:snapToGrid w:val="0"/>
          <w:kern w:val="0"/>
          <w:sz w:val="32"/>
          <w:szCs w:val="32"/>
        </w:rPr>
        <w:t>挂失手续办妥，挂失即生效。挂失生效前，持卡人因未及时挂失产生的一切经济损失，发卡行社不承担责任。IC卡电子现金视同现金管理，不记名、不验密、不挂失，其损失风险由持卡人自行承担。</w:t>
      </w:r>
    </w:p>
    <w:p>
      <w:pPr>
        <w:pStyle w:val="16"/>
        <w:numPr>
          <w:ilvl w:val="0"/>
          <w:numId w:val="1"/>
        </w:num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设备故障或操作失误等导致卡片被柜员机吞没的，由柜员机所属营业网点负责及时收回，持卡人应尽快凭本人有效身份证件到该柜员机所属营业网点办理领回手续。自柜员机吞卡次日起，超过30日无人认领的卡片，柜员机所属营业网点有权按照有关规定程序处理吞</w:t>
      </w:r>
      <w:r>
        <w:rPr>
          <w:rFonts w:hint="eastAsia" w:ascii="仿宋_GB2312" w:hAnsi="仿宋_GB2312" w:eastAsia="仿宋_GB2312" w:cs="仿宋_GB2312"/>
          <w:color w:val="000000"/>
          <w:sz w:val="32"/>
          <w:szCs w:val="32"/>
          <w:lang w:eastAsia="zh-CN"/>
        </w:rPr>
        <w:t>没</w:t>
      </w:r>
      <w:bookmarkStart w:id="0" w:name="_GoBack"/>
      <w:bookmarkEnd w:id="0"/>
      <w:r>
        <w:rPr>
          <w:rFonts w:hint="eastAsia" w:ascii="仿宋_GB2312" w:hAnsi="仿宋_GB2312" w:eastAsia="仿宋_GB2312" w:cs="仿宋_GB2312"/>
          <w:color w:val="000000"/>
          <w:sz w:val="32"/>
          <w:szCs w:val="32"/>
        </w:rPr>
        <w:t>卡片。</w:t>
      </w:r>
    </w:p>
    <w:p>
      <w:pPr>
        <w:pStyle w:val="16"/>
        <w:numPr>
          <w:ilvl w:val="0"/>
          <w:numId w:val="1"/>
        </w:numPr>
        <w:spacing w:line="560" w:lineRule="exact"/>
        <w:ind w:firstLine="64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auto"/>
          <w:sz w:val="32"/>
          <w:szCs w:val="32"/>
          <w:highlight w:val="none"/>
          <w:u w:val="none"/>
        </w:rPr>
        <w:t>因实施电信网络诈骗犯罪等关联犯罪受过刑事处罚的，或</w:t>
      </w:r>
      <w:r>
        <w:rPr>
          <w:rFonts w:hint="eastAsia" w:ascii="仿宋_GB2312" w:hAnsi="仿宋_GB2312" w:eastAsia="仿宋_GB2312" w:cs="仿宋_GB2312"/>
          <w:color w:val="000000"/>
          <w:sz w:val="32"/>
          <w:szCs w:val="32"/>
          <w:highlight w:val="none"/>
        </w:rPr>
        <w:t>对经设区的市级及以上公安机关认定的</w:t>
      </w:r>
      <w:r>
        <w:rPr>
          <w:rFonts w:hint="eastAsia" w:ascii="仿宋_GB2312" w:hAnsi="仿宋_GB2312" w:eastAsia="仿宋_GB2312" w:cs="仿宋_GB2312"/>
          <w:color w:val="000000"/>
          <w:sz w:val="32"/>
          <w:szCs w:val="32"/>
          <w:highlight w:val="none"/>
          <w:lang w:eastAsia="zh-CN"/>
        </w:rPr>
        <w:t>非法买卖、出租、出借借记卡</w:t>
      </w:r>
      <w:r>
        <w:rPr>
          <w:rFonts w:hint="eastAsia" w:ascii="仿宋_GB2312" w:hAnsi="仿宋_GB2312" w:eastAsia="仿宋_GB2312" w:cs="仿宋_GB2312"/>
          <w:color w:val="000000"/>
          <w:sz w:val="32"/>
          <w:szCs w:val="32"/>
          <w:highlight w:val="none"/>
        </w:rPr>
        <w:t>及其账户</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auto"/>
          <w:sz w:val="32"/>
          <w:szCs w:val="32"/>
          <w:highlight w:val="none"/>
          <w:lang w:eastAsia="zh-CN"/>
        </w:rPr>
        <w:t>以及</w:t>
      </w:r>
      <w:r>
        <w:rPr>
          <w:rFonts w:hint="eastAsia" w:ascii="仿宋_GB2312" w:hAnsi="仿宋_GB2312" w:eastAsia="仿宋_GB2312" w:cs="仿宋_GB2312"/>
          <w:color w:val="000000"/>
          <w:sz w:val="32"/>
          <w:szCs w:val="32"/>
          <w:highlight w:val="none"/>
          <w:lang w:eastAsia="zh-CN"/>
        </w:rPr>
        <w:t>为上述借记卡及其账户提供实名核验帮助</w:t>
      </w:r>
      <w:r>
        <w:rPr>
          <w:rFonts w:hint="eastAsia" w:ascii="仿宋_GB2312" w:hAnsi="仿宋_GB2312" w:eastAsia="仿宋_GB2312" w:cs="仿宋_GB2312"/>
          <w:color w:val="000000"/>
          <w:sz w:val="32"/>
          <w:szCs w:val="32"/>
          <w:highlight w:val="none"/>
        </w:rPr>
        <w:t>的单位</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个人</w:t>
      </w:r>
      <w:r>
        <w:rPr>
          <w:rFonts w:hint="eastAsia" w:ascii="仿宋_GB2312" w:hAnsi="仿宋_GB2312" w:eastAsia="仿宋_GB2312" w:cs="仿宋_GB2312"/>
          <w:color w:val="000000"/>
          <w:sz w:val="32"/>
          <w:szCs w:val="32"/>
          <w:highlight w:val="none"/>
          <w:lang w:eastAsia="zh-CN"/>
        </w:rPr>
        <w:t>和</w:t>
      </w:r>
      <w:r>
        <w:rPr>
          <w:rFonts w:hint="eastAsia" w:ascii="仿宋_GB2312" w:hAnsi="仿宋_GB2312" w:eastAsia="仿宋_GB2312" w:cs="仿宋_GB2312"/>
          <w:color w:val="000000"/>
          <w:sz w:val="32"/>
          <w:szCs w:val="32"/>
          <w:highlight w:val="none"/>
        </w:rPr>
        <w:t>相关组织者，假冒他人</w:t>
      </w:r>
      <w:r>
        <w:rPr>
          <w:rFonts w:hint="eastAsia" w:ascii="仿宋_GB2312" w:hAnsi="仿宋_GB2312" w:eastAsia="仿宋_GB2312" w:cs="仿宋_GB2312"/>
          <w:color w:val="000000"/>
          <w:sz w:val="32"/>
          <w:szCs w:val="32"/>
          <w:highlight w:val="none"/>
          <w:lang w:eastAsia="zh-CN"/>
        </w:rPr>
        <w:t>身份</w:t>
      </w:r>
      <w:r>
        <w:rPr>
          <w:rFonts w:hint="eastAsia" w:ascii="仿宋_GB2312" w:hAnsi="仿宋_GB2312" w:eastAsia="仿宋_GB2312" w:cs="仿宋_GB2312"/>
          <w:color w:val="000000"/>
          <w:sz w:val="32"/>
          <w:szCs w:val="32"/>
          <w:highlight w:val="none"/>
        </w:rPr>
        <w:t>或者虚构代理关系开立</w:t>
      </w:r>
      <w:r>
        <w:rPr>
          <w:rFonts w:hint="eastAsia" w:ascii="仿宋_GB2312" w:hAnsi="仿宋_GB2312" w:eastAsia="仿宋_GB2312" w:cs="仿宋_GB2312"/>
          <w:color w:val="000000"/>
          <w:sz w:val="32"/>
          <w:szCs w:val="32"/>
          <w:highlight w:val="none"/>
          <w:lang w:eastAsia="zh-CN"/>
        </w:rPr>
        <w:t>借记卡</w:t>
      </w:r>
      <w:r>
        <w:rPr>
          <w:rFonts w:hint="eastAsia" w:ascii="仿宋_GB2312" w:hAnsi="仿宋_GB2312" w:eastAsia="仿宋_GB2312" w:cs="仿宋_GB2312"/>
          <w:color w:val="000000"/>
          <w:sz w:val="32"/>
          <w:szCs w:val="32"/>
          <w:highlight w:val="none"/>
        </w:rPr>
        <w:t>及其账户的单位</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个人</w:t>
      </w:r>
      <w:r>
        <w:rPr>
          <w:rFonts w:hint="eastAsia" w:ascii="仿宋_GB2312" w:hAnsi="仿宋_GB2312" w:eastAsia="仿宋_GB2312" w:cs="仿宋_GB2312"/>
          <w:color w:val="000000"/>
          <w:sz w:val="32"/>
          <w:szCs w:val="32"/>
          <w:highlight w:val="none"/>
          <w:lang w:eastAsia="zh-CN"/>
        </w:rPr>
        <w:t>和相关组织者</w:t>
      </w:r>
      <w:r>
        <w:rPr>
          <w:rFonts w:hint="eastAsia" w:ascii="仿宋_GB2312" w:hAnsi="仿宋_GB2312" w:eastAsia="仿宋_GB2312" w:cs="仿宋_GB2312"/>
          <w:color w:val="000000"/>
          <w:sz w:val="32"/>
          <w:szCs w:val="32"/>
          <w:highlight w:val="none"/>
        </w:rPr>
        <w:t>，发卡行社</w:t>
      </w:r>
      <w:r>
        <w:rPr>
          <w:rFonts w:hint="eastAsia" w:ascii="仿宋_GB2312" w:hAnsi="仿宋_GB2312" w:eastAsia="仿宋_GB2312" w:cs="仿宋_GB2312"/>
          <w:color w:val="000000"/>
          <w:sz w:val="32"/>
          <w:szCs w:val="32"/>
          <w:highlight w:val="none"/>
          <w:lang w:eastAsia="zh-CN"/>
        </w:rPr>
        <w:t>应按照国家有关规定对其实施相应的金融惩戒措施。</w:t>
      </w:r>
      <w:r>
        <w:rPr>
          <w:rFonts w:hint="eastAsia" w:ascii="仿宋_GB2312" w:hAnsi="仿宋_GB2312" w:eastAsia="仿宋_GB2312" w:cs="仿宋_GB2312"/>
          <w:color w:val="000000"/>
          <w:sz w:val="32"/>
          <w:szCs w:val="32"/>
          <w:highlight w:val="none"/>
        </w:rPr>
        <w:t>持卡人本人充分了解并清楚知晓</w:t>
      </w:r>
      <w:r>
        <w:rPr>
          <w:rFonts w:hint="eastAsia" w:ascii="仿宋_GB2312" w:hAnsi="仿宋_GB2312" w:eastAsia="仿宋_GB2312" w:cs="仿宋_GB2312"/>
          <w:color w:val="000000"/>
          <w:sz w:val="32"/>
          <w:szCs w:val="32"/>
          <w:highlight w:val="none"/>
          <w:u w:val="none"/>
          <w:lang w:eastAsia="zh-CN"/>
        </w:rPr>
        <w:t>非法买卖、出租、出借</w:t>
      </w:r>
      <w:r>
        <w:rPr>
          <w:rFonts w:hint="eastAsia" w:ascii="仿宋_GB2312" w:hAnsi="仿宋_GB2312" w:eastAsia="仿宋_GB2312" w:cs="仿宋_GB2312"/>
          <w:color w:val="000000"/>
          <w:sz w:val="32"/>
          <w:szCs w:val="32"/>
          <w:highlight w:val="none"/>
          <w:lang w:eastAsia="zh-CN"/>
        </w:rPr>
        <w:t>借记卡</w:t>
      </w:r>
      <w:r>
        <w:rPr>
          <w:rFonts w:hint="eastAsia" w:ascii="仿宋_GB2312" w:hAnsi="仿宋_GB2312" w:eastAsia="仿宋_GB2312" w:cs="仿宋_GB2312"/>
          <w:color w:val="000000"/>
          <w:sz w:val="32"/>
          <w:szCs w:val="32"/>
          <w:highlight w:val="none"/>
        </w:rPr>
        <w:t>及其账户的相关法律责任及惩戒措施，承诺依法依规开立和使用本人</w:t>
      </w:r>
      <w:r>
        <w:rPr>
          <w:rFonts w:hint="eastAsia" w:ascii="仿宋_GB2312" w:hAnsi="仿宋_GB2312" w:eastAsia="仿宋_GB2312" w:cs="仿宋_GB2312"/>
          <w:color w:val="000000"/>
          <w:sz w:val="32"/>
          <w:szCs w:val="32"/>
          <w:highlight w:val="none"/>
          <w:lang w:eastAsia="zh-CN"/>
        </w:rPr>
        <w:t>借记卡</w:t>
      </w:r>
      <w:r>
        <w:rPr>
          <w:rFonts w:hint="eastAsia" w:ascii="仿宋_GB2312" w:hAnsi="仿宋_GB2312" w:eastAsia="仿宋_GB2312" w:cs="仿宋_GB2312"/>
          <w:color w:val="000000"/>
          <w:sz w:val="32"/>
          <w:szCs w:val="32"/>
          <w:highlight w:val="none"/>
        </w:rPr>
        <w:t>及其账户。</w:t>
      </w:r>
    </w:p>
    <w:p>
      <w:pPr>
        <w:pStyle w:val="15"/>
        <w:spacing w:line="480" w:lineRule="exact"/>
        <w:ind w:firstLine="640"/>
        <w:jc w:val="center"/>
        <w:rPr>
          <w:rFonts w:ascii="黑体" w:hAnsi="黑体" w:eastAsia="黑体"/>
          <w:sz w:val="32"/>
          <w:szCs w:val="32"/>
        </w:rPr>
      </w:pPr>
    </w:p>
    <w:p>
      <w:pPr>
        <w:pStyle w:val="15"/>
        <w:spacing w:line="480" w:lineRule="exact"/>
        <w:ind w:firstLine="640"/>
        <w:jc w:val="center"/>
        <w:rPr>
          <w:rFonts w:ascii="黑体" w:hAnsi="黑体" w:eastAsia="黑体"/>
          <w:sz w:val="32"/>
          <w:szCs w:val="32"/>
        </w:rPr>
      </w:pPr>
      <w:r>
        <w:rPr>
          <w:rFonts w:hint="eastAsia" w:ascii="黑体" w:hAnsi="黑体" w:eastAsia="黑体"/>
          <w:sz w:val="32"/>
          <w:szCs w:val="32"/>
        </w:rPr>
        <w:t>第五章 计息与收费标准</w:t>
      </w:r>
    </w:p>
    <w:p>
      <w:pPr>
        <w:pStyle w:val="16"/>
        <w:numPr>
          <w:ilvl w:val="0"/>
          <w:numId w:val="1"/>
        </w:numPr>
        <w:spacing w:line="560" w:lineRule="exact"/>
        <w:ind w:firstLine="640"/>
        <w:rPr>
          <w:rFonts w:hint="eastAsia" w:ascii="仿宋_GB2312" w:hAnsi="宋体" w:eastAsia="仿宋_GB2312"/>
          <w:snapToGrid w:val="0"/>
          <w:kern w:val="0"/>
          <w:sz w:val="32"/>
          <w:szCs w:val="32"/>
          <w:highlight w:val="none"/>
          <w:shd w:val="clear" w:color="auto" w:fill="FFFFFF"/>
          <w:lang w:val="en-US" w:eastAsia="zh-CN"/>
        </w:rPr>
      </w:pPr>
      <w:r>
        <w:rPr>
          <w:rFonts w:hint="eastAsia" w:ascii="仿宋_GB2312" w:hAnsi="宋体" w:eastAsia="仿宋_GB2312"/>
          <w:snapToGrid w:val="0"/>
          <w:kern w:val="0"/>
          <w:sz w:val="32"/>
          <w:szCs w:val="32"/>
          <w:highlight w:val="none"/>
          <w:shd w:val="clear" w:color="auto" w:fill="FFFFFF"/>
          <w:lang w:eastAsia="zh-CN"/>
        </w:rPr>
        <w:t>借记卡</w:t>
      </w:r>
      <w:r>
        <w:rPr>
          <w:rFonts w:hint="eastAsia" w:ascii="仿宋_GB2312" w:hAnsi="宋体" w:eastAsia="仿宋_GB2312"/>
          <w:snapToGrid w:val="0"/>
          <w:kern w:val="0"/>
          <w:sz w:val="32"/>
          <w:szCs w:val="32"/>
          <w:highlight w:val="none"/>
          <w:shd w:val="clear" w:color="auto" w:fill="FFFFFF"/>
        </w:rPr>
        <w:t>内的存款按照</w:t>
      </w:r>
      <w:r>
        <w:rPr>
          <w:rFonts w:hint="eastAsia" w:ascii="仿宋_GB2312" w:hAnsi="宋体" w:eastAsia="仿宋_GB2312"/>
          <w:snapToGrid w:val="0"/>
          <w:color w:val="auto"/>
          <w:kern w:val="0"/>
          <w:sz w:val="32"/>
          <w:szCs w:val="32"/>
          <w:highlight w:val="none"/>
          <w:u w:val="none"/>
          <w:shd w:val="clear" w:color="auto" w:fill="FFFFFF"/>
          <w:lang w:eastAsia="zh-CN"/>
        </w:rPr>
        <w:t>持卡人与发卡行社约定的</w:t>
      </w:r>
      <w:r>
        <w:rPr>
          <w:rFonts w:hint="eastAsia" w:ascii="仿宋_GB2312" w:hAnsi="宋体" w:eastAsia="仿宋_GB2312"/>
          <w:snapToGrid w:val="0"/>
          <w:kern w:val="0"/>
          <w:sz w:val="32"/>
          <w:szCs w:val="32"/>
          <w:highlight w:val="none"/>
          <w:shd w:val="clear" w:color="auto" w:fill="FFFFFF"/>
        </w:rPr>
        <w:t>存款利率及计息办法计付利息，并由发卡行社依法代扣代缴利息税（如需），IC卡电子现金内的资金不计付利息。</w:t>
      </w:r>
    </w:p>
    <w:p>
      <w:pPr>
        <w:pStyle w:val="16"/>
        <w:numPr>
          <w:ilvl w:val="0"/>
          <w:numId w:val="1"/>
        </w:numPr>
        <w:spacing w:line="560" w:lineRule="exact"/>
        <w:ind w:firstLine="640"/>
        <w:rPr>
          <w:rFonts w:hint="eastAsia" w:ascii="仿宋_GB2312" w:hAnsi="宋体" w:eastAsia="仿宋_GB2312"/>
          <w:snapToGrid w:val="0"/>
          <w:color w:val="auto"/>
          <w:kern w:val="0"/>
          <w:sz w:val="32"/>
          <w:szCs w:val="32"/>
          <w:highlight w:val="none"/>
          <w:u w:val="none"/>
          <w:shd w:val="clear" w:color="auto" w:fill="FFFFFF"/>
          <w:lang w:val="en-US" w:eastAsia="zh-CN"/>
        </w:rPr>
      </w:pPr>
      <w:r>
        <w:rPr>
          <w:rFonts w:hint="eastAsia" w:ascii="仿宋_GB2312" w:hAnsi="宋体" w:eastAsia="仿宋_GB2312" w:cs="Times New Roman"/>
          <w:snapToGrid w:val="0"/>
          <w:color w:val="auto"/>
          <w:kern w:val="0"/>
          <w:sz w:val="32"/>
          <w:szCs w:val="32"/>
          <w:highlight w:val="none"/>
          <w:u w:val="none"/>
          <w:shd w:val="clear" w:color="auto" w:fill="FFFFFF"/>
          <w:lang w:val="en-US" w:eastAsia="zh-CN" w:bidi="ar"/>
        </w:rPr>
        <w:t>当存款利率相关的法律法规、规章政策调整，或中国人民银行存款基准利率、存款自律约定、发卡行社存款利率内部授权上限等发生调整，借记卡内的存款利率同步调整</w:t>
      </w:r>
      <w:r>
        <w:rPr>
          <w:rFonts w:hint="eastAsia" w:ascii="仿宋_GB2312" w:hAnsi="宋体" w:eastAsia="仿宋_GB2312"/>
          <w:snapToGrid w:val="0"/>
          <w:color w:val="auto"/>
          <w:kern w:val="0"/>
          <w:sz w:val="32"/>
          <w:szCs w:val="32"/>
          <w:highlight w:val="none"/>
          <w:u w:val="none"/>
          <w:shd w:val="clear" w:color="auto" w:fill="FFFFFF"/>
        </w:rPr>
        <w:t>。</w:t>
      </w:r>
    </w:p>
    <w:p>
      <w:pPr>
        <w:pStyle w:val="16"/>
        <w:numPr>
          <w:ilvl w:val="0"/>
          <w:numId w:val="1"/>
        </w:numPr>
        <w:spacing w:line="560" w:lineRule="exact"/>
        <w:ind w:firstLine="640"/>
        <w:rPr>
          <w:rFonts w:ascii="仿宋_GB2312" w:hAnsi="宋体" w:eastAsia="仿宋_GB2312"/>
          <w:snapToGrid w:val="0"/>
          <w:kern w:val="0"/>
          <w:sz w:val="32"/>
          <w:szCs w:val="32"/>
          <w:shd w:val="clear" w:color="auto" w:fill="FFFFFF"/>
        </w:rPr>
      </w:pPr>
      <w:r>
        <w:rPr>
          <w:rFonts w:hint="eastAsia" w:ascii="仿宋_GB2312" w:hAnsi="宋体" w:eastAsia="仿宋_GB2312"/>
          <w:snapToGrid w:val="0"/>
          <w:kern w:val="0"/>
          <w:sz w:val="32"/>
          <w:szCs w:val="32"/>
          <w:shd w:val="clear" w:color="auto" w:fill="FFFFFF"/>
        </w:rPr>
        <w:t>发卡行社根据国家相关法律、法规和规章等制定</w:t>
      </w:r>
      <w:r>
        <w:rPr>
          <w:rFonts w:hint="eastAsia" w:ascii="仿宋_GB2312" w:hAnsi="宋体" w:eastAsia="仿宋_GB2312"/>
          <w:snapToGrid w:val="0"/>
          <w:kern w:val="0"/>
          <w:sz w:val="32"/>
          <w:szCs w:val="32"/>
          <w:shd w:val="clear" w:color="auto" w:fill="FFFFFF"/>
          <w:lang w:eastAsia="zh-CN"/>
        </w:rPr>
        <w:t>借记卡</w:t>
      </w:r>
      <w:r>
        <w:rPr>
          <w:rFonts w:hint="eastAsia" w:ascii="仿宋_GB2312" w:hAnsi="宋体" w:eastAsia="仿宋_GB2312"/>
          <w:snapToGrid w:val="0"/>
          <w:kern w:val="0"/>
          <w:sz w:val="32"/>
          <w:szCs w:val="32"/>
          <w:shd w:val="clear" w:color="auto" w:fill="FFFFFF"/>
        </w:rPr>
        <w:t>服务收费项目和收费标准，持卡人可在各营业网点、福建农信微金融等渠道查询。</w:t>
      </w:r>
    </w:p>
    <w:p>
      <w:pPr>
        <w:pStyle w:val="16"/>
        <w:numPr>
          <w:ilvl w:val="0"/>
          <w:numId w:val="1"/>
        </w:numPr>
        <w:spacing w:line="560" w:lineRule="exact"/>
        <w:ind w:firstLine="640"/>
        <w:rPr>
          <w:rFonts w:ascii="仿宋_GB2312" w:hAnsi="宋体" w:eastAsia="仿宋_GB2312"/>
          <w:snapToGrid w:val="0"/>
          <w:kern w:val="0"/>
          <w:sz w:val="32"/>
          <w:szCs w:val="32"/>
          <w:shd w:val="clear" w:color="auto" w:fill="FFFFFF"/>
        </w:rPr>
      </w:pPr>
      <w:r>
        <w:rPr>
          <w:rFonts w:hint="eastAsia" w:ascii="仿宋_GB2312" w:hAnsi="宋体" w:eastAsia="仿宋_GB2312"/>
          <w:snapToGrid w:val="0"/>
          <w:kern w:val="0"/>
          <w:sz w:val="32"/>
          <w:szCs w:val="32"/>
          <w:shd w:val="clear" w:color="auto" w:fill="FFFFFF"/>
        </w:rPr>
        <w:t>当有关法律、法规和规章等发生变更时，或因经营需要，发卡行社可对收费项目和收费标准做出相应的调整，并于执行前依法按照规定提前公告。</w:t>
      </w:r>
    </w:p>
    <w:p>
      <w:pPr>
        <w:pStyle w:val="15"/>
        <w:spacing w:line="480" w:lineRule="exact"/>
        <w:ind w:firstLine="640"/>
        <w:jc w:val="center"/>
        <w:rPr>
          <w:rFonts w:ascii="黑体" w:hAnsi="黑体" w:eastAsia="黑体"/>
          <w:sz w:val="32"/>
          <w:szCs w:val="32"/>
        </w:rPr>
      </w:pPr>
    </w:p>
    <w:p>
      <w:pPr>
        <w:pStyle w:val="15"/>
        <w:spacing w:line="480" w:lineRule="exact"/>
        <w:ind w:firstLine="640"/>
        <w:jc w:val="center"/>
        <w:rPr>
          <w:rFonts w:ascii="黑体" w:hAnsi="黑体" w:eastAsia="黑体"/>
          <w:sz w:val="32"/>
          <w:szCs w:val="32"/>
        </w:rPr>
      </w:pPr>
      <w:r>
        <w:rPr>
          <w:rFonts w:hint="eastAsia" w:ascii="黑体" w:hAnsi="黑体" w:eastAsia="黑体"/>
          <w:sz w:val="32"/>
          <w:szCs w:val="32"/>
        </w:rPr>
        <w:t>第六章 发卡行社的权利与义务</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发卡行社对于需要进行风险控制的业务，可设定交易限额或账户最高可用余额，持卡人可在此基础上与发卡行社约定交易限额，但是该限额的设定不影响发卡行社对</w:t>
      </w:r>
      <w:r>
        <w:rPr>
          <w:rFonts w:hint="eastAsia" w:ascii="仿宋_GB2312" w:hAnsi="宋体" w:eastAsia="仿宋_GB2312" w:cs="宋体"/>
          <w:snapToGrid w:val="0"/>
          <w:kern w:val="0"/>
          <w:sz w:val="32"/>
          <w:szCs w:val="32"/>
          <w:lang w:eastAsia="zh-CN"/>
        </w:rPr>
        <w:t>借记卡</w:t>
      </w:r>
      <w:r>
        <w:rPr>
          <w:rFonts w:hint="eastAsia" w:ascii="仿宋_GB2312" w:hAnsi="宋体" w:eastAsia="仿宋_GB2312" w:cs="宋体"/>
          <w:snapToGrid w:val="0"/>
          <w:kern w:val="0"/>
          <w:sz w:val="32"/>
          <w:szCs w:val="32"/>
        </w:rPr>
        <w:t>进行限额设定的权利。持卡人使用</w:t>
      </w:r>
      <w:r>
        <w:rPr>
          <w:rFonts w:hint="eastAsia" w:ascii="仿宋_GB2312" w:hAnsi="宋体" w:eastAsia="仿宋_GB2312" w:cs="宋体"/>
          <w:snapToGrid w:val="0"/>
          <w:kern w:val="0"/>
          <w:sz w:val="32"/>
          <w:szCs w:val="32"/>
          <w:lang w:eastAsia="zh-CN"/>
        </w:rPr>
        <w:t>借记卡</w:t>
      </w:r>
      <w:r>
        <w:rPr>
          <w:rFonts w:hint="eastAsia" w:ascii="仿宋_GB2312" w:hAnsi="宋体" w:eastAsia="仿宋_GB2312" w:cs="宋体"/>
          <w:snapToGrid w:val="0"/>
          <w:kern w:val="0"/>
          <w:sz w:val="32"/>
          <w:szCs w:val="32"/>
        </w:rPr>
        <w:t>在境内外发生大额交易时，发卡行社有权按照监管机构的有关规定向监管机构上报相关数据。</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持卡人自开卡之日起6个月内无交易，发卡行社有权暂停该卡非柜面业务，持卡人须到营业网点实名认证后方可恢复使用。</w:t>
      </w:r>
    </w:p>
    <w:p>
      <w:pPr>
        <w:pStyle w:val="16"/>
        <w:numPr>
          <w:ilvl w:val="0"/>
          <w:numId w:val="1"/>
        </w:numPr>
        <w:spacing w:line="560" w:lineRule="exact"/>
        <w:ind w:firstLine="640"/>
        <w:rPr>
          <w:rFonts w:ascii="仿宋_GB2312" w:hAnsi="宋体" w:eastAsia="仿宋_GB2312"/>
          <w:snapToGrid w:val="0"/>
          <w:kern w:val="0"/>
          <w:sz w:val="32"/>
          <w:szCs w:val="32"/>
          <w:shd w:val="clear" w:color="auto" w:fill="FFFFFF"/>
        </w:rPr>
      </w:pPr>
      <w:r>
        <w:rPr>
          <w:rFonts w:hint="eastAsia" w:ascii="仿宋_GB2312" w:hAnsi="宋体" w:eastAsia="仿宋_GB2312"/>
          <w:snapToGrid w:val="0"/>
          <w:kern w:val="0"/>
          <w:sz w:val="32"/>
          <w:szCs w:val="32"/>
          <w:shd w:val="clear" w:color="auto" w:fill="FFFFFF"/>
        </w:rPr>
        <w:t>持卡人未按规定缴纳相关费用，发卡行社有权中止提供相应服务。</w:t>
      </w:r>
    </w:p>
    <w:p>
      <w:pPr>
        <w:pStyle w:val="16"/>
        <w:numPr>
          <w:ilvl w:val="0"/>
          <w:numId w:val="1"/>
        </w:numPr>
        <w:spacing w:line="560" w:lineRule="exact"/>
        <w:ind w:firstLine="640"/>
        <w:rPr>
          <w:rFonts w:ascii="仿宋_GB2312" w:hAnsi="宋体" w:eastAsia="仿宋_GB2312"/>
          <w:snapToGrid w:val="0"/>
          <w:kern w:val="0"/>
          <w:sz w:val="32"/>
          <w:szCs w:val="32"/>
          <w:shd w:val="clear" w:color="auto" w:fill="FFFFFF"/>
        </w:rPr>
      </w:pPr>
      <w:r>
        <w:rPr>
          <w:rFonts w:hint="eastAsia" w:ascii="仿宋_GB2312" w:hAnsi="宋体" w:eastAsia="仿宋_GB2312"/>
          <w:snapToGrid w:val="0"/>
          <w:kern w:val="0"/>
          <w:sz w:val="32"/>
          <w:szCs w:val="32"/>
          <w:shd w:val="clear" w:color="auto" w:fill="FFFFFF"/>
        </w:rPr>
        <w:t>发卡行社有权依照法律的规定协助国家司法机关或其他有权机关对持卡人的</w:t>
      </w:r>
      <w:r>
        <w:rPr>
          <w:rFonts w:hint="eastAsia" w:ascii="仿宋_GB2312" w:hAnsi="宋体" w:eastAsia="仿宋_GB2312"/>
          <w:snapToGrid w:val="0"/>
          <w:kern w:val="0"/>
          <w:sz w:val="32"/>
          <w:szCs w:val="32"/>
          <w:shd w:val="clear" w:color="auto" w:fill="FFFFFF"/>
          <w:lang w:eastAsia="zh-CN"/>
        </w:rPr>
        <w:t>借记卡</w:t>
      </w:r>
      <w:r>
        <w:rPr>
          <w:rFonts w:hint="eastAsia" w:ascii="仿宋_GB2312" w:hAnsi="宋体" w:eastAsia="仿宋_GB2312"/>
          <w:snapToGrid w:val="0"/>
          <w:kern w:val="0"/>
          <w:sz w:val="32"/>
          <w:szCs w:val="32"/>
          <w:shd w:val="clear" w:color="auto" w:fill="FFFFFF"/>
        </w:rPr>
        <w:t>进行查询、冻结和扣划。</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若持卡人预留非本人实名登记的手机号码，</w:t>
      </w:r>
      <w:r>
        <w:rPr>
          <w:rFonts w:hint="eastAsia" w:ascii="仿宋_GB2312" w:eastAsia="仿宋_GB2312"/>
          <w:color w:val="auto"/>
          <w:sz w:val="32"/>
          <w:szCs w:val="32"/>
          <w:u w:val="none"/>
        </w:rPr>
        <w:t>发卡行社应进一步核实其合理性。若该联系方式无法联系上客户或客户无法说明其合理性，发卡行社有权对该借记卡采取暂停非柜面业务管控措施。</w:t>
      </w:r>
      <w:r>
        <w:rPr>
          <w:rFonts w:hint="eastAsia" w:ascii="仿宋_GB2312" w:hAnsi="宋体" w:eastAsia="仿宋_GB2312" w:cs="宋体"/>
          <w:snapToGrid w:val="0"/>
          <w:color w:val="auto"/>
          <w:kern w:val="0"/>
          <w:sz w:val="32"/>
          <w:szCs w:val="32"/>
        </w:rPr>
        <w:t>特殊情况的按照中国人民银行的相关规定办理</w:t>
      </w:r>
      <w:r>
        <w:rPr>
          <w:rFonts w:hint="eastAsia" w:ascii="仿宋_GB2312" w:hAnsi="宋体" w:eastAsia="仿宋_GB2312" w:cs="宋体"/>
          <w:snapToGrid w:val="0"/>
          <w:kern w:val="0"/>
          <w:sz w:val="32"/>
          <w:szCs w:val="32"/>
        </w:rPr>
        <w:t>。</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lang w:eastAsia="zh-CN"/>
        </w:rPr>
        <w:t>借记卡</w:t>
      </w:r>
      <w:r>
        <w:rPr>
          <w:rFonts w:hint="eastAsia" w:ascii="仿宋_GB2312" w:hAnsi="宋体" w:eastAsia="仿宋_GB2312" w:cs="宋体"/>
          <w:snapToGrid w:val="0"/>
          <w:kern w:val="0"/>
          <w:sz w:val="32"/>
          <w:szCs w:val="32"/>
        </w:rPr>
        <w:t>账户余额不高于</w:t>
      </w:r>
      <w:r>
        <w:rPr>
          <w:rFonts w:ascii="仿宋_GB2312" w:hAnsi="宋体" w:eastAsia="仿宋_GB2312" w:cs="宋体"/>
          <w:snapToGrid w:val="0"/>
          <w:kern w:val="0"/>
          <w:sz w:val="32"/>
          <w:szCs w:val="32"/>
        </w:rPr>
        <w:t>10元且</w:t>
      </w:r>
      <w:r>
        <w:rPr>
          <w:rFonts w:hint="eastAsia" w:ascii="仿宋_GB2312" w:hAnsi="宋体" w:eastAsia="仿宋_GB2312" w:cs="宋体"/>
          <w:snapToGrid w:val="0"/>
          <w:kern w:val="0"/>
          <w:sz w:val="32"/>
          <w:szCs w:val="32"/>
        </w:rPr>
        <w:t>自上次交易日起满两年内未发生账户结息、小额账户管理费扣费交易以外的资金类交易，发卡行社有权对该卡做不动户处理，持卡人须激活后方可恢复使用。</w:t>
      </w:r>
    </w:p>
    <w:p>
      <w:pPr>
        <w:pStyle w:val="16"/>
        <w:numPr>
          <w:ilvl w:val="0"/>
          <w:numId w:val="0"/>
        </w:numPr>
        <w:spacing w:line="560" w:lineRule="exact"/>
        <w:ind w:firstLine="640" w:firstLineChars="200"/>
        <w:rPr>
          <w:rFonts w:ascii="仿宋_GB2312" w:hAnsi="宋体" w:eastAsia="仿宋_GB2312" w:cs="宋体"/>
          <w:snapToGrid w:val="0"/>
          <w:color w:val="auto"/>
          <w:kern w:val="0"/>
          <w:sz w:val="32"/>
          <w:szCs w:val="32"/>
        </w:rPr>
      </w:pPr>
      <w:r>
        <w:rPr>
          <w:rFonts w:hint="eastAsia" w:ascii="仿宋_GB2312" w:hAnsi="宋体" w:eastAsia="仿宋_GB2312" w:cs="宋体"/>
          <w:snapToGrid w:val="0"/>
          <w:color w:val="auto"/>
          <w:kern w:val="0"/>
          <w:sz w:val="32"/>
          <w:szCs w:val="32"/>
        </w:rPr>
        <w:t>借记卡转入不动户后，个人客户一年内（对年对月对日计算）仍未申请恢复使用账户，该借记卡将自动转收益（注销），卡内资金转营业外收入。借记卡转收益后，个人客户需持本人有效身份证明文件和实体介质（如有）至全省农信系统任意网点申请转收益结清，支取卡内剩余资金。</w:t>
      </w:r>
    </w:p>
    <w:p>
      <w:pPr>
        <w:pStyle w:val="16"/>
        <w:numPr>
          <w:ilvl w:val="0"/>
          <w:numId w:val="1"/>
        </w:numPr>
        <w:spacing w:line="560" w:lineRule="exact"/>
        <w:ind w:firstLine="640"/>
        <w:rPr>
          <w:rFonts w:ascii="仿宋_GB2312" w:hAnsi="仿宋_GB2312" w:eastAsia="仿宋_GB2312" w:cs="仿宋_GB2312"/>
          <w:b/>
          <w:sz w:val="32"/>
          <w:szCs w:val="32"/>
        </w:rPr>
      </w:pPr>
      <w:r>
        <w:rPr>
          <w:rFonts w:hint="eastAsia" w:ascii="仿宋_GB2312" w:hAnsi="宋体" w:eastAsia="仿宋_GB2312" w:cs="宋体"/>
          <w:snapToGrid w:val="0"/>
          <w:kern w:val="0"/>
          <w:sz w:val="32"/>
          <w:szCs w:val="32"/>
        </w:rPr>
        <w:t>发卡行社发现或者收到被冒用身份的个人声明，并确认该</w:t>
      </w:r>
      <w:r>
        <w:rPr>
          <w:rFonts w:hint="eastAsia" w:ascii="仿宋_GB2312" w:hAnsi="宋体" w:eastAsia="仿宋_GB2312" w:cs="宋体"/>
          <w:snapToGrid w:val="0"/>
          <w:kern w:val="0"/>
          <w:sz w:val="32"/>
          <w:szCs w:val="32"/>
          <w:lang w:eastAsia="zh-CN"/>
        </w:rPr>
        <w:t>借记卡</w:t>
      </w:r>
      <w:r>
        <w:rPr>
          <w:rFonts w:hint="eastAsia" w:ascii="仿宋_GB2312" w:hAnsi="宋体" w:eastAsia="仿宋_GB2312" w:cs="宋体"/>
          <w:snapToGrid w:val="0"/>
          <w:kern w:val="0"/>
          <w:sz w:val="32"/>
          <w:szCs w:val="32"/>
        </w:rPr>
        <w:t>为假名或虚假代理开户的，有权立即停止该卡的使用，在征得被冒用人同意后予以销户。</w:t>
      </w:r>
    </w:p>
    <w:p>
      <w:pPr>
        <w:pStyle w:val="16"/>
        <w:numPr>
          <w:ilvl w:val="0"/>
          <w:numId w:val="1"/>
        </w:numPr>
        <w:spacing w:line="560" w:lineRule="exact"/>
        <w:ind w:firstLine="640"/>
        <w:rPr>
          <w:rFonts w:hint="eastAsia" w:ascii="仿宋_GB2312" w:hAnsi="宋体" w:eastAsia="仿宋_GB2312" w:cs="宋体"/>
          <w:b w:val="0"/>
          <w:snapToGrid w:val="0"/>
          <w:kern w:val="0"/>
          <w:sz w:val="32"/>
          <w:szCs w:val="32"/>
        </w:rPr>
      </w:pPr>
      <w:r>
        <w:rPr>
          <w:rFonts w:hint="eastAsia" w:ascii="仿宋_GB2312" w:hAnsi="宋体" w:eastAsia="仿宋_GB2312" w:cs="宋体"/>
          <w:snapToGrid w:val="0"/>
          <w:kern w:val="0"/>
          <w:sz w:val="32"/>
          <w:szCs w:val="32"/>
        </w:rPr>
        <w:t>申请人办理</w:t>
      </w:r>
      <w:r>
        <w:rPr>
          <w:rFonts w:hint="eastAsia" w:ascii="仿宋_GB2312" w:hAnsi="宋体" w:eastAsia="仿宋_GB2312" w:cs="宋体"/>
          <w:snapToGrid w:val="0"/>
          <w:kern w:val="0"/>
          <w:sz w:val="32"/>
          <w:szCs w:val="32"/>
          <w:lang w:eastAsia="zh-CN"/>
        </w:rPr>
        <w:t>借记卡</w:t>
      </w:r>
      <w:r>
        <w:rPr>
          <w:rFonts w:hint="eastAsia" w:ascii="仿宋_GB2312" w:hAnsi="宋体" w:eastAsia="仿宋_GB2312" w:cs="宋体"/>
          <w:snapToGrid w:val="0"/>
          <w:kern w:val="0"/>
          <w:sz w:val="32"/>
          <w:szCs w:val="32"/>
        </w:rPr>
        <w:t>（贵宾卡）申请手续后，未在规定时间（以发卡行社对外公布为准，并可经公告后调整）内领取</w:t>
      </w:r>
      <w:r>
        <w:rPr>
          <w:rFonts w:hint="eastAsia" w:ascii="仿宋_GB2312" w:hAnsi="宋体" w:eastAsia="仿宋_GB2312" w:cs="宋体"/>
          <w:snapToGrid w:val="0"/>
          <w:kern w:val="0"/>
          <w:sz w:val="32"/>
          <w:szCs w:val="32"/>
          <w:lang w:eastAsia="zh-CN"/>
        </w:rPr>
        <w:t>卡片</w:t>
      </w:r>
      <w:r>
        <w:rPr>
          <w:rFonts w:hint="eastAsia" w:ascii="仿宋_GB2312" w:hAnsi="宋体" w:eastAsia="仿宋_GB2312" w:cs="宋体"/>
          <w:snapToGrid w:val="0"/>
          <w:kern w:val="0"/>
          <w:sz w:val="32"/>
          <w:szCs w:val="32"/>
        </w:rPr>
        <w:t>的，发卡行社有权对该卡做销户处理</w:t>
      </w:r>
    </w:p>
    <w:p>
      <w:pPr>
        <w:pStyle w:val="16"/>
        <w:numPr>
          <w:ilvl w:val="0"/>
          <w:numId w:val="1"/>
        </w:numPr>
        <w:spacing w:line="560" w:lineRule="exact"/>
        <w:ind w:firstLine="640"/>
        <w:rPr>
          <w:rFonts w:hint="eastAsia" w:ascii="仿宋_GB2312" w:hAnsi="宋体" w:eastAsia="仿宋_GB2312" w:cs="宋体"/>
          <w:snapToGrid w:val="0"/>
          <w:color w:val="auto"/>
          <w:kern w:val="0"/>
          <w:sz w:val="32"/>
          <w:szCs w:val="32"/>
          <w:u w:val="none"/>
        </w:rPr>
      </w:pPr>
      <w:r>
        <w:rPr>
          <w:rFonts w:hint="eastAsia" w:ascii="仿宋_GB2312" w:hAnsi="宋体" w:eastAsia="仿宋_GB2312" w:cs="宋体"/>
          <w:snapToGrid w:val="0"/>
          <w:color w:val="auto"/>
          <w:kern w:val="0"/>
          <w:sz w:val="32"/>
          <w:szCs w:val="32"/>
          <w:u w:val="none"/>
        </w:rPr>
        <w:t>发卡行社有权按照约定</w:t>
      </w:r>
      <w:r>
        <w:rPr>
          <w:rFonts w:hint="eastAsia" w:ascii="仿宋_GB2312" w:hAnsi="宋体" w:eastAsia="仿宋_GB2312" w:cs="宋体"/>
          <w:snapToGrid w:val="0"/>
          <w:color w:val="auto"/>
          <w:kern w:val="0"/>
          <w:sz w:val="32"/>
          <w:szCs w:val="32"/>
          <w:u w:val="none"/>
          <w:lang w:eastAsia="zh-CN"/>
        </w:rPr>
        <w:t>收集、</w:t>
      </w:r>
      <w:r>
        <w:rPr>
          <w:rFonts w:hint="eastAsia" w:ascii="仿宋_GB2312" w:hAnsi="宋体" w:eastAsia="仿宋_GB2312" w:cs="宋体"/>
          <w:snapToGrid w:val="0"/>
          <w:color w:val="auto"/>
          <w:kern w:val="0"/>
          <w:sz w:val="32"/>
          <w:szCs w:val="32"/>
          <w:u w:val="none"/>
        </w:rPr>
        <w:t>使用、处理申</w:t>
      </w:r>
      <w:r>
        <w:rPr>
          <w:rFonts w:hint="eastAsia" w:ascii="仿宋_GB2312" w:hAnsi="宋体" w:eastAsia="仿宋_GB2312" w:cs="宋体"/>
          <w:snapToGrid w:val="0"/>
          <w:color w:val="auto"/>
          <w:kern w:val="0"/>
          <w:sz w:val="32"/>
          <w:szCs w:val="32"/>
          <w:u w:val="none"/>
          <w:lang w:eastAsia="zh-CN"/>
        </w:rPr>
        <w:t>请</w:t>
      </w:r>
      <w:r>
        <w:rPr>
          <w:rFonts w:hint="eastAsia" w:ascii="仿宋_GB2312" w:hAnsi="宋体" w:eastAsia="仿宋_GB2312" w:cs="宋体"/>
          <w:snapToGrid w:val="0"/>
          <w:color w:val="auto"/>
          <w:kern w:val="0"/>
          <w:sz w:val="32"/>
          <w:szCs w:val="32"/>
          <w:u w:val="none"/>
        </w:rPr>
        <w:t>人和持卡人的个人</w:t>
      </w:r>
      <w:r>
        <w:rPr>
          <w:rFonts w:hint="eastAsia" w:ascii="仿宋_GB2312" w:hAnsi="宋体" w:eastAsia="仿宋_GB2312" w:cs="宋体"/>
          <w:b w:val="0"/>
          <w:bCs w:val="0"/>
          <w:snapToGrid w:val="0"/>
          <w:color w:val="auto"/>
          <w:kern w:val="0"/>
          <w:sz w:val="32"/>
          <w:szCs w:val="32"/>
          <w:u w:val="none"/>
          <w:lang w:eastAsia="zh-CN"/>
        </w:rPr>
        <w:t>信</w:t>
      </w:r>
      <w:r>
        <w:rPr>
          <w:rFonts w:hint="eastAsia" w:ascii="仿宋_GB2312" w:hAnsi="仿宋_GB2312" w:eastAsia="仿宋_GB2312" w:cs="仿宋_GB2312"/>
          <w:b w:val="0"/>
          <w:bCs w:val="0"/>
          <w:color w:val="auto"/>
          <w:sz w:val="32"/>
          <w:szCs w:val="32"/>
          <w:u w:val="none"/>
          <w:lang w:eastAsia="zh-CN"/>
        </w:rPr>
        <w:t>息数据</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eastAsia="zh-CN"/>
        </w:rPr>
        <w:t>但</w:t>
      </w:r>
      <w:r>
        <w:rPr>
          <w:rFonts w:hint="eastAsia" w:ascii="仿宋_GB2312" w:eastAsia="仿宋_GB2312"/>
          <w:color w:val="auto"/>
          <w:sz w:val="32"/>
          <w:szCs w:val="32"/>
          <w:highlight w:val="none"/>
          <w:u w:val="none"/>
          <w:lang w:val="en-US" w:eastAsia="zh-CN"/>
        </w:rPr>
        <w:t>应当按照法律法规规定，履行客户信息保密义务，遵循正当、必要原则，保证信息数据采集、使用及处理的安全性和合法性，</w:t>
      </w:r>
      <w:r>
        <w:rPr>
          <w:rFonts w:hint="eastAsia" w:ascii="仿宋_GB2312" w:hAnsi="仿宋_GB2312" w:eastAsia="仿宋_GB2312" w:cs="仿宋_GB2312"/>
          <w:b w:val="0"/>
          <w:bCs w:val="0"/>
          <w:color w:val="auto"/>
          <w:sz w:val="32"/>
          <w:szCs w:val="32"/>
          <w:u w:val="none"/>
        </w:rPr>
        <w:t>法律法规另有规定的除外。</w:t>
      </w:r>
      <w:r>
        <w:rPr>
          <w:rFonts w:hint="eastAsia" w:ascii="仿宋_GB2312" w:hAnsi="仿宋_GB2312" w:eastAsia="仿宋_GB2312" w:cs="仿宋_GB2312"/>
          <w:b w:val="0"/>
          <w:bCs w:val="0"/>
          <w:color w:val="auto"/>
          <w:sz w:val="32"/>
          <w:szCs w:val="32"/>
          <w:highlight w:val="none"/>
          <w:u w:val="none"/>
        </w:rPr>
        <w:t>持卡人</w:t>
      </w:r>
      <w:r>
        <w:rPr>
          <w:rFonts w:hint="eastAsia" w:ascii="仿宋_GB2312" w:hAnsi="仿宋_GB2312" w:eastAsia="仿宋_GB2312" w:cs="仿宋_GB2312"/>
          <w:b w:val="0"/>
          <w:bCs w:val="0"/>
          <w:color w:val="auto"/>
          <w:sz w:val="32"/>
          <w:szCs w:val="32"/>
          <w:u w:val="none"/>
        </w:rPr>
        <w:t>同意发卡行社在法律法规允许的范围内，使用持卡人的金融信息向持卡人推荐或提供发卡行社的其他产品和服务，</w:t>
      </w:r>
      <w:r>
        <w:rPr>
          <w:rFonts w:hint="eastAsia" w:ascii="仿宋_GB2312" w:hAnsi="仿宋_GB2312" w:eastAsia="仿宋_GB2312" w:cs="仿宋_GB2312"/>
          <w:color w:val="auto"/>
          <w:sz w:val="32"/>
          <w:szCs w:val="32"/>
          <w:u w:val="none"/>
        </w:rPr>
        <w:t>但发卡行社不得将客户的授权或同意作为建立业务关系的先决条件，对持卡</w:t>
      </w:r>
      <w:r>
        <w:rPr>
          <w:rFonts w:hint="eastAsia" w:ascii="仿宋_GB2312" w:hAnsi="宋体" w:eastAsia="仿宋_GB2312" w:cs="宋体"/>
          <w:snapToGrid w:val="0"/>
          <w:color w:val="auto"/>
          <w:kern w:val="0"/>
          <w:sz w:val="32"/>
          <w:szCs w:val="32"/>
          <w:u w:val="none"/>
        </w:rPr>
        <w:t>人明确表示不同意接受的，发卡行社应停止推荐或提供相关产品和服务。</w:t>
      </w:r>
    </w:p>
    <w:p>
      <w:pPr>
        <w:pStyle w:val="16"/>
        <w:numPr>
          <w:ilvl w:val="0"/>
          <w:numId w:val="1"/>
        </w:numPr>
        <w:spacing w:line="560" w:lineRule="exact"/>
        <w:ind w:firstLine="640"/>
        <w:rPr>
          <w:rFonts w:hint="eastAsia" w:ascii="仿宋_GB2312" w:hAnsi="宋体" w:eastAsia="仿宋_GB2312" w:cs="宋体"/>
          <w:snapToGrid w:val="0"/>
          <w:color w:val="000000" w:themeColor="text1"/>
          <w:kern w:val="0"/>
          <w:sz w:val="32"/>
          <w:szCs w:val="32"/>
          <w14:textFill>
            <w14:solidFill>
              <w14:schemeClr w14:val="tx1"/>
            </w14:solidFill>
          </w14:textFill>
        </w:rPr>
      </w:pPr>
      <w:r>
        <w:rPr>
          <w:rFonts w:hint="eastAsia" w:ascii="仿宋_GB2312" w:hAnsi="宋体" w:eastAsia="仿宋_GB2312" w:cs="宋体"/>
          <w:snapToGrid w:val="0"/>
          <w:color w:val="000000" w:themeColor="text1"/>
          <w:kern w:val="0"/>
          <w:sz w:val="32"/>
          <w:szCs w:val="32"/>
          <w14:textFill>
            <w14:solidFill>
              <w14:schemeClr w14:val="tx1"/>
            </w14:solidFill>
          </w14:textFill>
        </w:rPr>
        <w:t>持卡人涉嫌洗钱、恐怖融资或其他违法活动，或被列入国际组织、中国或其他国家发布的制裁名单或制裁规范，或违反相关法律法规、监管要求的，发卡行社有权取消持卡人用卡资格</w:t>
      </w:r>
      <w:r>
        <w:rPr>
          <w:rFonts w:hint="eastAsia" w:ascii="仿宋_GB2312" w:hAnsi="宋体" w:eastAsia="仿宋_GB2312" w:cs="宋体"/>
          <w:snapToGrid w:val="0"/>
          <w:color w:val="000000" w:themeColor="text1"/>
          <w:kern w:val="0"/>
          <w:sz w:val="32"/>
          <w:szCs w:val="32"/>
          <w:lang w:eastAsia="zh-CN"/>
          <w14:textFill>
            <w14:solidFill>
              <w14:schemeClr w14:val="tx1"/>
            </w14:solidFill>
          </w14:textFill>
        </w:rPr>
        <w:t>。</w:t>
      </w:r>
    </w:p>
    <w:p>
      <w:pPr>
        <w:pStyle w:val="21"/>
        <w:numPr>
          <w:ilvl w:val="0"/>
          <w:numId w:val="1"/>
        </w:numPr>
        <w:spacing w:line="560" w:lineRule="exact"/>
        <w:ind w:firstLine="640"/>
        <w:rPr>
          <w:rFonts w:ascii="仿宋_GB2312" w:hAnsi="仿宋_GB2312" w:eastAsia="仿宋_GB2312" w:cs="仿宋_GB2312"/>
          <w:color w:val="auto"/>
          <w:sz w:val="32"/>
          <w:szCs w:val="32"/>
          <w:u w:val="none"/>
        </w:rPr>
      </w:pPr>
      <w:r>
        <w:rPr>
          <w:rFonts w:hint="eastAsia" w:ascii="仿宋_GB2312" w:hAnsi="宋体" w:eastAsia="仿宋_GB2312"/>
          <w:snapToGrid w:val="0"/>
          <w:color w:val="auto"/>
          <w:sz w:val="32"/>
          <w:szCs w:val="32"/>
          <w:u w:val="none"/>
          <w:shd w:val="clear" w:color="auto" w:fill="FFFFFF"/>
          <w:lang w:bidi="ar"/>
        </w:rPr>
        <w:t>各发卡行社应按照反洗钱相关法律法规、规章以及省联社反洗钱相关制度规定，建立相应的洗钱和恐怖融资风险管理机制和程序，严控客户洗钱和恐怖融资风险。对客户发生的大额交易和可疑交易，应按照反洗钱相关规定及时向人民银行报告</w:t>
      </w:r>
      <w:r>
        <w:rPr>
          <w:rFonts w:hint="eastAsia" w:ascii="仿宋_GB2312" w:hAnsi="宋体" w:eastAsia="仿宋_GB2312"/>
          <w:snapToGrid w:val="0"/>
          <w:color w:val="auto"/>
          <w:kern w:val="0"/>
          <w:sz w:val="32"/>
          <w:szCs w:val="32"/>
          <w:u w:val="none"/>
          <w:shd w:val="clear" w:color="auto" w:fill="FFFFFF"/>
        </w:rPr>
        <w:t>。</w:t>
      </w:r>
    </w:p>
    <w:p>
      <w:pPr>
        <w:pStyle w:val="21"/>
        <w:numPr>
          <w:ilvl w:val="0"/>
          <w:numId w:val="1"/>
        </w:numPr>
        <w:spacing w:line="560" w:lineRule="exact"/>
        <w:ind w:firstLine="640"/>
        <w:rPr>
          <w:rFonts w:ascii="仿宋_GB2312" w:hAnsi="宋体" w:eastAsia="仿宋_GB2312"/>
          <w:snapToGrid w:val="0"/>
          <w:color w:val="auto"/>
          <w:sz w:val="32"/>
          <w:szCs w:val="32"/>
          <w:u w:val="none"/>
          <w:shd w:val="clear" w:color="auto" w:fill="FFFFFF"/>
          <w:lang w:bidi="ar"/>
        </w:rPr>
      </w:pPr>
      <w:r>
        <w:rPr>
          <w:rFonts w:hint="eastAsia" w:ascii="仿宋_GB2312" w:hAnsi="宋体" w:eastAsia="仿宋_GB2312" w:cs="仿宋_GB2312"/>
          <w:snapToGrid w:val="0"/>
          <w:color w:val="auto"/>
          <w:kern w:val="0"/>
          <w:sz w:val="32"/>
          <w:szCs w:val="32"/>
          <w:u w:val="none"/>
          <w:shd w:val="clear" w:color="auto" w:fill="FFFFFF"/>
          <w:lang w:bidi="ar"/>
        </w:rPr>
        <w:t>在借记卡业务关系建立及存续期间，发卡行社应当勤勉尽责，关注并审查客户身份信息及交易情况，妥善保存客户身份资料和交易记录，确保当前进行的交易符合发卡行社对客户身份背景、业务需求、风险状况等方面的认识</w:t>
      </w:r>
      <w:r>
        <w:rPr>
          <w:rFonts w:hint="eastAsia" w:ascii="仿宋_GB2312" w:hAnsi="宋体" w:eastAsia="仿宋_GB2312"/>
          <w:snapToGrid w:val="0"/>
          <w:color w:val="auto"/>
          <w:sz w:val="32"/>
          <w:szCs w:val="32"/>
          <w:u w:val="none"/>
          <w:shd w:val="clear" w:color="auto" w:fill="FFFFFF"/>
          <w:lang w:bidi="ar"/>
        </w:rPr>
        <w:t>：</w:t>
      </w:r>
    </w:p>
    <w:p>
      <w:pPr>
        <w:pStyle w:val="21"/>
        <w:spacing w:line="560" w:lineRule="exact"/>
        <w:ind w:firstLine="640"/>
        <w:rPr>
          <w:rFonts w:ascii="仿宋_GB2312" w:hAnsi="宋体" w:eastAsia="仿宋_GB2312"/>
          <w:snapToGrid w:val="0"/>
          <w:color w:val="auto"/>
          <w:sz w:val="32"/>
          <w:szCs w:val="32"/>
          <w:u w:val="none"/>
          <w:shd w:val="clear" w:color="auto" w:fill="FFFFFF"/>
          <w:lang w:bidi="ar"/>
        </w:rPr>
      </w:pPr>
      <w:r>
        <w:rPr>
          <w:rFonts w:hint="eastAsia" w:ascii="仿宋_GB2312" w:hAnsi="宋体" w:eastAsia="仿宋_GB2312"/>
          <w:snapToGrid w:val="0"/>
          <w:color w:val="auto"/>
          <w:sz w:val="32"/>
          <w:szCs w:val="32"/>
          <w:u w:val="none"/>
          <w:shd w:val="clear" w:color="auto" w:fill="FFFFFF"/>
          <w:lang w:bidi="ar"/>
        </w:rPr>
        <w:t>（一）客户有关行为或者交易出现异常，或者客户风险状况发生变化的，如借记卡交易规模与年龄不符、借记卡交易模式与职业不匹配等；</w:t>
      </w:r>
    </w:p>
    <w:p>
      <w:pPr>
        <w:pStyle w:val="21"/>
        <w:spacing w:line="560" w:lineRule="exact"/>
        <w:ind w:firstLine="640"/>
        <w:rPr>
          <w:rFonts w:ascii="仿宋_GB2312" w:hAnsi="宋体" w:eastAsia="仿宋_GB2312"/>
          <w:snapToGrid w:val="0"/>
          <w:color w:val="auto"/>
          <w:sz w:val="32"/>
          <w:szCs w:val="32"/>
          <w:u w:val="none"/>
          <w:shd w:val="clear" w:color="auto" w:fill="FFFFFF"/>
          <w:lang w:bidi="ar"/>
        </w:rPr>
      </w:pPr>
      <w:r>
        <w:rPr>
          <w:rFonts w:hint="eastAsia" w:ascii="仿宋_GB2312" w:hAnsi="宋体" w:eastAsia="仿宋_GB2312"/>
          <w:snapToGrid w:val="0"/>
          <w:color w:val="auto"/>
          <w:sz w:val="32"/>
          <w:szCs w:val="32"/>
          <w:u w:val="none"/>
          <w:shd w:val="clear" w:color="auto" w:fill="FFFFFF"/>
          <w:lang w:bidi="ar"/>
        </w:rPr>
        <w:t>（二）怀疑客户身份资料的真实性、有效性、完整性的，如联网核查结果异常、身份信息存在矛盾或不一致等；</w:t>
      </w:r>
    </w:p>
    <w:p>
      <w:pPr>
        <w:pStyle w:val="21"/>
        <w:spacing w:line="560" w:lineRule="exact"/>
        <w:ind w:firstLine="640"/>
        <w:rPr>
          <w:rFonts w:ascii="仿宋_GB2312" w:hAnsi="宋体" w:eastAsia="仿宋_GB2312"/>
          <w:snapToGrid w:val="0"/>
          <w:color w:val="auto"/>
          <w:sz w:val="32"/>
          <w:szCs w:val="32"/>
          <w:u w:val="none"/>
          <w:shd w:val="clear" w:color="auto" w:fill="FFFFFF"/>
          <w:lang w:bidi="ar"/>
        </w:rPr>
      </w:pPr>
      <w:r>
        <w:rPr>
          <w:rFonts w:hint="eastAsia" w:ascii="仿宋_GB2312" w:hAnsi="宋体" w:eastAsia="仿宋_GB2312"/>
          <w:snapToGrid w:val="0"/>
          <w:color w:val="auto"/>
          <w:sz w:val="32"/>
          <w:szCs w:val="32"/>
          <w:u w:val="none"/>
          <w:shd w:val="clear" w:color="auto" w:fill="FFFFFF"/>
          <w:lang w:bidi="ar"/>
        </w:rPr>
        <w:t>（三）客户要求变更姓名、身份证件或者其他身份证明文件种类、身份证件号码等；</w:t>
      </w:r>
    </w:p>
    <w:p>
      <w:pPr>
        <w:pStyle w:val="21"/>
        <w:spacing w:line="560" w:lineRule="exact"/>
        <w:ind w:firstLine="640"/>
        <w:rPr>
          <w:rFonts w:ascii="仿宋_GB2312" w:hAnsi="宋体" w:eastAsia="仿宋_GB2312"/>
          <w:snapToGrid w:val="0"/>
          <w:color w:val="auto"/>
          <w:sz w:val="32"/>
          <w:szCs w:val="32"/>
          <w:u w:val="none"/>
          <w:shd w:val="clear" w:color="auto" w:fill="FFFFFF"/>
          <w:lang w:bidi="ar"/>
        </w:rPr>
      </w:pPr>
      <w:r>
        <w:rPr>
          <w:rFonts w:hint="eastAsia" w:ascii="仿宋_GB2312" w:hAnsi="宋体" w:eastAsia="仿宋_GB2312"/>
          <w:snapToGrid w:val="0"/>
          <w:color w:val="auto"/>
          <w:sz w:val="32"/>
          <w:szCs w:val="32"/>
          <w:u w:val="none"/>
          <w:shd w:val="clear" w:color="auto" w:fill="FFFFFF"/>
          <w:lang w:bidi="ar"/>
        </w:rPr>
        <w:t>（四）其他需要关注并审查持卡人身份状况及交易情况的。</w:t>
      </w:r>
    </w:p>
    <w:p>
      <w:pPr>
        <w:pStyle w:val="16"/>
        <w:numPr>
          <w:ilvl w:val="-1"/>
          <w:numId w:val="0"/>
        </w:numPr>
        <w:spacing w:line="560" w:lineRule="exact"/>
        <w:ind w:leftChars="0" w:firstLine="640" w:firstLineChars="200"/>
        <w:rPr>
          <w:rFonts w:hint="eastAsia"/>
          <w:color w:val="auto"/>
          <w:u w:val="none"/>
          <w:lang w:eastAsia="zh-CN"/>
        </w:rPr>
      </w:pPr>
      <w:r>
        <w:rPr>
          <w:rFonts w:hint="eastAsia" w:ascii="仿宋_GB2312" w:hAnsi="宋体" w:eastAsia="仿宋_GB2312"/>
          <w:snapToGrid w:val="0"/>
          <w:color w:val="auto"/>
          <w:sz w:val="32"/>
          <w:szCs w:val="32"/>
          <w:u w:val="none"/>
          <w:shd w:val="clear" w:color="auto" w:fill="FFFFFF"/>
          <w:lang w:eastAsia="zh-CN" w:bidi="ar"/>
        </w:rPr>
        <w:t>（五）</w:t>
      </w:r>
      <w:r>
        <w:rPr>
          <w:rFonts w:hint="eastAsia" w:ascii="仿宋_GB2312" w:hAnsi="宋体" w:eastAsia="仿宋_GB2312"/>
          <w:snapToGrid w:val="0"/>
          <w:color w:val="auto"/>
          <w:sz w:val="32"/>
          <w:szCs w:val="32"/>
          <w:u w:val="none"/>
          <w:shd w:val="clear" w:color="auto" w:fill="FFFFFF"/>
          <w:lang w:bidi="ar"/>
        </w:rPr>
        <w:t>持卡人先前提交的身份证件或者其他身份证明文件已过有效期，且</w:t>
      </w:r>
      <w:r>
        <w:rPr>
          <w:rFonts w:hint="eastAsia" w:ascii="仿宋_GB2312" w:hAnsi="宋体" w:eastAsia="仿宋_GB2312"/>
          <w:snapToGrid w:val="0"/>
          <w:color w:val="auto"/>
          <w:sz w:val="32"/>
          <w:szCs w:val="32"/>
          <w:u w:val="none"/>
          <w:shd w:val="clear" w:color="auto" w:fill="FFFFFF"/>
          <w:lang w:eastAsia="zh-CN" w:bidi="ar"/>
        </w:rPr>
        <w:t>发卡</w:t>
      </w:r>
      <w:r>
        <w:rPr>
          <w:rFonts w:hint="eastAsia" w:ascii="仿宋_GB2312" w:hAnsi="宋体" w:eastAsia="仿宋_GB2312"/>
          <w:snapToGrid w:val="0"/>
          <w:color w:val="auto"/>
          <w:sz w:val="32"/>
          <w:szCs w:val="32"/>
          <w:u w:val="none"/>
          <w:shd w:val="clear" w:color="auto" w:fill="FFFFFF"/>
          <w:lang w:bidi="ar"/>
        </w:rPr>
        <w:t>行社已于证件到期前3</w:t>
      </w:r>
      <w:r>
        <w:rPr>
          <w:rFonts w:ascii="仿宋_GB2312" w:hAnsi="宋体" w:eastAsia="仿宋_GB2312"/>
          <w:snapToGrid w:val="0"/>
          <w:color w:val="auto"/>
          <w:sz w:val="32"/>
          <w:szCs w:val="32"/>
          <w:u w:val="none"/>
          <w:shd w:val="clear" w:color="auto" w:fill="FFFFFF"/>
          <w:lang w:bidi="ar"/>
        </w:rPr>
        <w:t>0</w:t>
      </w:r>
      <w:r>
        <w:rPr>
          <w:rFonts w:hint="eastAsia" w:ascii="仿宋_GB2312" w:hAnsi="宋体" w:eastAsia="仿宋_GB2312"/>
          <w:snapToGrid w:val="0"/>
          <w:color w:val="auto"/>
          <w:sz w:val="32"/>
          <w:szCs w:val="32"/>
          <w:u w:val="none"/>
          <w:shd w:val="clear" w:color="auto" w:fill="FFFFFF"/>
          <w:lang w:bidi="ar"/>
        </w:rPr>
        <w:t>日提示持卡人更新的，如持卡人未能在到期日前更新且未提出合理理由的，行社可自证件到期之日起采取适当的洗钱风险管理措施。</w:t>
      </w:r>
    </w:p>
    <w:p>
      <w:pPr>
        <w:pStyle w:val="16"/>
        <w:numPr>
          <w:ilvl w:val="0"/>
          <w:numId w:val="1"/>
        </w:numPr>
        <w:spacing w:line="560" w:lineRule="exact"/>
        <w:ind w:firstLine="640"/>
        <w:rPr>
          <w:rFonts w:hint="eastAsia" w:ascii="仿宋_GB2312" w:hAnsi="宋体" w:eastAsia="仿宋_GB2312" w:cs="宋体"/>
          <w:snapToGrid w:val="0"/>
          <w:kern w:val="0"/>
          <w:sz w:val="32"/>
          <w:szCs w:val="32"/>
          <w:lang w:val="en-US" w:eastAsia="zh-CN"/>
        </w:rPr>
      </w:pPr>
      <w:r>
        <w:rPr>
          <w:rFonts w:hint="eastAsia" w:ascii="仿宋_GB2312" w:hAnsi="宋体" w:eastAsia="仿宋_GB2312" w:cs="宋体"/>
          <w:snapToGrid w:val="0"/>
          <w:kern w:val="0"/>
          <w:sz w:val="32"/>
          <w:szCs w:val="32"/>
          <w:lang w:val="en-US" w:eastAsia="zh-CN"/>
        </w:rPr>
        <w:t>发卡行社应按照《消费者权益保护法》等法律法规、《国务院办公厅关于加强金融消费者权益保护工作的指导意见》《银行保险机构金融消费者权益保护管理办法》等规定及省联社金融消费者权益保护相关制度规定，营造公平、公正、和谐、有序的金融市场环境，推动实现金融消费者在与各发卡行社发生业务往来的各个阶段始终得到公平、公正和诚信的对待。畅通金融消费者权利救济渠道，及时有效化解金融纠纷，保障和促进金融市场健康有序发展。</w:t>
      </w:r>
    </w:p>
    <w:p>
      <w:pPr>
        <w:pStyle w:val="16"/>
        <w:numPr>
          <w:ilvl w:val="0"/>
          <w:numId w:val="1"/>
        </w:numPr>
        <w:spacing w:line="560" w:lineRule="exact"/>
        <w:ind w:firstLine="640"/>
        <w:rPr>
          <w:rFonts w:ascii="仿宋_GB2312" w:hAnsi="仿宋_GB2312" w:eastAsia="仿宋_GB2312" w:cs="仿宋_GB2312"/>
          <w:b/>
          <w:sz w:val="32"/>
          <w:szCs w:val="32"/>
        </w:rPr>
      </w:pPr>
      <w:r>
        <w:rPr>
          <w:rFonts w:hint="eastAsia" w:ascii="仿宋_GB2312" w:hAnsi="宋体" w:eastAsia="仿宋_GB2312" w:cs="宋体"/>
          <w:snapToGrid w:val="0"/>
          <w:kern w:val="0"/>
          <w:sz w:val="32"/>
          <w:szCs w:val="32"/>
        </w:rPr>
        <w:t>对不遵守本章程及有关规定的持卡人，发卡行社有权取消其持卡人资格而不必预先通知，收回或委托有关单位收回</w:t>
      </w:r>
      <w:r>
        <w:rPr>
          <w:rFonts w:hint="eastAsia" w:ascii="仿宋_GB2312" w:hAnsi="宋体" w:eastAsia="仿宋_GB2312" w:cs="宋体"/>
          <w:snapToGrid w:val="0"/>
          <w:kern w:val="0"/>
          <w:sz w:val="32"/>
          <w:szCs w:val="32"/>
          <w:lang w:eastAsia="zh-CN"/>
        </w:rPr>
        <w:t>借记卡</w:t>
      </w:r>
      <w:r>
        <w:rPr>
          <w:rFonts w:hint="eastAsia" w:ascii="仿宋_GB2312" w:hAnsi="宋体" w:eastAsia="仿宋_GB2312" w:cs="宋体"/>
          <w:snapToGrid w:val="0"/>
          <w:kern w:val="0"/>
          <w:sz w:val="32"/>
          <w:szCs w:val="32"/>
        </w:rPr>
        <w:t>，对造成发卡行社损失的持卡人依法追究法律责任；对于因其他原因停止持卡人使用</w:t>
      </w:r>
      <w:r>
        <w:rPr>
          <w:rFonts w:hint="eastAsia" w:ascii="仿宋_GB2312" w:hAnsi="宋体" w:eastAsia="仿宋_GB2312" w:cs="宋体"/>
          <w:snapToGrid w:val="0"/>
          <w:kern w:val="0"/>
          <w:sz w:val="32"/>
          <w:szCs w:val="32"/>
          <w:lang w:eastAsia="zh-CN"/>
        </w:rPr>
        <w:t>借记卡</w:t>
      </w:r>
      <w:r>
        <w:rPr>
          <w:rFonts w:hint="eastAsia" w:ascii="仿宋_GB2312" w:hAnsi="宋体" w:eastAsia="仿宋_GB2312" w:cs="宋体"/>
          <w:snapToGrid w:val="0"/>
          <w:kern w:val="0"/>
          <w:sz w:val="32"/>
          <w:szCs w:val="32"/>
        </w:rPr>
        <w:t>的，应以公告等方式提前通知持卡人。</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snapToGrid w:val="0"/>
          <w:kern w:val="0"/>
          <w:sz w:val="32"/>
          <w:szCs w:val="32"/>
          <w:shd w:val="clear" w:color="auto" w:fill="FFFFFF"/>
        </w:rPr>
        <w:t>因不可抗力或供电、通讯等客观原因导致持卡</w:t>
      </w:r>
      <w:r>
        <w:rPr>
          <w:rFonts w:hint="eastAsia" w:ascii="仿宋_GB2312" w:hAnsi="宋体" w:eastAsia="仿宋_GB2312" w:cs="宋体"/>
          <w:snapToGrid w:val="0"/>
          <w:kern w:val="0"/>
          <w:sz w:val="32"/>
          <w:szCs w:val="32"/>
        </w:rPr>
        <w:t>人用卡失败，发卡行社有义务视情况协助持卡人解决问题或提供必要的帮助，但不承担任何经济、法律责任。对于在交易过程中，因暂时的网络通讯故障或其他原因造成的错账现象，发卡行社将根据实际交易情况进行账务处理，以保障持卡人及发卡行社双方的权益均不受损失。</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snapToGrid w:val="0"/>
          <w:kern w:val="0"/>
          <w:sz w:val="32"/>
          <w:szCs w:val="32"/>
          <w:shd w:val="clear" w:color="auto" w:fill="FFFFFF"/>
        </w:rPr>
        <w:t>持卡人在办卡签字（含手写签名、指纹等生物识别方式）确认后，即表示同意发卡行社可在法律法规允许的范围内使用持卡人的金融信息向持卡人推荐或提供发卡行社的其他产品和服务，但发卡行社不得将客户的授权或同意作为建立业务关系的先决条件，对持卡人明确表示不同意接受的，发卡行社应停止推荐或提供相关产品和服务。</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snapToGrid w:val="0"/>
          <w:color w:val="000000"/>
          <w:kern w:val="0"/>
          <w:sz w:val="32"/>
          <w:szCs w:val="32"/>
        </w:rPr>
        <w:t>发卡行社通过网络渠道、自助设备或营业网点向持卡人提供账务查询等服务。对持卡人关于账务情况的查询和改正要求应当在30个工作日内给予答复。</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各发卡行社对持卡人的资信资料负有保密责任，不得违反规定泄露持卡人的信息。</w:t>
      </w:r>
    </w:p>
    <w:p>
      <w:pPr>
        <w:pStyle w:val="15"/>
        <w:spacing w:line="480" w:lineRule="exact"/>
        <w:ind w:firstLine="640"/>
        <w:jc w:val="center"/>
        <w:rPr>
          <w:rFonts w:ascii="黑体" w:hAnsi="黑体" w:eastAsia="黑体"/>
          <w:sz w:val="32"/>
          <w:szCs w:val="32"/>
        </w:rPr>
      </w:pPr>
    </w:p>
    <w:p>
      <w:pPr>
        <w:pStyle w:val="15"/>
        <w:spacing w:line="480" w:lineRule="exact"/>
        <w:ind w:firstLine="640"/>
        <w:jc w:val="center"/>
        <w:rPr>
          <w:rFonts w:ascii="黑体" w:hAnsi="黑体" w:eastAsia="黑体"/>
          <w:sz w:val="32"/>
          <w:szCs w:val="32"/>
        </w:rPr>
      </w:pPr>
      <w:r>
        <w:rPr>
          <w:rFonts w:hint="eastAsia" w:ascii="黑体" w:hAnsi="黑体" w:eastAsia="黑体"/>
          <w:sz w:val="32"/>
          <w:szCs w:val="32"/>
        </w:rPr>
        <w:t>第七章 持卡人的权利与义务</w:t>
      </w:r>
    </w:p>
    <w:p>
      <w:pPr>
        <w:pStyle w:val="16"/>
        <w:numPr>
          <w:ilvl w:val="0"/>
          <w:numId w:val="1"/>
        </w:numPr>
        <w:spacing w:line="560" w:lineRule="exact"/>
        <w:ind w:firstLine="640"/>
        <w:rPr>
          <w:rFonts w:ascii="仿宋_GB2312" w:hAnsi="仿宋_GB2312" w:eastAsia="仿宋_GB2312" w:cs="仿宋_GB2312"/>
          <w:b/>
          <w:sz w:val="32"/>
          <w:szCs w:val="32"/>
        </w:rPr>
      </w:pPr>
      <w:r>
        <w:rPr>
          <w:rFonts w:hint="eastAsia" w:ascii="仿宋_GB2312" w:hAnsi="宋体" w:eastAsia="仿宋_GB2312"/>
          <w:snapToGrid w:val="0"/>
          <w:kern w:val="0"/>
          <w:sz w:val="32"/>
          <w:szCs w:val="32"/>
          <w:shd w:val="clear" w:color="auto" w:fill="FFFFFF"/>
        </w:rPr>
        <w:t>持卡人有权知悉</w:t>
      </w:r>
      <w:r>
        <w:rPr>
          <w:rFonts w:hint="eastAsia" w:ascii="仿宋_GB2312" w:hAnsi="宋体" w:eastAsia="仿宋_GB2312"/>
          <w:snapToGrid w:val="0"/>
          <w:kern w:val="0"/>
          <w:sz w:val="32"/>
          <w:szCs w:val="32"/>
          <w:shd w:val="clear" w:color="auto" w:fill="FFFFFF"/>
          <w:lang w:eastAsia="zh-CN"/>
        </w:rPr>
        <w:t>借记卡</w:t>
      </w:r>
      <w:r>
        <w:rPr>
          <w:rFonts w:hint="eastAsia" w:ascii="仿宋_GB2312" w:hAnsi="宋体" w:eastAsia="仿宋_GB2312"/>
          <w:snapToGrid w:val="0"/>
          <w:kern w:val="0"/>
          <w:sz w:val="32"/>
          <w:szCs w:val="32"/>
          <w:shd w:val="clear" w:color="auto" w:fill="FFFFFF"/>
        </w:rPr>
        <w:t>的功能、使用方法、收费项目、收费标准、适用利率及有关的计算方法，有权监督服务质量并对不符质量的服务进行投诉。</w:t>
      </w:r>
    </w:p>
    <w:p>
      <w:pPr>
        <w:pStyle w:val="16"/>
        <w:numPr>
          <w:ilvl w:val="0"/>
          <w:numId w:val="1"/>
        </w:numPr>
        <w:spacing w:line="560" w:lineRule="exact"/>
        <w:ind w:firstLine="640"/>
        <w:rPr>
          <w:rFonts w:ascii="仿宋_GB2312" w:hAnsi="仿宋_GB2312" w:eastAsia="仿宋_GB2312" w:cs="仿宋_GB2312"/>
          <w:b/>
          <w:sz w:val="32"/>
          <w:szCs w:val="32"/>
          <w:highlight w:val="none"/>
        </w:rPr>
      </w:pPr>
      <w:r>
        <w:rPr>
          <w:rFonts w:hint="eastAsia" w:ascii="仿宋_GB2312" w:hAnsi="宋体" w:eastAsia="仿宋_GB2312"/>
          <w:snapToGrid w:val="0"/>
          <w:kern w:val="0"/>
          <w:sz w:val="32"/>
          <w:szCs w:val="32"/>
          <w:highlight w:val="none"/>
          <w:shd w:val="clear" w:color="auto" w:fill="FFFFFF"/>
        </w:rPr>
        <w:t>持卡人有权随时终止使用</w:t>
      </w:r>
      <w:r>
        <w:rPr>
          <w:rFonts w:hint="eastAsia" w:ascii="仿宋_GB2312" w:hAnsi="宋体" w:eastAsia="仿宋_GB2312"/>
          <w:snapToGrid w:val="0"/>
          <w:kern w:val="0"/>
          <w:sz w:val="32"/>
          <w:szCs w:val="32"/>
          <w:highlight w:val="none"/>
          <w:shd w:val="clear" w:color="auto" w:fill="FFFFFF"/>
          <w:lang w:eastAsia="zh-CN"/>
        </w:rPr>
        <w:t>借记卡</w:t>
      </w:r>
      <w:r>
        <w:rPr>
          <w:rFonts w:hint="eastAsia" w:ascii="仿宋_GB2312" w:hAnsi="宋体" w:eastAsia="仿宋_GB2312"/>
          <w:snapToGrid w:val="0"/>
          <w:kern w:val="0"/>
          <w:sz w:val="32"/>
          <w:szCs w:val="32"/>
          <w:highlight w:val="none"/>
          <w:shd w:val="clear" w:color="auto" w:fill="FFFFFF"/>
        </w:rPr>
        <w:t>，</w:t>
      </w:r>
      <w:r>
        <w:rPr>
          <w:rFonts w:hint="eastAsia" w:ascii="仿宋_GB2312" w:hAnsi="宋体" w:eastAsia="仿宋_GB2312"/>
          <w:snapToGrid w:val="0"/>
          <w:kern w:val="0"/>
          <w:sz w:val="32"/>
          <w:szCs w:val="32"/>
          <w:highlight w:val="none"/>
          <w:shd w:val="clear" w:color="auto" w:fill="FFFFFF"/>
          <w:lang w:eastAsia="zh-CN"/>
        </w:rPr>
        <w:t>持卡人可持本人卡片及有效身份证件向发卡行社提出销卡申请。借记卡</w:t>
      </w:r>
      <w:r>
        <w:rPr>
          <w:rFonts w:hint="eastAsia" w:ascii="仿宋_GB2312" w:hAnsi="宋体" w:eastAsia="仿宋_GB2312"/>
          <w:snapToGrid w:val="0"/>
          <w:kern w:val="0"/>
          <w:sz w:val="32"/>
          <w:szCs w:val="32"/>
          <w:highlight w:val="none"/>
          <w:shd w:val="clear" w:color="auto" w:fill="FFFFFF"/>
        </w:rPr>
        <w:t>的有效期以卡面记载的有效期为准，</w:t>
      </w:r>
      <w:r>
        <w:rPr>
          <w:rFonts w:hint="eastAsia" w:ascii="仿宋_GB2312" w:hAnsi="宋体" w:eastAsia="仿宋_GB2312"/>
          <w:snapToGrid w:val="0"/>
          <w:kern w:val="0"/>
          <w:sz w:val="32"/>
          <w:szCs w:val="32"/>
          <w:highlight w:val="none"/>
          <w:shd w:val="clear" w:color="auto" w:fill="FFFFFF"/>
          <w:lang w:eastAsia="zh-CN"/>
        </w:rPr>
        <w:t>卡片到期后将影响部分须使用实体卡片的交易，</w:t>
      </w:r>
      <w:r>
        <w:rPr>
          <w:rFonts w:hint="eastAsia" w:ascii="仿宋_GB2312" w:hAnsi="宋体" w:eastAsia="仿宋_GB2312"/>
          <w:snapToGrid w:val="0"/>
          <w:kern w:val="0"/>
          <w:sz w:val="32"/>
          <w:szCs w:val="32"/>
          <w:highlight w:val="none"/>
          <w:shd w:val="clear" w:color="auto" w:fill="FFFFFF"/>
        </w:rPr>
        <w:t>持卡人到期如需继续用卡，</w:t>
      </w:r>
      <w:r>
        <w:rPr>
          <w:rFonts w:hint="eastAsia" w:ascii="仿宋_GB2312" w:hAnsi="宋体" w:eastAsia="仿宋_GB2312"/>
          <w:snapToGrid w:val="0"/>
          <w:kern w:val="0"/>
          <w:sz w:val="32"/>
          <w:szCs w:val="32"/>
          <w:highlight w:val="none"/>
          <w:shd w:val="clear" w:color="auto" w:fill="FFFFFF"/>
          <w:lang w:eastAsia="zh-CN"/>
        </w:rPr>
        <w:t>可</w:t>
      </w:r>
      <w:r>
        <w:rPr>
          <w:rFonts w:hint="eastAsia" w:ascii="仿宋_GB2312" w:hAnsi="宋体" w:eastAsia="仿宋_GB2312"/>
          <w:snapToGrid w:val="0"/>
          <w:kern w:val="0"/>
          <w:sz w:val="32"/>
          <w:szCs w:val="32"/>
          <w:highlight w:val="none"/>
          <w:shd w:val="clear" w:color="auto" w:fill="FFFFFF"/>
        </w:rPr>
        <w:t>办理更换新卡手续。</w:t>
      </w:r>
    </w:p>
    <w:p>
      <w:pPr>
        <w:pStyle w:val="16"/>
        <w:numPr>
          <w:ilvl w:val="0"/>
          <w:numId w:val="1"/>
        </w:numPr>
        <w:spacing w:line="560" w:lineRule="exact"/>
        <w:ind w:firstLine="640"/>
        <w:rPr>
          <w:rFonts w:ascii="仿宋_GB2312" w:hAnsi="仿宋_GB2312" w:eastAsia="仿宋_GB2312" w:cs="仿宋_GB2312"/>
          <w:b/>
          <w:sz w:val="32"/>
          <w:szCs w:val="32"/>
        </w:rPr>
      </w:pPr>
      <w:r>
        <w:rPr>
          <w:rFonts w:hint="eastAsia" w:ascii="仿宋_GB2312" w:hAnsi="宋体" w:eastAsia="仿宋_GB2312"/>
          <w:snapToGrid w:val="0"/>
          <w:kern w:val="0"/>
          <w:sz w:val="32"/>
          <w:szCs w:val="32"/>
          <w:shd w:val="clear" w:color="auto" w:fill="FFFFFF"/>
        </w:rPr>
        <w:t>持卡人在境内办理查询、消费、存取现金和转账等业务时，须遵守各发卡行社、中国银联、收单银行和有关受理机构的相关规定。</w:t>
      </w:r>
    </w:p>
    <w:p>
      <w:pPr>
        <w:pStyle w:val="16"/>
        <w:numPr>
          <w:ilvl w:val="0"/>
          <w:numId w:val="1"/>
        </w:numPr>
        <w:spacing w:line="560" w:lineRule="exact"/>
        <w:ind w:firstLine="640"/>
        <w:rPr>
          <w:rFonts w:ascii="仿宋_GB2312" w:hAnsi="仿宋_GB2312" w:eastAsia="仿宋_GB2312" w:cs="仿宋_GB2312"/>
          <w:b/>
          <w:sz w:val="32"/>
          <w:szCs w:val="32"/>
        </w:rPr>
      </w:pPr>
      <w:r>
        <w:rPr>
          <w:rFonts w:hint="eastAsia" w:ascii="仿宋_GB2312" w:hAnsi="仿宋" w:eastAsia="仿宋_GB2312"/>
          <w:color w:val="auto"/>
          <w:sz w:val="32"/>
          <w:szCs w:val="32"/>
          <w:u w:val="none"/>
        </w:rPr>
        <w:t>持卡人应当配合发卡行社的客户尽职调查，提供真实有效的身份证件或者其他身份证明文件，准确、完整填报身份信息，如实提供与交易和资金相关的资料。</w:t>
      </w:r>
      <w:r>
        <w:rPr>
          <w:rFonts w:hint="eastAsia" w:ascii="仿宋_GB2312" w:hAnsi="仿宋" w:eastAsia="仿宋_GB2312"/>
          <w:color w:val="auto"/>
          <w:sz w:val="32"/>
          <w:szCs w:val="32"/>
        </w:rPr>
        <w:t>在客户</w:t>
      </w:r>
      <w:r>
        <w:rPr>
          <w:rFonts w:hint="eastAsia" w:ascii="仿宋_GB2312" w:hAnsi="仿宋" w:eastAsia="仿宋_GB2312"/>
          <w:color w:val="auto"/>
          <w:sz w:val="32"/>
          <w:szCs w:val="32"/>
          <w:lang w:eastAsia="zh-CN"/>
        </w:rPr>
        <w:t>尽职调查</w:t>
      </w:r>
      <w:r>
        <w:rPr>
          <w:rFonts w:hint="eastAsia" w:ascii="仿宋_GB2312" w:hAnsi="仿宋" w:eastAsia="仿宋_GB2312"/>
          <w:color w:val="auto"/>
          <w:sz w:val="32"/>
          <w:szCs w:val="32"/>
        </w:rPr>
        <w:t>过程中，</w:t>
      </w:r>
      <w:r>
        <w:rPr>
          <w:rFonts w:hint="eastAsia" w:ascii="仿宋_GB2312" w:hAnsi="仿宋" w:eastAsia="仿宋_GB2312"/>
          <w:sz w:val="32"/>
          <w:szCs w:val="32"/>
        </w:rPr>
        <w:t>发卡行社会以电话、信函、电子邮件等方式向持卡人确认身份信息，特殊情况下持卡人需配合到发卡行社营业网点履行现场核实义务。</w:t>
      </w:r>
    </w:p>
    <w:p>
      <w:pPr>
        <w:pStyle w:val="16"/>
        <w:numPr>
          <w:ilvl w:val="0"/>
          <w:numId w:val="1"/>
        </w:numPr>
        <w:spacing w:line="560" w:lineRule="exact"/>
        <w:ind w:firstLine="640"/>
        <w:rPr>
          <w:rFonts w:ascii="仿宋_GB2312" w:hAnsi="仿宋_GB2312" w:eastAsia="仿宋_GB2312" w:cs="仿宋_GB2312"/>
          <w:b/>
          <w:sz w:val="32"/>
          <w:szCs w:val="32"/>
        </w:rPr>
      </w:pPr>
      <w:r>
        <w:rPr>
          <w:rFonts w:hint="eastAsia" w:ascii="仿宋_GB2312" w:hAnsi="宋体" w:eastAsia="仿宋_GB2312" w:cs="宋体"/>
          <w:snapToGrid w:val="0"/>
          <w:kern w:val="0"/>
          <w:sz w:val="32"/>
          <w:szCs w:val="32"/>
        </w:rPr>
        <w:t>持卡人在发卡行社开卡时预留的手机号码</w:t>
      </w:r>
      <w:r>
        <w:rPr>
          <w:rFonts w:hint="eastAsia" w:ascii="仿宋_GB2312" w:hAnsi="宋体" w:eastAsia="仿宋_GB2312" w:cs="宋体"/>
          <w:snapToGrid w:val="0"/>
          <w:color w:val="auto"/>
          <w:kern w:val="0"/>
          <w:sz w:val="32"/>
          <w:szCs w:val="32"/>
        </w:rPr>
        <w:t>，</w:t>
      </w:r>
      <w:r>
        <w:rPr>
          <w:rFonts w:hint="eastAsia" w:ascii="仿宋_GB2312" w:hAnsi="宋体" w:eastAsia="仿宋_GB2312" w:cs="宋体"/>
          <w:snapToGrid w:val="0"/>
          <w:color w:val="auto"/>
          <w:kern w:val="0"/>
          <w:sz w:val="32"/>
          <w:szCs w:val="32"/>
          <w:lang w:eastAsia="zh-CN"/>
        </w:rPr>
        <w:t>原则上</w:t>
      </w:r>
      <w:r>
        <w:rPr>
          <w:rFonts w:hint="eastAsia" w:ascii="仿宋_GB2312" w:hAnsi="宋体" w:eastAsia="仿宋_GB2312" w:cs="宋体"/>
          <w:snapToGrid w:val="0"/>
          <w:color w:val="auto"/>
          <w:kern w:val="0"/>
          <w:sz w:val="32"/>
          <w:szCs w:val="32"/>
        </w:rPr>
        <w:t>应为本人实名登记的手机号码。因客户预留非本人实名登</w:t>
      </w:r>
      <w:r>
        <w:rPr>
          <w:rFonts w:hint="eastAsia" w:ascii="仿宋_GB2312" w:hAnsi="宋体" w:eastAsia="仿宋_GB2312" w:cs="宋体"/>
          <w:snapToGrid w:val="0"/>
          <w:kern w:val="0"/>
          <w:sz w:val="32"/>
          <w:szCs w:val="32"/>
        </w:rPr>
        <w:t>记的手机号码，造成客户资金损失等后果，由持卡人自行承担。</w:t>
      </w:r>
    </w:p>
    <w:p>
      <w:pPr>
        <w:pStyle w:val="16"/>
        <w:numPr>
          <w:ilvl w:val="0"/>
          <w:numId w:val="1"/>
        </w:numPr>
        <w:spacing w:line="560" w:lineRule="exact"/>
        <w:ind w:firstLine="640"/>
        <w:rPr>
          <w:rFonts w:ascii="仿宋_GB2312" w:hAnsi="仿宋_GB2312" w:eastAsia="仿宋_GB2312" w:cs="仿宋_GB2312"/>
          <w:b/>
          <w:sz w:val="32"/>
          <w:szCs w:val="32"/>
        </w:rPr>
      </w:pPr>
      <w:r>
        <w:rPr>
          <w:rFonts w:hint="eastAsia" w:ascii="仿宋_GB2312" w:hAnsi="宋体" w:eastAsia="仿宋_GB2312"/>
          <w:snapToGrid w:val="0"/>
          <w:kern w:val="0"/>
          <w:sz w:val="32"/>
          <w:szCs w:val="32"/>
          <w:shd w:val="clear" w:color="auto" w:fill="FFFFFF"/>
        </w:rPr>
        <w:t>持卡人有效身份证件信息变更（含有效期过期）、通讯地址、联系电话、手机号码等个人资料变更，应当及时到发卡行社任意营业网点或指定渠道办理变更手续。由于持卡人未在合理期限内更新有效身份证件</w:t>
      </w:r>
      <w:r>
        <w:rPr>
          <w:rFonts w:hint="eastAsia" w:ascii="仿宋_GB2312" w:eastAsia="仿宋_GB2312"/>
          <w:color w:val="auto"/>
          <w:sz w:val="32"/>
          <w:szCs w:val="32"/>
          <w:u w:val="none"/>
          <w:lang w:val="en-US" w:eastAsia="zh-CN"/>
        </w:rPr>
        <w:t>且未提出合理理由的,或未能及时向发卡行社提供正确资料而造成的损失，由持卡人自行承担</w:t>
      </w:r>
      <w:r>
        <w:rPr>
          <w:rFonts w:hint="eastAsia" w:ascii="仿宋_GB2312" w:hAnsi="宋体" w:eastAsia="仿宋_GB2312"/>
          <w:snapToGrid w:val="0"/>
          <w:kern w:val="0"/>
          <w:sz w:val="32"/>
          <w:szCs w:val="32"/>
          <w:shd w:val="clear" w:color="auto" w:fill="FFFFFF"/>
        </w:rPr>
        <w:t>。</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snapToGrid w:val="0"/>
          <w:kern w:val="0"/>
          <w:sz w:val="32"/>
          <w:szCs w:val="32"/>
          <w:shd w:val="clear" w:color="auto" w:fill="FFFFFF"/>
          <w:lang w:eastAsia="zh-CN"/>
        </w:rPr>
        <w:t>借记卡</w:t>
      </w:r>
      <w:r>
        <w:rPr>
          <w:rFonts w:hint="eastAsia" w:ascii="仿宋_GB2312" w:hAnsi="仿宋_GB2312" w:eastAsia="仿宋_GB2312" w:cs="仿宋_GB2312"/>
          <w:color w:val="000000"/>
          <w:sz w:val="32"/>
          <w:szCs w:val="32"/>
        </w:rPr>
        <w:t>及其账户仅限于</w:t>
      </w:r>
      <w:r>
        <w:rPr>
          <w:rFonts w:hint="eastAsia" w:ascii="仿宋_GB2312" w:hAnsi="仿宋_GB2312" w:eastAsia="仿宋_GB2312" w:cs="仿宋_GB2312"/>
          <w:color w:val="auto"/>
          <w:sz w:val="32"/>
          <w:szCs w:val="32"/>
          <w:u w:val="none"/>
          <w:lang w:eastAsia="zh-CN"/>
        </w:rPr>
        <w:t>合法</w:t>
      </w:r>
      <w:r>
        <w:rPr>
          <w:rFonts w:hint="eastAsia" w:ascii="仿宋_GB2312" w:hAnsi="仿宋_GB2312" w:eastAsia="仿宋_GB2312" w:cs="仿宋_GB2312"/>
          <w:color w:val="000000"/>
          <w:sz w:val="32"/>
          <w:szCs w:val="32"/>
          <w:u w:val="none"/>
        </w:rPr>
        <w:t>持卡人本人使用，</w:t>
      </w:r>
      <w:r>
        <w:rPr>
          <w:rFonts w:hint="eastAsia" w:ascii="仿宋_GB2312" w:hAnsi="仿宋_GB2312" w:eastAsia="仿宋_GB2312" w:cs="仿宋_GB2312"/>
          <w:color w:val="auto"/>
          <w:sz w:val="32"/>
          <w:szCs w:val="32"/>
          <w:u w:val="none"/>
        </w:rPr>
        <w:t>不得将开立的借记卡及其账户出售、出借、出租给他人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rPr>
        <w:t>否则，相关法律责任和惩戒措施，以及由此造成的资金损失由持卡人自行承担</w:t>
      </w:r>
      <w:r>
        <w:rPr>
          <w:rFonts w:hint="eastAsia" w:ascii="仿宋_GB2312" w:hAnsi="宋体" w:eastAsia="仿宋_GB2312"/>
          <w:snapToGrid w:val="0"/>
          <w:kern w:val="0"/>
          <w:sz w:val="32"/>
          <w:szCs w:val="32"/>
          <w:shd w:val="clear" w:color="auto" w:fill="FFFFFF"/>
        </w:rPr>
        <w:t>。</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snapToGrid w:val="0"/>
          <w:kern w:val="0"/>
          <w:sz w:val="32"/>
          <w:szCs w:val="32"/>
          <w:shd w:val="clear" w:color="auto" w:fill="FFFFFF"/>
        </w:rPr>
        <w:t>持卡人须妥善保管</w:t>
      </w:r>
      <w:r>
        <w:rPr>
          <w:rFonts w:hint="eastAsia" w:ascii="仿宋_GB2312" w:hAnsi="宋体" w:eastAsia="仿宋_GB2312"/>
          <w:snapToGrid w:val="0"/>
          <w:kern w:val="0"/>
          <w:sz w:val="32"/>
          <w:szCs w:val="32"/>
          <w:shd w:val="clear" w:color="auto" w:fill="FFFFFF"/>
          <w:lang w:eastAsia="zh-CN"/>
        </w:rPr>
        <w:t>借记卡</w:t>
      </w:r>
      <w:r>
        <w:rPr>
          <w:rFonts w:hint="eastAsia" w:ascii="仿宋_GB2312" w:hAnsi="宋体" w:eastAsia="仿宋_GB2312"/>
          <w:snapToGrid w:val="0"/>
          <w:kern w:val="0"/>
          <w:sz w:val="32"/>
          <w:szCs w:val="32"/>
          <w:shd w:val="clear" w:color="auto" w:fill="FFFFFF"/>
        </w:rPr>
        <w:t>密码，凡使用密码交易的均视为持卡人本人所为，依据密码等电子信息办理的各类交易所产生的电子信息记录均为该项交易的有效凭据。借记IC卡电子现金所产生的信息记录和交易凭证也属于该项交易的有效凭据。</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snapToGrid w:val="0"/>
          <w:kern w:val="0"/>
          <w:sz w:val="32"/>
          <w:szCs w:val="32"/>
          <w:shd w:val="clear" w:color="auto" w:fill="FFFFFF"/>
        </w:rPr>
        <w:t>持卡人应妥善保管交易的有效凭据，对已记载重要信息的交易记录，如存、取款客户回执、POS消费单据等，若因有效凭据遗失导致被他人非法利用造成资金损失的，由持卡人自行承担。借记IC卡电子现金凭卡脱机消费，凡使用电子现金进行的交易均视为持卡人本人所为，持卡人应承担因卡片保管不善（包括但不限于丢失或被盗等）造成的风险损失。</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snapToGrid w:val="0"/>
          <w:kern w:val="0"/>
          <w:sz w:val="32"/>
          <w:szCs w:val="32"/>
          <w:shd w:val="clear" w:color="auto" w:fill="FFFFFF"/>
        </w:rPr>
        <w:t>持卡人不得以商户纠纷或其他第三方的纠纷等</w:t>
      </w:r>
      <w:r>
        <w:rPr>
          <w:rFonts w:hint="eastAsia" w:ascii="仿宋_GB2312" w:hAnsi="宋体" w:eastAsia="仿宋_GB2312" w:cs="宋体"/>
          <w:snapToGrid w:val="0"/>
          <w:kern w:val="0"/>
          <w:sz w:val="32"/>
          <w:szCs w:val="32"/>
        </w:rPr>
        <w:t>为由拒绝向发卡行社支付相关款项。</w:t>
      </w:r>
    </w:p>
    <w:p>
      <w:pPr>
        <w:pStyle w:val="15"/>
        <w:spacing w:line="480" w:lineRule="exact"/>
        <w:ind w:firstLine="640"/>
        <w:jc w:val="center"/>
        <w:rPr>
          <w:rFonts w:ascii="黑体" w:hAnsi="黑体" w:eastAsia="黑体"/>
          <w:sz w:val="32"/>
          <w:szCs w:val="32"/>
        </w:rPr>
      </w:pPr>
    </w:p>
    <w:p>
      <w:pPr>
        <w:pStyle w:val="15"/>
        <w:spacing w:line="480" w:lineRule="exact"/>
        <w:ind w:firstLine="640"/>
        <w:jc w:val="center"/>
        <w:rPr>
          <w:rFonts w:ascii="黑体" w:hAnsi="黑体" w:eastAsia="黑体"/>
          <w:sz w:val="32"/>
          <w:szCs w:val="32"/>
        </w:rPr>
      </w:pPr>
      <w:r>
        <w:rPr>
          <w:rFonts w:hint="eastAsia" w:ascii="黑体" w:hAnsi="黑体" w:eastAsia="黑体"/>
          <w:sz w:val="32"/>
          <w:szCs w:val="32"/>
        </w:rPr>
        <w:t>第八章 附则</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本章程未尽事宜，按中国人民银行《银行卡业务管理办法》以及有关政策法规执行。</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snapToGrid w:val="0"/>
          <w:kern w:val="0"/>
          <w:sz w:val="32"/>
          <w:szCs w:val="32"/>
        </w:rPr>
        <w:t>受各发卡行社委托，本章程由福建省农村信用社联合社负责制定、修改和解释。</w:t>
      </w:r>
    </w:p>
    <w:p>
      <w:pPr>
        <w:pStyle w:val="16"/>
        <w:numPr>
          <w:ilvl w:val="0"/>
          <w:numId w:val="1"/>
        </w:numPr>
        <w:spacing w:line="560" w:lineRule="exact"/>
        <w:ind w:firstLine="640"/>
        <w:rPr>
          <w:rFonts w:ascii="仿宋_GB2312" w:hAnsi="宋体" w:eastAsia="仿宋_GB2312" w:cs="宋体"/>
          <w:snapToGrid w:val="0"/>
          <w:kern w:val="0"/>
          <w:sz w:val="32"/>
          <w:szCs w:val="32"/>
        </w:rPr>
      </w:pPr>
      <w:r>
        <w:rPr>
          <w:rFonts w:hint="eastAsia" w:ascii="仿宋_GB2312" w:hAnsi="宋体" w:eastAsia="仿宋_GB2312"/>
          <w:snapToGrid w:val="0"/>
          <w:kern w:val="0"/>
          <w:sz w:val="32"/>
          <w:szCs w:val="32"/>
        </w:rPr>
        <w:t>如客户在使用</w:t>
      </w:r>
      <w:r>
        <w:rPr>
          <w:rFonts w:hint="eastAsia" w:ascii="仿宋_GB2312" w:hAnsi="宋体" w:eastAsia="仿宋_GB2312"/>
          <w:snapToGrid w:val="0"/>
          <w:kern w:val="0"/>
          <w:sz w:val="32"/>
          <w:szCs w:val="32"/>
          <w:lang w:eastAsia="zh-CN"/>
        </w:rPr>
        <w:t>借记卡</w:t>
      </w:r>
      <w:r>
        <w:rPr>
          <w:rFonts w:hint="eastAsia" w:ascii="仿宋_GB2312" w:hAnsi="宋体" w:eastAsia="仿宋_GB2312"/>
          <w:snapToGrid w:val="0"/>
          <w:kern w:val="0"/>
          <w:sz w:val="32"/>
          <w:szCs w:val="32"/>
        </w:rPr>
        <w:t>过程中产生相关问题，可向96336客服中心或当地网点咨询。</w:t>
      </w:r>
    </w:p>
    <w:p>
      <w:pPr>
        <w:pStyle w:val="16"/>
        <w:numPr>
          <w:ilvl w:val="0"/>
          <w:numId w:val="1"/>
        </w:numPr>
        <w:spacing w:line="560" w:lineRule="exact"/>
        <w:ind w:firstLine="640"/>
        <w:rPr>
          <w:rFonts w:ascii="仿宋_GB2312" w:hAnsi="宋体" w:eastAsia="仿宋_GB2312" w:cs="宋体"/>
          <w:snapToGrid w:val="0"/>
          <w:color w:val="auto"/>
          <w:kern w:val="0"/>
          <w:sz w:val="32"/>
          <w:szCs w:val="32"/>
        </w:rPr>
      </w:pPr>
      <w:r>
        <w:rPr>
          <w:rFonts w:hint="eastAsia" w:ascii="仿宋_GB2312" w:hAnsi="宋体" w:eastAsia="仿宋_GB2312"/>
          <w:snapToGrid w:val="0"/>
          <w:color w:val="auto"/>
          <w:kern w:val="0"/>
          <w:sz w:val="32"/>
          <w:szCs w:val="32"/>
        </w:rPr>
        <w:t>本章程</w:t>
      </w:r>
      <w:r>
        <w:rPr>
          <w:rFonts w:hint="eastAsia" w:ascii="仿宋_GB2312" w:hAnsi="仿宋_GB2312" w:eastAsia="仿宋_GB2312" w:cs="仿宋_GB2312"/>
          <w:color w:val="auto"/>
          <w:sz w:val="32"/>
          <w:szCs w:val="32"/>
          <w:highlight w:val="none"/>
        </w:rPr>
        <w:t>自印发之日起执行</w:t>
      </w:r>
      <w:r>
        <w:rPr>
          <w:rFonts w:hint="eastAsia" w:ascii="仿宋_GB2312" w:hAnsi="宋体" w:eastAsia="仿宋_GB2312"/>
          <w:snapToGrid w:val="0"/>
          <w:color w:val="auto"/>
          <w:kern w:val="0"/>
          <w:sz w:val="32"/>
          <w:szCs w:val="32"/>
        </w:rPr>
        <w:t>，</w:t>
      </w:r>
      <w:r>
        <w:rPr>
          <w:rFonts w:hint="eastAsia" w:ascii="仿宋_GB2312" w:hAnsi="宋体" w:eastAsia="仿宋_GB2312"/>
          <w:snapToGrid w:val="0"/>
          <w:color w:val="auto"/>
          <w:kern w:val="0"/>
          <w:sz w:val="32"/>
          <w:szCs w:val="32"/>
          <w:lang w:val="en-US" w:eastAsia="zh-CN"/>
        </w:rPr>
        <w:t>《福建农信借记卡章程(2023年修订版)》（</w:t>
      </w:r>
      <w:r>
        <w:rPr>
          <w:rFonts w:ascii="仿宋_GB2312" w:hAnsi="仿宋_GB2312" w:eastAsia="仿宋_GB2312" w:cs="仿宋_GB2312"/>
          <w:color w:val="auto"/>
          <w:kern w:val="0"/>
          <w:sz w:val="31"/>
          <w:szCs w:val="31"/>
          <w:lang w:val="en-US" w:eastAsia="zh-CN" w:bidi="ar"/>
        </w:rPr>
        <w:t>闽农信〔2023〕250 号</w:t>
      </w:r>
      <w:r>
        <w:rPr>
          <w:rFonts w:hint="eastAsia" w:ascii="仿宋_GB2312" w:hAnsi="宋体" w:eastAsia="仿宋_GB2312"/>
          <w:snapToGrid w:val="0"/>
          <w:color w:val="auto"/>
          <w:kern w:val="0"/>
          <w:sz w:val="32"/>
          <w:szCs w:val="32"/>
          <w:lang w:val="en-US" w:eastAsia="zh-CN"/>
        </w:rPr>
        <w:t>）同时废止</w:t>
      </w:r>
      <w:r>
        <w:rPr>
          <w:rFonts w:hint="eastAsia" w:ascii="仿宋_GB2312" w:hAnsi="宋体" w:eastAsia="仿宋_GB2312"/>
          <w:snapToGrid w:val="0"/>
          <w:color w:val="auto"/>
          <w:kern w:val="0"/>
          <w:sz w:val="32"/>
          <w:szCs w:val="32"/>
        </w:rPr>
        <w:t>。</w:t>
      </w:r>
    </w:p>
    <w:p/>
    <w:sectPr>
      <w:footerReference r:id="rId3" w:type="default"/>
      <w:footerReference r:id="rId4" w:type="even"/>
      <w:pgSz w:w="11906" w:h="16838"/>
      <w:pgMar w:top="1440" w:right="1469" w:bottom="1440" w:left="1469"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w:t>
    </w:r>
    <w:r>
      <w:t xml:space="preserve"> 11 -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w:t>
    </w:r>
    <w:r>
      <w:t xml:space="preserve"> 2 -</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A55D1F"/>
    <w:multiLevelType w:val="multilevel"/>
    <w:tmpl w:val="43A55D1F"/>
    <w:lvl w:ilvl="0" w:tentative="0">
      <w:start w:val="1"/>
      <w:numFmt w:val="chineseCountingThousand"/>
      <w:suff w:val="space"/>
      <w:lvlText w:val="第%1条"/>
      <w:lvlJc w:val="left"/>
      <w:pPr>
        <w:ind w:left="0" w:firstLine="0"/>
      </w:pPr>
      <w:rPr>
        <w:rFonts w:hint="eastAsia"/>
        <w:b/>
        <w:color w:val="auto"/>
        <w:sz w:val="32"/>
        <w:szCs w:val="28"/>
        <w:lang w:val="en-US"/>
      </w:rPr>
    </w:lvl>
    <w:lvl w:ilvl="1" w:tentative="0">
      <w:start w:val="1"/>
      <w:numFmt w:val="lowerLetter"/>
      <w:lvlText w:val="%2)"/>
      <w:lvlJc w:val="left"/>
      <w:pPr>
        <w:ind w:left="1473" w:hanging="420"/>
      </w:pPr>
    </w:lvl>
    <w:lvl w:ilvl="2" w:tentative="0">
      <w:start w:val="1"/>
      <w:numFmt w:val="lowerRoman"/>
      <w:lvlText w:val="%3."/>
      <w:lvlJc w:val="right"/>
      <w:pPr>
        <w:ind w:left="1893" w:hanging="420"/>
      </w:pPr>
    </w:lvl>
    <w:lvl w:ilvl="3" w:tentative="0">
      <w:start w:val="1"/>
      <w:numFmt w:val="decimal"/>
      <w:lvlText w:val="%4."/>
      <w:lvlJc w:val="left"/>
      <w:pPr>
        <w:ind w:left="2313" w:hanging="420"/>
      </w:pPr>
    </w:lvl>
    <w:lvl w:ilvl="4" w:tentative="0">
      <w:start w:val="1"/>
      <w:numFmt w:val="lowerLetter"/>
      <w:lvlText w:val="%5)"/>
      <w:lvlJc w:val="left"/>
      <w:pPr>
        <w:ind w:left="2733" w:hanging="420"/>
      </w:pPr>
    </w:lvl>
    <w:lvl w:ilvl="5" w:tentative="0">
      <w:start w:val="1"/>
      <w:numFmt w:val="lowerRoman"/>
      <w:lvlText w:val="%6."/>
      <w:lvlJc w:val="right"/>
      <w:pPr>
        <w:ind w:left="3153" w:hanging="420"/>
      </w:pPr>
    </w:lvl>
    <w:lvl w:ilvl="6" w:tentative="0">
      <w:start w:val="1"/>
      <w:numFmt w:val="decimal"/>
      <w:lvlText w:val="%7."/>
      <w:lvlJc w:val="left"/>
      <w:pPr>
        <w:ind w:left="3573" w:hanging="420"/>
      </w:pPr>
    </w:lvl>
    <w:lvl w:ilvl="7" w:tentative="0">
      <w:start w:val="1"/>
      <w:numFmt w:val="lowerLetter"/>
      <w:lvlText w:val="%8)"/>
      <w:lvlJc w:val="left"/>
      <w:pPr>
        <w:ind w:left="3993" w:hanging="420"/>
      </w:pPr>
    </w:lvl>
    <w:lvl w:ilvl="8" w:tentative="0">
      <w:start w:val="1"/>
      <w:numFmt w:val="lowerRoman"/>
      <w:lvlText w:val="%9."/>
      <w:lvlJc w:val="right"/>
      <w:pPr>
        <w:ind w:left="441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57"/>
    <w:rsid w:val="000006FC"/>
    <w:rsid w:val="00000A2B"/>
    <w:rsid w:val="00003844"/>
    <w:rsid w:val="00004F99"/>
    <w:rsid w:val="00010C45"/>
    <w:rsid w:val="000119B0"/>
    <w:rsid w:val="00012072"/>
    <w:rsid w:val="00012105"/>
    <w:rsid w:val="00012D0B"/>
    <w:rsid w:val="00012DC9"/>
    <w:rsid w:val="00013456"/>
    <w:rsid w:val="000175DD"/>
    <w:rsid w:val="000205F4"/>
    <w:rsid w:val="000246C2"/>
    <w:rsid w:val="000254A7"/>
    <w:rsid w:val="00027941"/>
    <w:rsid w:val="00027DFD"/>
    <w:rsid w:val="00033D0F"/>
    <w:rsid w:val="000354D2"/>
    <w:rsid w:val="00035983"/>
    <w:rsid w:val="00036D31"/>
    <w:rsid w:val="00036F26"/>
    <w:rsid w:val="000370FA"/>
    <w:rsid w:val="000446A1"/>
    <w:rsid w:val="000447A1"/>
    <w:rsid w:val="00050BC3"/>
    <w:rsid w:val="000534A6"/>
    <w:rsid w:val="000648C5"/>
    <w:rsid w:val="00066616"/>
    <w:rsid w:val="00066802"/>
    <w:rsid w:val="00071027"/>
    <w:rsid w:val="00072F93"/>
    <w:rsid w:val="00074308"/>
    <w:rsid w:val="00074442"/>
    <w:rsid w:val="0007745A"/>
    <w:rsid w:val="00081279"/>
    <w:rsid w:val="00081C6B"/>
    <w:rsid w:val="00082075"/>
    <w:rsid w:val="00082AD4"/>
    <w:rsid w:val="00082B8D"/>
    <w:rsid w:val="00084344"/>
    <w:rsid w:val="000843B5"/>
    <w:rsid w:val="0008775F"/>
    <w:rsid w:val="000964F1"/>
    <w:rsid w:val="0009688D"/>
    <w:rsid w:val="000A33A0"/>
    <w:rsid w:val="000A4BBF"/>
    <w:rsid w:val="000A73A9"/>
    <w:rsid w:val="000B190B"/>
    <w:rsid w:val="000B193E"/>
    <w:rsid w:val="000B1F46"/>
    <w:rsid w:val="000B28DB"/>
    <w:rsid w:val="000B2EEA"/>
    <w:rsid w:val="000B38FA"/>
    <w:rsid w:val="000B4ABB"/>
    <w:rsid w:val="000B4B1D"/>
    <w:rsid w:val="000B4F98"/>
    <w:rsid w:val="000B5145"/>
    <w:rsid w:val="000B70E9"/>
    <w:rsid w:val="000C1930"/>
    <w:rsid w:val="000C19A7"/>
    <w:rsid w:val="000C2A48"/>
    <w:rsid w:val="000C5DDC"/>
    <w:rsid w:val="000C64D2"/>
    <w:rsid w:val="000C6F1C"/>
    <w:rsid w:val="000D17FC"/>
    <w:rsid w:val="000D5431"/>
    <w:rsid w:val="000D74A6"/>
    <w:rsid w:val="000E03A3"/>
    <w:rsid w:val="000E112C"/>
    <w:rsid w:val="000E5BC6"/>
    <w:rsid w:val="000E7EFD"/>
    <w:rsid w:val="000F389B"/>
    <w:rsid w:val="000F3E46"/>
    <w:rsid w:val="001000E1"/>
    <w:rsid w:val="00100893"/>
    <w:rsid w:val="00106AE4"/>
    <w:rsid w:val="00111F99"/>
    <w:rsid w:val="00113C0F"/>
    <w:rsid w:val="00113DC2"/>
    <w:rsid w:val="00114AB0"/>
    <w:rsid w:val="00115680"/>
    <w:rsid w:val="001164FD"/>
    <w:rsid w:val="001230F9"/>
    <w:rsid w:val="0012422A"/>
    <w:rsid w:val="001242DA"/>
    <w:rsid w:val="00124C06"/>
    <w:rsid w:val="001259FF"/>
    <w:rsid w:val="00131990"/>
    <w:rsid w:val="00132E7F"/>
    <w:rsid w:val="00133014"/>
    <w:rsid w:val="0013437C"/>
    <w:rsid w:val="001354EB"/>
    <w:rsid w:val="0013683E"/>
    <w:rsid w:val="00140198"/>
    <w:rsid w:val="001414D2"/>
    <w:rsid w:val="00141B99"/>
    <w:rsid w:val="00141D2E"/>
    <w:rsid w:val="00142D39"/>
    <w:rsid w:val="00142E79"/>
    <w:rsid w:val="00145D4E"/>
    <w:rsid w:val="00150AD9"/>
    <w:rsid w:val="00151A0B"/>
    <w:rsid w:val="00152A95"/>
    <w:rsid w:val="0015326B"/>
    <w:rsid w:val="001533B9"/>
    <w:rsid w:val="001540CD"/>
    <w:rsid w:val="0015451E"/>
    <w:rsid w:val="00160D4E"/>
    <w:rsid w:val="00164801"/>
    <w:rsid w:val="00166098"/>
    <w:rsid w:val="001662CF"/>
    <w:rsid w:val="0016656D"/>
    <w:rsid w:val="0016722C"/>
    <w:rsid w:val="00167A23"/>
    <w:rsid w:val="001728F4"/>
    <w:rsid w:val="001813A0"/>
    <w:rsid w:val="00182FBE"/>
    <w:rsid w:val="001857D9"/>
    <w:rsid w:val="00187C2F"/>
    <w:rsid w:val="00192AFB"/>
    <w:rsid w:val="00196E88"/>
    <w:rsid w:val="001A02A3"/>
    <w:rsid w:val="001A0A11"/>
    <w:rsid w:val="001A2A11"/>
    <w:rsid w:val="001A2B74"/>
    <w:rsid w:val="001A3400"/>
    <w:rsid w:val="001A4FAA"/>
    <w:rsid w:val="001B09B2"/>
    <w:rsid w:val="001B1364"/>
    <w:rsid w:val="001C44DE"/>
    <w:rsid w:val="001D0157"/>
    <w:rsid w:val="001D165E"/>
    <w:rsid w:val="001D7B69"/>
    <w:rsid w:val="001E12B4"/>
    <w:rsid w:val="001E3DCF"/>
    <w:rsid w:val="001E3FC9"/>
    <w:rsid w:val="001E55A4"/>
    <w:rsid w:val="001E6A95"/>
    <w:rsid w:val="001E7D08"/>
    <w:rsid w:val="001F0087"/>
    <w:rsid w:val="001F1E22"/>
    <w:rsid w:val="001F47F9"/>
    <w:rsid w:val="001F4C51"/>
    <w:rsid w:val="001F5544"/>
    <w:rsid w:val="001F6168"/>
    <w:rsid w:val="001F78B8"/>
    <w:rsid w:val="00204117"/>
    <w:rsid w:val="002055CF"/>
    <w:rsid w:val="00206FCC"/>
    <w:rsid w:val="00212D4F"/>
    <w:rsid w:val="002143F8"/>
    <w:rsid w:val="00214FB3"/>
    <w:rsid w:val="002153B7"/>
    <w:rsid w:val="002156C3"/>
    <w:rsid w:val="00220ED4"/>
    <w:rsid w:val="00221907"/>
    <w:rsid w:val="00221DF4"/>
    <w:rsid w:val="00230946"/>
    <w:rsid w:val="0023176B"/>
    <w:rsid w:val="00233ED2"/>
    <w:rsid w:val="00240A80"/>
    <w:rsid w:val="0024153F"/>
    <w:rsid w:val="0024305B"/>
    <w:rsid w:val="00245E35"/>
    <w:rsid w:val="00246152"/>
    <w:rsid w:val="002526A8"/>
    <w:rsid w:val="00255D1F"/>
    <w:rsid w:val="002572C8"/>
    <w:rsid w:val="002578CA"/>
    <w:rsid w:val="00262703"/>
    <w:rsid w:val="0026333A"/>
    <w:rsid w:val="0026340C"/>
    <w:rsid w:val="00263A19"/>
    <w:rsid w:val="00264AEF"/>
    <w:rsid w:val="00267226"/>
    <w:rsid w:val="0027076F"/>
    <w:rsid w:val="0027170D"/>
    <w:rsid w:val="00271F84"/>
    <w:rsid w:val="00271FCA"/>
    <w:rsid w:val="0027745B"/>
    <w:rsid w:val="00280F89"/>
    <w:rsid w:val="0028194B"/>
    <w:rsid w:val="00285F7C"/>
    <w:rsid w:val="0029033F"/>
    <w:rsid w:val="002928FE"/>
    <w:rsid w:val="002933F0"/>
    <w:rsid w:val="00294F8B"/>
    <w:rsid w:val="0029648D"/>
    <w:rsid w:val="00296868"/>
    <w:rsid w:val="00296CA6"/>
    <w:rsid w:val="002A0C28"/>
    <w:rsid w:val="002A2817"/>
    <w:rsid w:val="002A54BE"/>
    <w:rsid w:val="002B28F4"/>
    <w:rsid w:val="002B3809"/>
    <w:rsid w:val="002B70C9"/>
    <w:rsid w:val="002C0279"/>
    <w:rsid w:val="002C08B4"/>
    <w:rsid w:val="002C1231"/>
    <w:rsid w:val="002C33D0"/>
    <w:rsid w:val="002C625B"/>
    <w:rsid w:val="002C6619"/>
    <w:rsid w:val="002D2A47"/>
    <w:rsid w:val="002D467D"/>
    <w:rsid w:val="002D5190"/>
    <w:rsid w:val="002D7620"/>
    <w:rsid w:val="002E743F"/>
    <w:rsid w:val="002F0089"/>
    <w:rsid w:val="002F1E0E"/>
    <w:rsid w:val="002F7C40"/>
    <w:rsid w:val="00300CF5"/>
    <w:rsid w:val="00302782"/>
    <w:rsid w:val="003038C6"/>
    <w:rsid w:val="003043CD"/>
    <w:rsid w:val="00307822"/>
    <w:rsid w:val="00313742"/>
    <w:rsid w:val="00315560"/>
    <w:rsid w:val="00315E95"/>
    <w:rsid w:val="00321270"/>
    <w:rsid w:val="00327372"/>
    <w:rsid w:val="003276B5"/>
    <w:rsid w:val="00327A23"/>
    <w:rsid w:val="00330709"/>
    <w:rsid w:val="00331022"/>
    <w:rsid w:val="003322BE"/>
    <w:rsid w:val="00332691"/>
    <w:rsid w:val="0033402C"/>
    <w:rsid w:val="00341DD5"/>
    <w:rsid w:val="00343BB4"/>
    <w:rsid w:val="0034594A"/>
    <w:rsid w:val="00345B7A"/>
    <w:rsid w:val="00345F2E"/>
    <w:rsid w:val="00346AAF"/>
    <w:rsid w:val="003516C3"/>
    <w:rsid w:val="00351EB2"/>
    <w:rsid w:val="00356394"/>
    <w:rsid w:val="00357C4C"/>
    <w:rsid w:val="00357C62"/>
    <w:rsid w:val="00357CAF"/>
    <w:rsid w:val="00361699"/>
    <w:rsid w:val="003631B0"/>
    <w:rsid w:val="0036602B"/>
    <w:rsid w:val="00370569"/>
    <w:rsid w:val="00372F4A"/>
    <w:rsid w:val="0037418C"/>
    <w:rsid w:val="00377F4C"/>
    <w:rsid w:val="00382919"/>
    <w:rsid w:val="003832FC"/>
    <w:rsid w:val="003865C0"/>
    <w:rsid w:val="00393D1D"/>
    <w:rsid w:val="003940AA"/>
    <w:rsid w:val="00397818"/>
    <w:rsid w:val="003A50AB"/>
    <w:rsid w:val="003A791E"/>
    <w:rsid w:val="003B0203"/>
    <w:rsid w:val="003B5A01"/>
    <w:rsid w:val="003B5A2C"/>
    <w:rsid w:val="003B61A4"/>
    <w:rsid w:val="003B6CC5"/>
    <w:rsid w:val="003C20E9"/>
    <w:rsid w:val="003C2247"/>
    <w:rsid w:val="003D1445"/>
    <w:rsid w:val="003D2694"/>
    <w:rsid w:val="003D63F5"/>
    <w:rsid w:val="003D64CF"/>
    <w:rsid w:val="003E0E7C"/>
    <w:rsid w:val="003E2112"/>
    <w:rsid w:val="003E6FEE"/>
    <w:rsid w:val="003E759C"/>
    <w:rsid w:val="003E7621"/>
    <w:rsid w:val="003F1F07"/>
    <w:rsid w:val="003F3724"/>
    <w:rsid w:val="003F4447"/>
    <w:rsid w:val="003F5135"/>
    <w:rsid w:val="003F5FB1"/>
    <w:rsid w:val="003F6218"/>
    <w:rsid w:val="003F77FB"/>
    <w:rsid w:val="00403B3F"/>
    <w:rsid w:val="004072EF"/>
    <w:rsid w:val="00411F47"/>
    <w:rsid w:val="00413CCC"/>
    <w:rsid w:val="00414562"/>
    <w:rsid w:val="00416CA7"/>
    <w:rsid w:val="0041706F"/>
    <w:rsid w:val="00417204"/>
    <w:rsid w:val="00417A22"/>
    <w:rsid w:val="00417FAB"/>
    <w:rsid w:val="0042045A"/>
    <w:rsid w:val="0042144D"/>
    <w:rsid w:val="00423A67"/>
    <w:rsid w:val="004301EB"/>
    <w:rsid w:val="004323AC"/>
    <w:rsid w:val="00440C15"/>
    <w:rsid w:val="00441202"/>
    <w:rsid w:val="004413FA"/>
    <w:rsid w:val="0044254E"/>
    <w:rsid w:val="0044384D"/>
    <w:rsid w:val="00445DF1"/>
    <w:rsid w:val="00447876"/>
    <w:rsid w:val="00460FA7"/>
    <w:rsid w:val="0046172B"/>
    <w:rsid w:val="004620D1"/>
    <w:rsid w:val="00464630"/>
    <w:rsid w:val="00465A53"/>
    <w:rsid w:val="00466E8E"/>
    <w:rsid w:val="0047184F"/>
    <w:rsid w:val="00473777"/>
    <w:rsid w:val="00473A0D"/>
    <w:rsid w:val="00474A05"/>
    <w:rsid w:val="00475418"/>
    <w:rsid w:val="0047550F"/>
    <w:rsid w:val="00476425"/>
    <w:rsid w:val="00477639"/>
    <w:rsid w:val="00477A0D"/>
    <w:rsid w:val="004814D5"/>
    <w:rsid w:val="00482A6A"/>
    <w:rsid w:val="00485948"/>
    <w:rsid w:val="0049272A"/>
    <w:rsid w:val="00492D62"/>
    <w:rsid w:val="00494A49"/>
    <w:rsid w:val="00494B09"/>
    <w:rsid w:val="004A0DE1"/>
    <w:rsid w:val="004A18E9"/>
    <w:rsid w:val="004A392A"/>
    <w:rsid w:val="004A40A9"/>
    <w:rsid w:val="004A43F4"/>
    <w:rsid w:val="004A578C"/>
    <w:rsid w:val="004B060D"/>
    <w:rsid w:val="004B4683"/>
    <w:rsid w:val="004C082C"/>
    <w:rsid w:val="004C13FF"/>
    <w:rsid w:val="004C3675"/>
    <w:rsid w:val="004D032D"/>
    <w:rsid w:val="004D1D4E"/>
    <w:rsid w:val="004D30DC"/>
    <w:rsid w:val="004D41EC"/>
    <w:rsid w:val="004E00A6"/>
    <w:rsid w:val="004E0897"/>
    <w:rsid w:val="004E5E7E"/>
    <w:rsid w:val="004E7D90"/>
    <w:rsid w:val="004F2327"/>
    <w:rsid w:val="004F31D3"/>
    <w:rsid w:val="004F3E74"/>
    <w:rsid w:val="004F4156"/>
    <w:rsid w:val="004F5385"/>
    <w:rsid w:val="004F7049"/>
    <w:rsid w:val="00500785"/>
    <w:rsid w:val="00501854"/>
    <w:rsid w:val="00501995"/>
    <w:rsid w:val="0050603A"/>
    <w:rsid w:val="005061C5"/>
    <w:rsid w:val="0051065C"/>
    <w:rsid w:val="005111B0"/>
    <w:rsid w:val="0051235F"/>
    <w:rsid w:val="00517DE4"/>
    <w:rsid w:val="00521BD9"/>
    <w:rsid w:val="005231E3"/>
    <w:rsid w:val="00524316"/>
    <w:rsid w:val="005246B8"/>
    <w:rsid w:val="0052523C"/>
    <w:rsid w:val="005272F1"/>
    <w:rsid w:val="005276FC"/>
    <w:rsid w:val="0053573B"/>
    <w:rsid w:val="00535EA3"/>
    <w:rsid w:val="00543FB8"/>
    <w:rsid w:val="00544AB8"/>
    <w:rsid w:val="0054536C"/>
    <w:rsid w:val="00547E41"/>
    <w:rsid w:val="00550F15"/>
    <w:rsid w:val="00552771"/>
    <w:rsid w:val="005558DA"/>
    <w:rsid w:val="00560E67"/>
    <w:rsid w:val="00561BC2"/>
    <w:rsid w:val="0056289C"/>
    <w:rsid w:val="00562CBC"/>
    <w:rsid w:val="00566208"/>
    <w:rsid w:val="00574220"/>
    <w:rsid w:val="0058581F"/>
    <w:rsid w:val="00586777"/>
    <w:rsid w:val="0059150E"/>
    <w:rsid w:val="005A2FE8"/>
    <w:rsid w:val="005A4165"/>
    <w:rsid w:val="005A543F"/>
    <w:rsid w:val="005B033D"/>
    <w:rsid w:val="005B36AE"/>
    <w:rsid w:val="005B3B15"/>
    <w:rsid w:val="005B3DAA"/>
    <w:rsid w:val="005B4AA7"/>
    <w:rsid w:val="005B4BC1"/>
    <w:rsid w:val="005B6FBE"/>
    <w:rsid w:val="005C0033"/>
    <w:rsid w:val="005C2205"/>
    <w:rsid w:val="005C5AB9"/>
    <w:rsid w:val="005C5BEA"/>
    <w:rsid w:val="005C7C06"/>
    <w:rsid w:val="005C7F58"/>
    <w:rsid w:val="005D09BD"/>
    <w:rsid w:val="005D5BDB"/>
    <w:rsid w:val="005E22BF"/>
    <w:rsid w:val="005E3106"/>
    <w:rsid w:val="005F1A9C"/>
    <w:rsid w:val="005F3DAB"/>
    <w:rsid w:val="005F3F6B"/>
    <w:rsid w:val="005F4DE3"/>
    <w:rsid w:val="005F59F7"/>
    <w:rsid w:val="005F6F0D"/>
    <w:rsid w:val="005F7594"/>
    <w:rsid w:val="006019CC"/>
    <w:rsid w:val="00603E4C"/>
    <w:rsid w:val="00613F72"/>
    <w:rsid w:val="0061635C"/>
    <w:rsid w:val="006256C2"/>
    <w:rsid w:val="00631C0F"/>
    <w:rsid w:val="00631F91"/>
    <w:rsid w:val="00632C33"/>
    <w:rsid w:val="00637E1F"/>
    <w:rsid w:val="006402CC"/>
    <w:rsid w:val="00640A53"/>
    <w:rsid w:val="00640C36"/>
    <w:rsid w:val="00640C66"/>
    <w:rsid w:val="00641093"/>
    <w:rsid w:val="00647EC1"/>
    <w:rsid w:val="00656DCB"/>
    <w:rsid w:val="00656EE7"/>
    <w:rsid w:val="00661ADF"/>
    <w:rsid w:val="00667AF0"/>
    <w:rsid w:val="00673460"/>
    <w:rsid w:val="006735A0"/>
    <w:rsid w:val="006761F1"/>
    <w:rsid w:val="00683351"/>
    <w:rsid w:val="006902F3"/>
    <w:rsid w:val="0069054F"/>
    <w:rsid w:val="00691964"/>
    <w:rsid w:val="00695731"/>
    <w:rsid w:val="006A0356"/>
    <w:rsid w:val="006A0BBC"/>
    <w:rsid w:val="006A4228"/>
    <w:rsid w:val="006A4924"/>
    <w:rsid w:val="006A51D6"/>
    <w:rsid w:val="006A5267"/>
    <w:rsid w:val="006A5EC1"/>
    <w:rsid w:val="006B087F"/>
    <w:rsid w:val="006B479D"/>
    <w:rsid w:val="006B5473"/>
    <w:rsid w:val="006B63D3"/>
    <w:rsid w:val="006B7F67"/>
    <w:rsid w:val="006C6380"/>
    <w:rsid w:val="006D2086"/>
    <w:rsid w:val="006D22BB"/>
    <w:rsid w:val="006E0E59"/>
    <w:rsid w:val="006E1544"/>
    <w:rsid w:val="006E1BB0"/>
    <w:rsid w:val="006E2541"/>
    <w:rsid w:val="006E57FA"/>
    <w:rsid w:val="006E7EFB"/>
    <w:rsid w:val="006F0D55"/>
    <w:rsid w:val="006F3654"/>
    <w:rsid w:val="006F55CC"/>
    <w:rsid w:val="007064E6"/>
    <w:rsid w:val="00706A69"/>
    <w:rsid w:val="00710330"/>
    <w:rsid w:val="00711085"/>
    <w:rsid w:val="00720930"/>
    <w:rsid w:val="00720E4E"/>
    <w:rsid w:val="007230A2"/>
    <w:rsid w:val="007312AE"/>
    <w:rsid w:val="00731A7F"/>
    <w:rsid w:val="007342B7"/>
    <w:rsid w:val="00735A03"/>
    <w:rsid w:val="00736720"/>
    <w:rsid w:val="00740D92"/>
    <w:rsid w:val="0075043F"/>
    <w:rsid w:val="00755A35"/>
    <w:rsid w:val="007570CC"/>
    <w:rsid w:val="0076342E"/>
    <w:rsid w:val="00770767"/>
    <w:rsid w:val="007746DE"/>
    <w:rsid w:val="00774B6E"/>
    <w:rsid w:val="00776798"/>
    <w:rsid w:val="00780914"/>
    <w:rsid w:val="007813C5"/>
    <w:rsid w:val="0078293E"/>
    <w:rsid w:val="007830ED"/>
    <w:rsid w:val="00784BFF"/>
    <w:rsid w:val="00785CD5"/>
    <w:rsid w:val="00786FF6"/>
    <w:rsid w:val="00787C7C"/>
    <w:rsid w:val="00794C2B"/>
    <w:rsid w:val="00795FB3"/>
    <w:rsid w:val="00796F31"/>
    <w:rsid w:val="007A486D"/>
    <w:rsid w:val="007A65C1"/>
    <w:rsid w:val="007B015F"/>
    <w:rsid w:val="007B0B57"/>
    <w:rsid w:val="007B1CB0"/>
    <w:rsid w:val="007C2063"/>
    <w:rsid w:val="007C4FF4"/>
    <w:rsid w:val="007D1CCC"/>
    <w:rsid w:val="007D30AE"/>
    <w:rsid w:val="007D37F2"/>
    <w:rsid w:val="007D4282"/>
    <w:rsid w:val="007D473A"/>
    <w:rsid w:val="007D5B02"/>
    <w:rsid w:val="007D6B04"/>
    <w:rsid w:val="007D6B7D"/>
    <w:rsid w:val="007D7578"/>
    <w:rsid w:val="007E1AE8"/>
    <w:rsid w:val="007E2463"/>
    <w:rsid w:val="007E2B97"/>
    <w:rsid w:val="007E33B4"/>
    <w:rsid w:val="007E4A9D"/>
    <w:rsid w:val="007E5E74"/>
    <w:rsid w:val="007E63C0"/>
    <w:rsid w:val="007E64E6"/>
    <w:rsid w:val="007F0755"/>
    <w:rsid w:val="007F21AB"/>
    <w:rsid w:val="007F543A"/>
    <w:rsid w:val="007F79C9"/>
    <w:rsid w:val="007F7FA3"/>
    <w:rsid w:val="008028C6"/>
    <w:rsid w:val="008031B4"/>
    <w:rsid w:val="0080342C"/>
    <w:rsid w:val="008038A8"/>
    <w:rsid w:val="008040FD"/>
    <w:rsid w:val="0080438E"/>
    <w:rsid w:val="008066DC"/>
    <w:rsid w:val="00807847"/>
    <w:rsid w:val="00810857"/>
    <w:rsid w:val="00810D8B"/>
    <w:rsid w:val="00812984"/>
    <w:rsid w:val="00813665"/>
    <w:rsid w:val="00813763"/>
    <w:rsid w:val="00820921"/>
    <w:rsid w:val="00823BF7"/>
    <w:rsid w:val="00824D28"/>
    <w:rsid w:val="008256D7"/>
    <w:rsid w:val="00826D4C"/>
    <w:rsid w:val="0082732A"/>
    <w:rsid w:val="00830692"/>
    <w:rsid w:val="00833B69"/>
    <w:rsid w:val="0083596F"/>
    <w:rsid w:val="00835B86"/>
    <w:rsid w:val="008363D8"/>
    <w:rsid w:val="00836C39"/>
    <w:rsid w:val="008406EA"/>
    <w:rsid w:val="0084284D"/>
    <w:rsid w:val="00843A91"/>
    <w:rsid w:val="00845C29"/>
    <w:rsid w:val="00846AF1"/>
    <w:rsid w:val="00847B2D"/>
    <w:rsid w:val="00852FE4"/>
    <w:rsid w:val="008541C3"/>
    <w:rsid w:val="00854F50"/>
    <w:rsid w:val="00855EB7"/>
    <w:rsid w:val="00856DF9"/>
    <w:rsid w:val="008663DA"/>
    <w:rsid w:val="00867743"/>
    <w:rsid w:val="0086783C"/>
    <w:rsid w:val="00870A0F"/>
    <w:rsid w:val="00872F14"/>
    <w:rsid w:val="00874987"/>
    <w:rsid w:val="00874E0F"/>
    <w:rsid w:val="00877031"/>
    <w:rsid w:val="0087736C"/>
    <w:rsid w:val="00880DF8"/>
    <w:rsid w:val="008822D4"/>
    <w:rsid w:val="00883044"/>
    <w:rsid w:val="00883D3A"/>
    <w:rsid w:val="00884F74"/>
    <w:rsid w:val="00891573"/>
    <w:rsid w:val="00891B31"/>
    <w:rsid w:val="00891C8A"/>
    <w:rsid w:val="00891E5E"/>
    <w:rsid w:val="00892C15"/>
    <w:rsid w:val="00897124"/>
    <w:rsid w:val="00897353"/>
    <w:rsid w:val="008A0828"/>
    <w:rsid w:val="008A24EA"/>
    <w:rsid w:val="008A3908"/>
    <w:rsid w:val="008A4E20"/>
    <w:rsid w:val="008A66C6"/>
    <w:rsid w:val="008B0D8B"/>
    <w:rsid w:val="008B4DE2"/>
    <w:rsid w:val="008B57F4"/>
    <w:rsid w:val="008B5D07"/>
    <w:rsid w:val="008B77F4"/>
    <w:rsid w:val="008C00FB"/>
    <w:rsid w:val="008C6149"/>
    <w:rsid w:val="008C666F"/>
    <w:rsid w:val="008C73D5"/>
    <w:rsid w:val="008D0A5D"/>
    <w:rsid w:val="008D3EBE"/>
    <w:rsid w:val="008D6BD0"/>
    <w:rsid w:val="008D7AE5"/>
    <w:rsid w:val="008E6972"/>
    <w:rsid w:val="008F0748"/>
    <w:rsid w:val="008F367D"/>
    <w:rsid w:val="008F5670"/>
    <w:rsid w:val="008F6F19"/>
    <w:rsid w:val="00902820"/>
    <w:rsid w:val="009028A4"/>
    <w:rsid w:val="00902957"/>
    <w:rsid w:val="00904D24"/>
    <w:rsid w:val="00905C39"/>
    <w:rsid w:val="00905DA1"/>
    <w:rsid w:val="00906638"/>
    <w:rsid w:val="00912B97"/>
    <w:rsid w:val="00912FF4"/>
    <w:rsid w:val="00914F0D"/>
    <w:rsid w:val="00915FEF"/>
    <w:rsid w:val="00917B46"/>
    <w:rsid w:val="009226AF"/>
    <w:rsid w:val="00925128"/>
    <w:rsid w:val="00930FFA"/>
    <w:rsid w:val="00931265"/>
    <w:rsid w:val="009327EE"/>
    <w:rsid w:val="009335B8"/>
    <w:rsid w:val="0093390F"/>
    <w:rsid w:val="00934386"/>
    <w:rsid w:val="00934468"/>
    <w:rsid w:val="0093469F"/>
    <w:rsid w:val="00936E44"/>
    <w:rsid w:val="00940909"/>
    <w:rsid w:val="0094140E"/>
    <w:rsid w:val="00942AC1"/>
    <w:rsid w:val="00943C24"/>
    <w:rsid w:val="0094670D"/>
    <w:rsid w:val="009526CC"/>
    <w:rsid w:val="00957B98"/>
    <w:rsid w:val="009604B0"/>
    <w:rsid w:val="00964DE2"/>
    <w:rsid w:val="00967A46"/>
    <w:rsid w:val="00970546"/>
    <w:rsid w:val="00971220"/>
    <w:rsid w:val="00971E3E"/>
    <w:rsid w:val="009739F3"/>
    <w:rsid w:val="009744CA"/>
    <w:rsid w:val="00975A0E"/>
    <w:rsid w:val="00980F47"/>
    <w:rsid w:val="00981484"/>
    <w:rsid w:val="00982EF4"/>
    <w:rsid w:val="00985DDD"/>
    <w:rsid w:val="00987C5C"/>
    <w:rsid w:val="009909BD"/>
    <w:rsid w:val="009938B9"/>
    <w:rsid w:val="00995F2E"/>
    <w:rsid w:val="0099775E"/>
    <w:rsid w:val="00997B49"/>
    <w:rsid w:val="009A0990"/>
    <w:rsid w:val="009A0A50"/>
    <w:rsid w:val="009A23EB"/>
    <w:rsid w:val="009A4614"/>
    <w:rsid w:val="009A6169"/>
    <w:rsid w:val="009A79D1"/>
    <w:rsid w:val="009B15C6"/>
    <w:rsid w:val="009B22F3"/>
    <w:rsid w:val="009B3E87"/>
    <w:rsid w:val="009D2755"/>
    <w:rsid w:val="009D30BC"/>
    <w:rsid w:val="009D3AE0"/>
    <w:rsid w:val="009D4B52"/>
    <w:rsid w:val="009D514C"/>
    <w:rsid w:val="009D6741"/>
    <w:rsid w:val="009D6E57"/>
    <w:rsid w:val="009E1A50"/>
    <w:rsid w:val="009E4ABC"/>
    <w:rsid w:val="009F5428"/>
    <w:rsid w:val="00A01B25"/>
    <w:rsid w:val="00A0435F"/>
    <w:rsid w:val="00A106BB"/>
    <w:rsid w:val="00A12F64"/>
    <w:rsid w:val="00A147B7"/>
    <w:rsid w:val="00A15FC6"/>
    <w:rsid w:val="00A17517"/>
    <w:rsid w:val="00A17526"/>
    <w:rsid w:val="00A223DB"/>
    <w:rsid w:val="00A22AEC"/>
    <w:rsid w:val="00A22E22"/>
    <w:rsid w:val="00A23345"/>
    <w:rsid w:val="00A25E84"/>
    <w:rsid w:val="00A2686F"/>
    <w:rsid w:val="00A27C72"/>
    <w:rsid w:val="00A31512"/>
    <w:rsid w:val="00A33F27"/>
    <w:rsid w:val="00A3664E"/>
    <w:rsid w:val="00A42605"/>
    <w:rsid w:val="00A45607"/>
    <w:rsid w:val="00A45C58"/>
    <w:rsid w:val="00A46202"/>
    <w:rsid w:val="00A507FA"/>
    <w:rsid w:val="00A51DF6"/>
    <w:rsid w:val="00A535C7"/>
    <w:rsid w:val="00A56D03"/>
    <w:rsid w:val="00A62AD1"/>
    <w:rsid w:val="00A63A75"/>
    <w:rsid w:val="00A6592C"/>
    <w:rsid w:val="00A70591"/>
    <w:rsid w:val="00A71E6F"/>
    <w:rsid w:val="00A727D7"/>
    <w:rsid w:val="00A750B1"/>
    <w:rsid w:val="00A750C0"/>
    <w:rsid w:val="00A80A6C"/>
    <w:rsid w:val="00A825D2"/>
    <w:rsid w:val="00A847E7"/>
    <w:rsid w:val="00A853C1"/>
    <w:rsid w:val="00A86568"/>
    <w:rsid w:val="00A94748"/>
    <w:rsid w:val="00A95582"/>
    <w:rsid w:val="00A97A33"/>
    <w:rsid w:val="00AA0D60"/>
    <w:rsid w:val="00AA20AE"/>
    <w:rsid w:val="00AA258C"/>
    <w:rsid w:val="00AA4FA1"/>
    <w:rsid w:val="00AB123A"/>
    <w:rsid w:val="00AB124E"/>
    <w:rsid w:val="00AB502B"/>
    <w:rsid w:val="00AC14DD"/>
    <w:rsid w:val="00AC2194"/>
    <w:rsid w:val="00AC2574"/>
    <w:rsid w:val="00AD24C7"/>
    <w:rsid w:val="00AD2AD0"/>
    <w:rsid w:val="00AD2C21"/>
    <w:rsid w:val="00AD47D1"/>
    <w:rsid w:val="00AD7D6A"/>
    <w:rsid w:val="00AE0C07"/>
    <w:rsid w:val="00AE142F"/>
    <w:rsid w:val="00AE4F3A"/>
    <w:rsid w:val="00AE7B8A"/>
    <w:rsid w:val="00AF26AC"/>
    <w:rsid w:val="00AF70B4"/>
    <w:rsid w:val="00B053F6"/>
    <w:rsid w:val="00B077F0"/>
    <w:rsid w:val="00B10930"/>
    <w:rsid w:val="00B16D5B"/>
    <w:rsid w:val="00B2141B"/>
    <w:rsid w:val="00B2251C"/>
    <w:rsid w:val="00B22670"/>
    <w:rsid w:val="00B22DC2"/>
    <w:rsid w:val="00B23307"/>
    <w:rsid w:val="00B251DA"/>
    <w:rsid w:val="00B2527D"/>
    <w:rsid w:val="00B25C0B"/>
    <w:rsid w:val="00B32F4F"/>
    <w:rsid w:val="00B331EE"/>
    <w:rsid w:val="00B35465"/>
    <w:rsid w:val="00B40D37"/>
    <w:rsid w:val="00B416AE"/>
    <w:rsid w:val="00B421A4"/>
    <w:rsid w:val="00B43362"/>
    <w:rsid w:val="00B45D93"/>
    <w:rsid w:val="00B47823"/>
    <w:rsid w:val="00B50324"/>
    <w:rsid w:val="00B52BFD"/>
    <w:rsid w:val="00B52EEE"/>
    <w:rsid w:val="00B55121"/>
    <w:rsid w:val="00B566BA"/>
    <w:rsid w:val="00B64BFE"/>
    <w:rsid w:val="00B67B0D"/>
    <w:rsid w:val="00B67C56"/>
    <w:rsid w:val="00B67DED"/>
    <w:rsid w:val="00B67FDF"/>
    <w:rsid w:val="00B700AB"/>
    <w:rsid w:val="00B71AC2"/>
    <w:rsid w:val="00B726C3"/>
    <w:rsid w:val="00B7329E"/>
    <w:rsid w:val="00B73CF2"/>
    <w:rsid w:val="00B741FC"/>
    <w:rsid w:val="00B74645"/>
    <w:rsid w:val="00B75A6A"/>
    <w:rsid w:val="00B76D80"/>
    <w:rsid w:val="00B777F2"/>
    <w:rsid w:val="00B77E46"/>
    <w:rsid w:val="00B81AD6"/>
    <w:rsid w:val="00B81FDC"/>
    <w:rsid w:val="00B826F8"/>
    <w:rsid w:val="00B83456"/>
    <w:rsid w:val="00B84C13"/>
    <w:rsid w:val="00B85B38"/>
    <w:rsid w:val="00B86CBB"/>
    <w:rsid w:val="00B8706C"/>
    <w:rsid w:val="00B87386"/>
    <w:rsid w:val="00B87716"/>
    <w:rsid w:val="00B910AA"/>
    <w:rsid w:val="00B92BAA"/>
    <w:rsid w:val="00B954C7"/>
    <w:rsid w:val="00B95F86"/>
    <w:rsid w:val="00B96195"/>
    <w:rsid w:val="00BA1654"/>
    <w:rsid w:val="00BA338F"/>
    <w:rsid w:val="00BA4AF1"/>
    <w:rsid w:val="00BA4D81"/>
    <w:rsid w:val="00BA7147"/>
    <w:rsid w:val="00BA7CE6"/>
    <w:rsid w:val="00BB0EF3"/>
    <w:rsid w:val="00BB1266"/>
    <w:rsid w:val="00BB2EDA"/>
    <w:rsid w:val="00BC271A"/>
    <w:rsid w:val="00BC50CE"/>
    <w:rsid w:val="00BC71BD"/>
    <w:rsid w:val="00BD1793"/>
    <w:rsid w:val="00BD7966"/>
    <w:rsid w:val="00BE0A8B"/>
    <w:rsid w:val="00BE3156"/>
    <w:rsid w:val="00BE3565"/>
    <w:rsid w:val="00BE4628"/>
    <w:rsid w:val="00BE464E"/>
    <w:rsid w:val="00BE4874"/>
    <w:rsid w:val="00BE620A"/>
    <w:rsid w:val="00BE7A76"/>
    <w:rsid w:val="00BF0D6B"/>
    <w:rsid w:val="00BF31A7"/>
    <w:rsid w:val="00BF5E26"/>
    <w:rsid w:val="00C008D9"/>
    <w:rsid w:val="00C00C53"/>
    <w:rsid w:val="00C014EF"/>
    <w:rsid w:val="00C0280B"/>
    <w:rsid w:val="00C03741"/>
    <w:rsid w:val="00C04579"/>
    <w:rsid w:val="00C05AEF"/>
    <w:rsid w:val="00C10CF5"/>
    <w:rsid w:val="00C151A2"/>
    <w:rsid w:val="00C15DD4"/>
    <w:rsid w:val="00C17686"/>
    <w:rsid w:val="00C20443"/>
    <w:rsid w:val="00C21BEB"/>
    <w:rsid w:val="00C22BAF"/>
    <w:rsid w:val="00C42B12"/>
    <w:rsid w:val="00C45215"/>
    <w:rsid w:val="00C4528E"/>
    <w:rsid w:val="00C455EF"/>
    <w:rsid w:val="00C50047"/>
    <w:rsid w:val="00C51C2B"/>
    <w:rsid w:val="00C5536D"/>
    <w:rsid w:val="00C5631F"/>
    <w:rsid w:val="00C60D8C"/>
    <w:rsid w:val="00C61360"/>
    <w:rsid w:val="00C61F12"/>
    <w:rsid w:val="00C665C4"/>
    <w:rsid w:val="00C66EB5"/>
    <w:rsid w:val="00C70C95"/>
    <w:rsid w:val="00C738FA"/>
    <w:rsid w:val="00C74644"/>
    <w:rsid w:val="00C75932"/>
    <w:rsid w:val="00C82ABD"/>
    <w:rsid w:val="00C82B7E"/>
    <w:rsid w:val="00C84D5D"/>
    <w:rsid w:val="00C8594E"/>
    <w:rsid w:val="00C85B48"/>
    <w:rsid w:val="00C8611D"/>
    <w:rsid w:val="00C87D44"/>
    <w:rsid w:val="00C9136B"/>
    <w:rsid w:val="00C92421"/>
    <w:rsid w:val="00C92FC3"/>
    <w:rsid w:val="00C93B95"/>
    <w:rsid w:val="00C93FF2"/>
    <w:rsid w:val="00C9463F"/>
    <w:rsid w:val="00C950E6"/>
    <w:rsid w:val="00C952F1"/>
    <w:rsid w:val="00C9567C"/>
    <w:rsid w:val="00C95705"/>
    <w:rsid w:val="00CA0632"/>
    <w:rsid w:val="00CA1538"/>
    <w:rsid w:val="00CA1DC7"/>
    <w:rsid w:val="00CA2133"/>
    <w:rsid w:val="00CA2587"/>
    <w:rsid w:val="00CA389A"/>
    <w:rsid w:val="00CA544C"/>
    <w:rsid w:val="00CA7EC5"/>
    <w:rsid w:val="00CB0F76"/>
    <w:rsid w:val="00CB13CD"/>
    <w:rsid w:val="00CB22F0"/>
    <w:rsid w:val="00CB399D"/>
    <w:rsid w:val="00CB6F4F"/>
    <w:rsid w:val="00CB7E2D"/>
    <w:rsid w:val="00CC0031"/>
    <w:rsid w:val="00CC023D"/>
    <w:rsid w:val="00CC3CC0"/>
    <w:rsid w:val="00CC4230"/>
    <w:rsid w:val="00CC46A4"/>
    <w:rsid w:val="00CC7B62"/>
    <w:rsid w:val="00CC7BDA"/>
    <w:rsid w:val="00CD066E"/>
    <w:rsid w:val="00CD0E99"/>
    <w:rsid w:val="00CD104C"/>
    <w:rsid w:val="00CD3D82"/>
    <w:rsid w:val="00CD6773"/>
    <w:rsid w:val="00CD7076"/>
    <w:rsid w:val="00CE0377"/>
    <w:rsid w:val="00CE2BB0"/>
    <w:rsid w:val="00CE46A4"/>
    <w:rsid w:val="00CE4B93"/>
    <w:rsid w:val="00CE6B04"/>
    <w:rsid w:val="00CE773B"/>
    <w:rsid w:val="00CF4BE4"/>
    <w:rsid w:val="00CF6062"/>
    <w:rsid w:val="00CF702D"/>
    <w:rsid w:val="00CF7CC7"/>
    <w:rsid w:val="00D0126E"/>
    <w:rsid w:val="00D02CDD"/>
    <w:rsid w:val="00D04061"/>
    <w:rsid w:val="00D07375"/>
    <w:rsid w:val="00D1462A"/>
    <w:rsid w:val="00D16F35"/>
    <w:rsid w:val="00D17D89"/>
    <w:rsid w:val="00D22D81"/>
    <w:rsid w:val="00D2589C"/>
    <w:rsid w:val="00D27AAE"/>
    <w:rsid w:val="00D309E0"/>
    <w:rsid w:val="00D3189B"/>
    <w:rsid w:val="00D31C8E"/>
    <w:rsid w:val="00D31DFB"/>
    <w:rsid w:val="00D34662"/>
    <w:rsid w:val="00D34A8C"/>
    <w:rsid w:val="00D41122"/>
    <w:rsid w:val="00D43B0A"/>
    <w:rsid w:val="00D44D5D"/>
    <w:rsid w:val="00D471C5"/>
    <w:rsid w:val="00D47BE3"/>
    <w:rsid w:val="00D50BA3"/>
    <w:rsid w:val="00D51075"/>
    <w:rsid w:val="00D53542"/>
    <w:rsid w:val="00D544E6"/>
    <w:rsid w:val="00D56502"/>
    <w:rsid w:val="00D618DA"/>
    <w:rsid w:val="00D61E6F"/>
    <w:rsid w:val="00D627A2"/>
    <w:rsid w:val="00D64607"/>
    <w:rsid w:val="00D676C9"/>
    <w:rsid w:val="00D67E9C"/>
    <w:rsid w:val="00D702A1"/>
    <w:rsid w:val="00D708C4"/>
    <w:rsid w:val="00D70B28"/>
    <w:rsid w:val="00D71D95"/>
    <w:rsid w:val="00D7450D"/>
    <w:rsid w:val="00D75ACE"/>
    <w:rsid w:val="00D77777"/>
    <w:rsid w:val="00D81698"/>
    <w:rsid w:val="00D8754A"/>
    <w:rsid w:val="00D8785F"/>
    <w:rsid w:val="00D930D8"/>
    <w:rsid w:val="00D948D3"/>
    <w:rsid w:val="00D9671C"/>
    <w:rsid w:val="00D96888"/>
    <w:rsid w:val="00DA26A8"/>
    <w:rsid w:val="00DA2BB4"/>
    <w:rsid w:val="00DA4C5E"/>
    <w:rsid w:val="00DA553E"/>
    <w:rsid w:val="00DA69BE"/>
    <w:rsid w:val="00DB0465"/>
    <w:rsid w:val="00DB04CA"/>
    <w:rsid w:val="00DB0E5B"/>
    <w:rsid w:val="00DB4FEE"/>
    <w:rsid w:val="00DC0643"/>
    <w:rsid w:val="00DC2AFB"/>
    <w:rsid w:val="00DC56E8"/>
    <w:rsid w:val="00DC6347"/>
    <w:rsid w:val="00DC673E"/>
    <w:rsid w:val="00DD4815"/>
    <w:rsid w:val="00DD611F"/>
    <w:rsid w:val="00DE2B75"/>
    <w:rsid w:val="00DE5833"/>
    <w:rsid w:val="00DE64E6"/>
    <w:rsid w:val="00DE64F4"/>
    <w:rsid w:val="00DE7D24"/>
    <w:rsid w:val="00E04E09"/>
    <w:rsid w:val="00E05681"/>
    <w:rsid w:val="00E065F7"/>
    <w:rsid w:val="00E06EB5"/>
    <w:rsid w:val="00E077A6"/>
    <w:rsid w:val="00E1134B"/>
    <w:rsid w:val="00E11B1E"/>
    <w:rsid w:val="00E13081"/>
    <w:rsid w:val="00E14550"/>
    <w:rsid w:val="00E150CD"/>
    <w:rsid w:val="00E209C3"/>
    <w:rsid w:val="00E225FD"/>
    <w:rsid w:val="00E22D85"/>
    <w:rsid w:val="00E23A33"/>
    <w:rsid w:val="00E24401"/>
    <w:rsid w:val="00E25311"/>
    <w:rsid w:val="00E26E7C"/>
    <w:rsid w:val="00E26FAC"/>
    <w:rsid w:val="00E31981"/>
    <w:rsid w:val="00E34604"/>
    <w:rsid w:val="00E40815"/>
    <w:rsid w:val="00E43860"/>
    <w:rsid w:val="00E47723"/>
    <w:rsid w:val="00E479C9"/>
    <w:rsid w:val="00E5277F"/>
    <w:rsid w:val="00E53B1D"/>
    <w:rsid w:val="00E54FEC"/>
    <w:rsid w:val="00E62B1A"/>
    <w:rsid w:val="00E63734"/>
    <w:rsid w:val="00E653DC"/>
    <w:rsid w:val="00E66673"/>
    <w:rsid w:val="00E66EB7"/>
    <w:rsid w:val="00E70881"/>
    <w:rsid w:val="00E70D3F"/>
    <w:rsid w:val="00E71D53"/>
    <w:rsid w:val="00E72008"/>
    <w:rsid w:val="00E733D7"/>
    <w:rsid w:val="00E77E3D"/>
    <w:rsid w:val="00E86BD0"/>
    <w:rsid w:val="00E91709"/>
    <w:rsid w:val="00E91A61"/>
    <w:rsid w:val="00EA1C3F"/>
    <w:rsid w:val="00EA3997"/>
    <w:rsid w:val="00EA3CAE"/>
    <w:rsid w:val="00EA6A95"/>
    <w:rsid w:val="00EA71B6"/>
    <w:rsid w:val="00EB0DBE"/>
    <w:rsid w:val="00EB0F9B"/>
    <w:rsid w:val="00EB11F3"/>
    <w:rsid w:val="00EB19FB"/>
    <w:rsid w:val="00EB1C63"/>
    <w:rsid w:val="00EB1F75"/>
    <w:rsid w:val="00EB31F1"/>
    <w:rsid w:val="00EB38E0"/>
    <w:rsid w:val="00EC2D5B"/>
    <w:rsid w:val="00EC4FA4"/>
    <w:rsid w:val="00EC6FDF"/>
    <w:rsid w:val="00ED3B96"/>
    <w:rsid w:val="00ED3FF6"/>
    <w:rsid w:val="00ED7140"/>
    <w:rsid w:val="00EE0776"/>
    <w:rsid w:val="00EE1596"/>
    <w:rsid w:val="00EE1B57"/>
    <w:rsid w:val="00EE6C98"/>
    <w:rsid w:val="00EE785B"/>
    <w:rsid w:val="00EF11F9"/>
    <w:rsid w:val="00EF13B4"/>
    <w:rsid w:val="00EF17FE"/>
    <w:rsid w:val="00EF3254"/>
    <w:rsid w:val="00EF4451"/>
    <w:rsid w:val="00EF4795"/>
    <w:rsid w:val="00EF5729"/>
    <w:rsid w:val="00EF6A3E"/>
    <w:rsid w:val="00EF6B86"/>
    <w:rsid w:val="00F019C5"/>
    <w:rsid w:val="00F02304"/>
    <w:rsid w:val="00F10CB7"/>
    <w:rsid w:val="00F13E18"/>
    <w:rsid w:val="00F21172"/>
    <w:rsid w:val="00F23BDA"/>
    <w:rsid w:val="00F24274"/>
    <w:rsid w:val="00F324E2"/>
    <w:rsid w:val="00F33107"/>
    <w:rsid w:val="00F33908"/>
    <w:rsid w:val="00F33FA4"/>
    <w:rsid w:val="00F34FBC"/>
    <w:rsid w:val="00F41A41"/>
    <w:rsid w:val="00F42B4D"/>
    <w:rsid w:val="00F43FDB"/>
    <w:rsid w:val="00F44C1F"/>
    <w:rsid w:val="00F45554"/>
    <w:rsid w:val="00F47ADD"/>
    <w:rsid w:val="00F5092B"/>
    <w:rsid w:val="00F51829"/>
    <w:rsid w:val="00F5294D"/>
    <w:rsid w:val="00F52D9F"/>
    <w:rsid w:val="00F57E90"/>
    <w:rsid w:val="00F63D74"/>
    <w:rsid w:val="00F64502"/>
    <w:rsid w:val="00F70F92"/>
    <w:rsid w:val="00F71E4D"/>
    <w:rsid w:val="00F7282C"/>
    <w:rsid w:val="00F73654"/>
    <w:rsid w:val="00F737DD"/>
    <w:rsid w:val="00F763C0"/>
    <w:rsid w:val="00F819C7"/>
    <w:rsid w:val="00F8593C"/>
    <w:rsid w:val="00F85B3B"/>
    <w:rsid w:val="00F8786D"/>
    <w:rsid w:val="00F91D16"/>
    <w:rsid w:val="00F92D45"/>
    <w:rsid w:val="00F959A1"/>
    <w:rsid w:val="00F95E5C"/>
    <w:rsid w:val="00F96FC5"/>
    <w:rsid w:val="00FA6C62"/>
    <w:rsid w:val="00FA6F61"/>
    <w:rsid w:val="00FA7668"/>
    <w:rsid w:val="00FB14F5"/>
    <w:rsid w:val="00FB5055"/>
    <w:rsid w:val="00FB5C08"/>
    <w:rsid w:val="00FB5DCD"/>
    <w:rsid w:val="00FC05DE"/>
    <w:rsid w:val="00FC6277"/>
    <w:rsid w:val="00FC62B5"/>
    <w:rsid w:val="00FC6F35"/>
    <w:rsid w:val="00FC7566"/>
    <w:rsid w:val="00FD1E73"/>
    <w:rsid w:val="00FD4114"/>
    <w:rsid w:val="00FD473D"/>
    <w:rsid w:val="00FD4B2F"/>
    <w:rsid w:val="00FD5A84"/>
    <w:rsid w:val="00FD67CF"/>
    <w:rsid w:val="00FE0D5B"/>
    <w:rsid w:val="00FE1315"/>
    <w:rsid w:val="00FE1655"/>
    <w:rsid w:val="00FE241F"/>
    <w:rsid w:val="00FF182E"/>
    <w:rsid w:val="00FF654C"/>
    <w:rsid w:val="00FF7944"/>
    <w:rsid w:val="018A1229"/>
    <w:rsid w:val="01CC483C"/>
    <w:rsid w:val="02F11F4E"/>
    <w:rsid w:val="031E606D"/>
    <w:rsid w:val="035564ED"/>
    <w:rsid w:val="05C6424F"/>
    <w:rsid w:val="05D07899"/>
    <w:rsid w:val="0695255A"/>
    <w:rsid w:val="06963CA6"/>
    <w:rsid w:val="06A1716E"/>
    <w:rsid w:val="06FC1FD0"/>
    <w:rsid w:val="0705497E"/>
    <w:rsid w:val="07DD5A79"/>
    <w:rsid w:val="085B709E"/>
    <w:rsid w:val="09DC4209"/>
    <w:rsid w:val="0A1C2DD2"/>
    <w:rsid w:val="0A3F658D"/>
    <w:rsid w:val="0A550F77"/>
    <w:rsid w:val="0A910E8B"/>
    <w:rsid w:val="0AE954C4"/>
    <w:rsid w:val="0B137EA8"/>
    <w:rsid w:val="0B3A2BD7"/>
    <w:rsid w:val="0B5E4308"/>
    <w:rsid w:val="0B7706DE"/>
    <w:rsid w:val="0BCA51EF"/>
    <w:rsid w:val="0BDF402D"/>
    <w:rsid w:val="0C1318AA"/>
    <w:rsid w:val="0C230625"/>
    <w:rsid w:val="0C5E0E1A"/>
    <w:rsid w:val="0CAA0570"/>
    <w:rsid w:val="0D554B38"/>
    <w:rsid w:val="0D73621C"/>
    <w:rsid w:val="0D7A0F78"/>
    <w:rsid w:val="0DAF7299"/>
    <w:rsid w:val="0DF06B2F"/>
    <w:rsid w:val="0E0F32F9"/>
    <w:rsid w:val="0E4D0E34"/>
    <w:rsid w:val="0E6869A4"/>
    <w:rsid w:val="0E7C26A7"/>
    <w:rsid w:val="0EBC5297"/>
    <w:rsid w:val="0EE70741"/>
    <w:rsid w:val="0FC226D4"/>
    <w:rsid w:val="0FC41B4E"/>
    <w:rsid w:val="102F355B"/>
    <w:rsid w:val="106E348C"/>
    <w:rsid w:val="10761F99"/>
    <w:rsid w:val="11000384"/>
    <w:rsid w:val="123571D8"/>
    <w:rsid w:val="12B2290E"/>
    <w:rsid w:val="12C25747"/>
    <w:rsid w:val="132A314F"/>
    <w:rsid w:val="133B3CD7"/>
    <w:rsid w:val="13B36835"/>
    <w:rsid w:val="14115D6A"/>
    <w:rsid w:val="147A61A9"/>
    <w:rsid w:val="149E5758"/>
    <w:rsid w:val="15562EAB"/>
    <w:rsid w:val="1581647A"/>
    <w:rsid w:val="15AE6ECB"/>
    <w:rsid w:val="15B833A3"/>
    <w:rsid w:val="15E966DB"/>
    <w:rsid w:val="16221F6A"/>
    <w:rsid w:val="16240C9B"/>
    <w:rsid w:val="165573C5"/>
    <w:rsid w:val="166B2672"/>
    <w:rsid w:val="17574F66"/>
    <w:rsid w:val="18460F1A"/>
    <w:rsid w:val="197F2391"/>
    <w:rsid w:val="19836A49"/>
    <w:rsid w:val="19E4508E"/>
    <w:rsid w:val="19EE1A8B"/>
    <w:rsid w:val="1A6B6FCC"/>
    <w:rsid w:val="1B225A6C"/>
    <w:rsid w:val="1B54330E"/>
    <w:rsid w:val="1BA34AC2"/>
    <w:rsid w:val="1C617E07"/>
    <w:rsid w:val="1D8874E3"/>
    <w:rsid w:val="1D961960"/>
    <w:rsid w:val="1E16099A"/>
    <w:rsid w:val="1E1C3700"/>
    <w:rsid w:val="1E1E6B93"/>
    <w:rsid w:val="1E996B02"/>
    <w:rsid w:val="1EBD2A77"/>
    <w:rsid w:val="1EF20436"/>
    <w:rsid w:val="1F6479A6"/>
    <w:rsid w:val="1FDF0DF2"/>
    <w:rsid w:val="200E6B5A"/>
    <w:rsid w:val="202501A0"/>
    <w:rsid w:val="204068C8"/>
    <w:rsid w:val="210D43CB"/>
    <w:rsid w:val="214F54F5"/>
    <w:rsid w:val="216836A5"/>
    <w:rsid w:val="216F5F1D"/>
    <w:rsid w:val="21D50E3E"/>
    <w:rsid w:val="224033AD"/>
    <w:rsid w:val="229836AA"/>
    <w:rsid w:val="23666FBB"/>
    <w:rsid w:val="23870BD7"/>
    <w:rsid w:val="2414786E"/>
    <w:rsid w:val="24AD0F6C"/>
    <w:rsid w:val="24B50EC3"/>
    <w:rsid w:val="24EB39DC"/>
    <w:rsid w:val="252D4290"/>
    <w:rsid w:val="253D4902"/>
    <w:rsid w:val="263742FF"/>
    <w:rsid w:val="263E46C0"/>
    <w:rsid w:val="265E5909"/>
    <w:rsid w:val="269163F2"/>
    <w:rsid w:val="26BD285A"/>
    <w:rsid w:val="26C3207E"/>
    <w:rsid w:val="27462C45"/>
    <w:rsid w:val="27A929E9"/>
    <w:rsid w:val="27BC233C"/>
    <w:rsid w:val="27E50AD6"/>
    <w:rsid w:val="27F758D4"/>
    <w:rsid w:val="27FB30E9"/>
    <w:rsid w:val="285B04ED"/>
    <w:rsid w:val="29AB1F91"/>
    <w:rsid w:val="29C81CB2"/>
    <w:rsid w:val="2A3C369F"/>
    <w:rsid w:val="2A693AD8"/>
    <w:rsid w:val="2A9964D6"/>
    <w:rsid w:val="2ABC183E"/>
    <w:rsid w:val="2AF260B2"/>
    <w:rsid w:val="2B3C6B02"/>
    <w:rsid w:val="2B7270D1"/>
    <w:rsid w:val="2C0B1770"/>
    <w:rsid w:val="2CDC673A"/>
    <w:rsid w:val="2CF07848"/>
    <w:rsid w:val="2D690070"/>
    <w:rsid w:val="2DDA4DA4"/>
    <w:rsid w:val="2E036647"/>
    <w:rsid w:val="2E524FD5"/>
    <w:rsid w:val="2E9E19E2"/>
    <w:rsid w:val="2EB0693C"/>
    <w:rsid w:val="2EBA5A0D"/>
    <w:rsid w:val="2EDC39BB"/>
    <w:rsid w:val="2F1F59A7"/>
    <w:rsid w:val="2FE125BB"/>
    <w:rsid w:val="30382CD3"/>
    <w:rsid w:val="31AF32B5"/>
    <w:rsid w:val="31CE57B5"/>
    <w:rsid w:val="31D24AD8"/>
    <w:rsid w:val="322E3390"/>
    <w:rsid w:val="32473215"/>
    <w:rsid w:val="330672FC"/>
    <w:rsid w:val="33110C5D"/>
    <w:rsid w:val="33CF4995"/>
    <w:rsid w:val="34750870"/>
    <w:rsid w:val="34812B59"/>
    <w:rsid w:val="34CB4A55"/>
    <w:rsid w:val="3526445E"/>
    <w:rsid w:val="36004929"/>
    <w:rsid w:val="362664E5"/>
    <w:rsid w:val="365A46EB"/>
    <w:rsid w:val="367103D6"/>
    <w:rsid w:val="367479D5"/>
    <w:rsid w:val="37B1417A"/>
    <w:rsid w:val="380A22EB"/>
    <w:rsid w:val="381974DB"/>
    <w:rsid w:val="383879DA"/>
    <w:rsid w:val="388B7B69"/>
    <w:rsid w:val="388D1435"/>
    <w:rsid w:val="39E65963"/>
    <w:rsid w:val="39FB3C71"/>
    <w:rsid w:val="3C260CCD"/>
    <w:rsid w:val="3C3E5DB7"/>
    <w:rsid w:val="3C5E78F9"/>
    <w:rsid w:val="3C60335B"/>
    <w:rsid w:val="3D0817B3"/>
    <w:rsid w:val="3D7706D4"/>
    <w:rsid w:val="3D993E0C"/>
    <w:rsid w:val="3DD24337"/>
    <w:rsid w:val="3DEB522D"/>
    <w:rsid w:val="3E0100E6"/>
    <w:rsid w:val="3ED27F92"/>
    <w:rsid w:val="40710233"/>
    <w:rsid w:val="40ED5A2E"/>
    <w:rsid w:val="41EB2C5A"/>
    <w:rsid w:val="422E481D"/>
    <w:rsid w:val="42880CA7"/>
    <w:rsid w:val="42E73D6D"/>
    <w:rsid w:val="432C5578"/>
    <w:rsid w:val="43B62B33"/>
    <w:rsid w:val="43CE2FD9"/>
    <w:rsid w:val="442B23EA"/>
    <w:rsid w:val="447050D3"/>
    <w:rsid w:val="459D63C3"/>
    <w:rsid w:val="45B4687A"/>
    <w:rsid w:val="45F550C3"/>
    <w:rsid w:val="464469A6"/>
    <w:rsid w:val="465C13A2"/>
    <w:rsid w:val="46B14851"/>
    <w:rsid w:val="46E14703"/>
    <w:rsid w:val="475F792A"/>
    <w:rsid w:val="47737B6F"/>
    <w:rsid w:val="478E3FE1"/>
    <w:rsid w:val="47B37297"/>
    <w:rsid w:val="47D842BB"/>
    <w:rsid w:val="48E352F8"/>
    <w:rsid w:val="49681322"/>
    <w:rsid w:val="497879AD"/>
    <w:rsid w:val="49C8376C"/>
    <w:rsid w:val="4A635CC8"/>
    <w:rsid w:val="4A9C510C"/>
    <w:rsid w:val="4AB37D66"/>
    <w:rsid w:val="4AEF0BE6"/>
    <w:rsid w:val="4B437EA9"/>
    <w:rsid w:val="4B6904FE"/>
    <w:rsid w:val="4C1177ED"/>
    <w:rsid w:val="4C762FFA"/>
    <w:rsid w:val="4CCD0BA8"/>
    <w:rsid w:val="4D153B7A"/>
    <w:rsid w:val="4D3179C7"/>
    <w:rsid w:val="4DA83AFA"/>
    <w:rsid w:val="4DDA66B0"/>
    <w:rsid w:val="4E167EA0"/>
    <w:rsid w:val="4EB77C20"/>
    <w:rsid w:val="4F23636B"/>
    <w:rsid w:val="4F602FD4"/>
    <w:rsid w:val="505A0F30"/>
    <w:rsid w:val="50640BF4"/>
    <w:rsid w:val="50BA39B6"/>
    <w:rsid w:val="5131428E"/>
    <w:rsid w:val="5135321F"/>
    <w:rsid w:val="528143C4"/>
    <w:rsid w:val="52E77AFF"/>
    <w:rsid w:val="5328174E"/>
    <w:rsid w:val="53847CA4"/>
    <w:rsid w:val="53BE00D0"/>
    <w:rsid w:val="541125C7"/>
    <w:rsid w:val="548214BE"/>
    <w:rsid w:val="54C74CD1"/>
    <w:rsid w:val="54CB6053"/>
    <w:rsid w:val="5503092C"/>
    <w:rsid w:val="557425DC"/>
    <w:rsid w:val="55A77D6F"/>
    <w:rsid w:val="55AC6511"/>
    <w:rsid w:val="55F6565B"/>
    <w:rsid w:val="56391521"/>
    <w:rsid w:val="56596DAA"/>
    <w:rsid w:val="56AB4E89"/>
    <w:rsid w:val="56FE711B"/>
    <w:rsid w:val="573E1360"/>
    <w:rsid w:val="578652FD"/>
    <w:rsid w:val="57B84E0E"/>
    <w:rsid w:val="583B3EEB"/>
    <w:rsid w:val="584C79EF"/>
    <w:rsid w:val="588E2ACB"/>
    <w:rsid w:val="589041F0"/>
    <w:rsid w:val="58AF2984"/>
    <w:rsid w:val="59406BA0"/>
    <w:rsid w:val="59835752"/>
    <w:rsid w:val="59CF1791"/>
    <w:rsid w:val="59F513A2"/>
    <w:rsid w:val="5A301F15"/>
    <w:rsid w:val="5AD84530"/>
    <w:rsid w:val="5AE94FF9"/>
    <w:rsid w:val="5B766667"/>
    <w:rsid w:val="5B9202C2"/>
    <w:rsid w:val="5B933285"/>
    <w:rsid w:val="5BA12DAE"/>
    <w:rsid w:val="5BE70EEF"/>
    <w:rsid w:val="5C0225F2"/>
    <w:rsid w:val="5C3F1E8A"/>
    <w:rsid w:val="5C923823"/>
    <w:rsid w:val="5C9A3FA3"/>
    <w:rsid w:val="5CE65BD4"/>
    <w:rsid w:val="5CFE170E"/>
    <w:rsid w:val="5D4A45F4"/>
    <w:rsid w:val="5D785F1D"/>
    <w:rsid w:val="5D927F4D"/>
    <w:rsid w:val="5D9523CA"/>
    <w:rsid w:val="5D97564C"/>
    <w:rsid w:val="5D99067A"/>
    <w:rsid w:val="5E5D76E0"/>
    <w:rsid w:val="5E642231"/>
    <w:rsid w:val="5F15360C"/>
    <w:rsid w:val="5FA57A4C"/>
    <w:rsid w:val="5FDF3ECF"/>
    <w:rsid w:val="5FE91720"/>
    <w:rsid w:val="602E4288"/>
    <w:rsid w:val="60D57E0E"/>
    <w:rsid w:val="61E04C33"/>
    <w:rsid w:val="622D449B"/>
    <w:rsid w:val="62397200"/>
    <w:rsid w:val="63623928"/>
    <w:rsid w:val="637E70EE"/>
    <w:rsid w:val="64490FF3"/>
    <w:rsid w:val="64F32796"/>
    <w:rsid w:val="65447550"/>
    <w:rsid w:val="65767E03"/>
    <w:rsid w:val="65D03751"/>
    <w:rsid w:val="663757A9"/>
    <w:rsid w:val="667626B5"/>
    <w:rsid w:val="66D31260"/>
    <w:rsid w:val="67515420"/>
    <w:rsid w:val="676067AB"/>
    <w:rsid w:val="67932220"/>
    <w:rsid w:val="67955334"/>
    <w:rsid w:val="679B0573"/>
    <w:rsid w:val="67AA61B8"/>
    <w:rsid w:val="68031477"/>
    <w:rsid w:val="680A41F2"/>
    <w:rsid w:val="6842559C"/>
    <w:rsid w:val="693B74EE"/>
    <w:rsid w:val="69460F46"/>
    <w:rsid w:val="69A7409C"/>
    <w:rsid w:val="6A9378A0"/>
    <w:rsid w:val="6A961A6F"/>
    <w:rsid w:val="6A96300D"/>
    <w:rsid w:val="6A9A1B58"/>
    <w:rsid w:val="6AA96EF2"/>
    <w:rsid w:val="6B46346E"/>
    <w:rsid w:val="6B980DFF"/>
    <w:rsid w:val="6C1F0F4C"/>
    <w:rsid w:val="6CA643C9"/>
    <w:rsid w:val="6CFB424F"/>
    <w:rsid w:val="6D11245B"/>
    <w:rsid w:val="6DB41C84"/>
    <w:rsid w:val="6E564F19"/>
    <w:rsid w:val="6E6E539C"/>
    <w:rsid w:val="6E8E5E2F"/>
    <w:rsid w:val="6F9274C6"/>
    <w:rsid w:val="6FCE5C1D"/>
    <w:rsid w:val="6FD40AFE"/>
    <w:rsid w:val="6FFF4F58"/>
    <w:rsid w:val="70AF1F45"/>
    <w:rsid w:val="70DA5F0F"/>
    <w:rsid w:val="70FA3EE6"/>
    <w:rsid w:val="71047E83"/>
    <w:rsid w:val="718A0A3F"/>
    <w:rsid w:val="71F406FA"/>
    <w:rsid w:val="725F56D2"/>
    <w:rsid w:val="726243E9"/>
    <w:rsid w:val="72725752"/>
    <w:rsid w:val="72D01AFA"/>
    <w:rsid w:val="72E40E2B"/>
    <w:rsid w:val="72FD1BC2"/>
    <w:rsid w:val="73A56B0D"/>
    <w:rsid w:val="7459607D"/>
    <w:rsid w:val="747E2368"/>
    <w:rsid w:val="74C73061"/>
    <w:rsid w:val="74DB7587"/>
    <w:rsid w:val="74E233C5"/>
    <w:rsid w:val="75543B6C"/>
    <w:rsid w:val="75A077D5"/>
    <w:rsid w:val="75CF3157"/>
    <w:rsid w:val="7674757F"/>
    <w:rsid w:val="768D4DCA"/>
    <w:rsid w:val="76DB26E4"/>
    <w:rsid w:val="770D4AB5"/>
    <w:rsid w:val="77197DE1"/>
    <w:rsid w:val="776E2813"/>
    <w:rsid w:val="77741A88"/>
    <w:rsid w:val="777A6BE6"/>
    <w:rsid w:val="778207D4"/>
    <w:rsid w:val="78184787"/>
    <w:rsid w:val="787011AF"/>
    <w:rsid w:val="78FD5DDC"/>
    <w:rsid w:val="7915735B"/>
    <w:rsid w:val="79236296"/>
    <w:rsid w:val="79306172"/>
    <w:rsid w:val="79666676"/>
    <w:rsid w:val="7994275C"/>
    <w:rsid w:val="79A665B1"/>
    <w:rsid w:val="7A1C138B"/>
    <w:rsid w:val="7A665292"/>
    <w:rsid w:val="7AB15D27"/>
    <w:rsid w:val="7B3A013A"/>
    <w:rsid w:val="7B6E3260"/>
    <w:rsid w:val="7BA72CEC"/>
    <w:rsid w:val="7BFD29F7"/>
    <w:rsid w:val="7C550F2A"/>
    <w:rsid w:val="7C914EA9"/>
    <w:rsid w:val="7CA77399"/>
    <w:rsid w:val="7CC21A70"/>
    <w:rsid w:val="7D1B3B85"/>
    <w:rsid w:val="7E7B2EFE"/>
    <w:rsid w:val="7F0C524A"/>
    <w:rsid w:val="7F216A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paragraph" w:styleId="7">
    <w:name w:val="annotation subject"/>
    <w:basedOn w:val="2"/>
    <w:next w:val="2"/>
    <w:link w:val="20"/>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1"/>
    <w:basedOn w:val="9"/>
    <w:link w:val="4"/>
    <w:qFormat/>
    <w:uiPriority w:val="99"/>
    <w:rPr>
      <w:sz w:val="18"/>
      <w:szCs w:val="18"/>
    </w:rPr>
  </w:style>
  <w:style w:type="character" w:customStyle="1" w:styleId="13">
    <w:name w:val="要点 New"/>
    <w:qFormat/>
    <w:uiPriority w:val="0"/>
    <w:rPr>
      <w:b/>
      <w:bCs/>
    </w:rPr>
  </w:style>
  <w:style w:type="character" w:customStyle="1" w:styleId="14">
    <w:name w:val="页脚 Char"/>
    <w:qFormat/>
    <w:locked/>
    <w:uiPriority w:val="99"/>
    <w:rPr>
      <w:rFonts w:eastAsia="宋体"/>
      <w:kern w:val="2"/>
      <w:sz w:val="18"/>
      <w:szCs w:val="18"/>
      <w:lang w:val="en-US" w:eastAsia="zh-CN" w:bidi="ar-SA"/>
    </w:rPr>
  </w:style>
  <w:style w:type="paragraph" w:customStyle="1" w:styleId="15">
    <w:name w:val="_Style 2"/>
    <w:basedOn w:val="1"/>
    <w:qFormat/>
    <w:uiPriority w:val="0"/>
    <w:pPr>
      <w:ind w:firstLine="420" w:firstLineChars="200"/>
    </w:pPr>
    <w:rPr>
      <w:szCs w:val="22"/>
    </w:rPr>
  </w:style>
  <w:style w:type="paragraph" w:customStyle="1" w:styleId="16">
    <w:name w:val="_Style 10"/>
    <w:basedOn w:val="1"/>
    <w:next w:val="17"/>
    <w:qFormat/>
    <w:uiPriority w:val="99"/>
    <w:pPr>
      <w:ind w:firstLine="420" w:firstLineChars="200"/>
    </w:pPr>
    <w:rPr>
      <w:szCs w:val="22"/>
    </w:rPr>
  </w:style>
  <w:style w:type="paragraph" w:styleId="17">
    <w:name w:val="List Paragraph"/>
    <w:basedOn w:val="1"/>
    <w:qFormat/>
    <w:uiPriority w:val="99"/>
    <w:pPr>
      <w:ind w:firstLine="420" w:firstLineChars="200"/>
    </w:pPr>
  </w:style>
  <w:style w:type="character" w:customStyle="1" w:styleId="18">
    <w:name w:val="批注框文本 Char"/>
    <w:basedOn w:val="9"/>
    <w:link w:val="3"/>
    <w:semiHidden/>
    <w:qFormat/>
    <w:uiPriority w:val="99"/>
    <w:rPr>
      <w:rFonts w:ascii="Calibri" w:hAnsi="Calibri" w:eastAsia="宋体" w:cs="Times New Roman"/>
      <w:sz w:val="18"/>
      <w:szCs w:val="18"/>
    </w:rPr>
  </w:style>
  <w:style w:type="character" w:customStyle="1" w:styleId="19">
    <w:name w:val="批注文字 Char"/>
    <w:basedOn w:val="9"/>
    <w:link w:val="2"/>
    <w:semiHidden/>
    <w:qFormat/>
    <w:uiPriority w:val="99"/>
    <w:rPr>
      <w:rFonts w:ascii="Calibri" w:hAnsi="Calibri" w:eastAsia="宋体" w:cs="Times New Roman"/>
      <w:kern w:val="2"/>
      <w:sz w:val="21"/>
      <w:szCs w:val="24"/>
    </w:rPr>
  </w:style>
  <w:style w:type="character" w:customStyle="1" w:styleId="20">
    <w:name w:val="批注主题 Char"/>
    <w:basedOn w:val="19"/>
    <w:link w:val="7"/>
    <w:semiHidden/>
    <w:qFormat/>
    <w:uiPriority w:val="99"/>
    <w:rPr>
      <w:rFonts w:ascii="Calibri" w:hAnsi="Calibri" w:eastAsia="宋体" w:cs="Times New Roman"/>
      <w:b/>
      <w:bCs/>
      <w:kern w:val="2"/>
      <w:sz w:val="21"/>
      <w:szCs w:val="24"/>
    </w:rPr>
  </w:style>
  <w:style w:type="paragraph" w:customStyle="1" w:styleId="2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F8A5F-8C47-45C8-AF31-B862E8CEFD66}">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13</Pages>
  <Words>840</Words>
  <Characters>4793</Characters>
  <Lines>39</Lines>
  <Paragraphs>11</Paragraphs>
  <TotalTime>29</TotalTime>
  <ScaleCrop>false</ScaleCrop>
  <LinksUpToDate>false</LinksUpToDate>
  <CharactersWithSpaces>5622</CharactersWithSpaces>
  <Application>WPS Office_12.8.2.16908_F1E327BC-269C-435d-A152-05C5408002CA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2019-08-01T10:17:00Z</dcterms:created>
  <dc:creator>25343</dc:creator>
  <cp:lastModifiedBy>Administrator</cp:lastModifiedBy>
  <cp:lastPrinted>2019-09-10T00:10:00Z</cp:lastPrinted>
  <dcterms:modified xsi:type="dcterms:W3CDTF">2025-12-29T01:28:36Z</dcterms:modified>
  <cp:revision>387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2052-12.8.2.16908</vt:lpwstr>
  </property>
  <property fmtid="{D5CDD505-2E9C-101B-9397-08002B2CF9AE}" pid="3" name="ICV">
    <vt:lpwstr>B9DABC11E9AC4E3688C65F477B094B05</vt:lpwstr>
  </property>
</Properties>
</file>