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b/>
          <w:sz w:val="32"/>
        </w:rPr>
      </w:pPr>
      <w:bookmarkStart w:id="0" w:name="_Toc1420_WPSOffice_Level2"/>
      <w:r>
        <w:rPr>
          <w:rFonts w:hint="eastAsia"/>
          <w:b/>
          <w:sz w:val="32"/>
        </w:rPr>
        <w:t>采购项目一览表</w:t>
      </w:r>
      <w:bookmarkEnd w:id="0"/>
    </w:p>
    <w:tbl>
      <w:tblPr>
        <w:tblStyle w:val="4"/>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379"/>
        <w:gridCol w:w="1706"/>
        <w:gridCol w:w="1805"/>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37" w:type="dxa"/>
            <w:vAlign w:val="center"/>
          </w:tcPr>
          <w:p>
            <w:pPr>
              <w:spacing w:line="320" w:lineRule="exact"/>
              <w:jc w:val="center"/>
              <w:rPr>
                <w:rFonts w:ascii="宋体" w:hAnsi="宋体"/>
                <w:b/>
                <w:sz w:val="24"/>
              </w:rPr>
            </w:pPr>
            <w:r>
              <w:rPr>
                <w:rFonts w:hint="eastAsia" w:ascii="宋体" w:hAnsi="宋体"/>
                <w:b/>
                <w:sz w:val="24"/>
              </w:rPr>
              <w:t>合同包号</w:t>
            </w:r>
          </w:p>
        </w:tc>
        <w:tc>
          <w:tcPr>
            <w:tcW w:w="2379" w:type="dxa"/>
            <w:vAlign w:val="center"/>
          </w:tcPr>
          <w:p>
            <w:pPr>
              <w:spacing w:line="320" w:lineRule="exact"/>
              <w:jc w:val="center"/>
              <w:rPr>
                <w:rFonts w:ascii="宋体" w:hAnsi="宋体"/>
                <w:b/>
                <w:sz w:val="24"/>
              </w:rPr>
            </w:pPr>
            <w:r>
              <w:rPr>
                <w:rFonts w:hint="eastAsia" w:ascii="宋体" w:hAnsi="宋体"/>
                <w:b/>
                <w:sz w:val="24"/>
              </w:rPr>
              <w:t>标的名称</w:t>
            </w:r>
          </w:p>
        </w:tc>
        <w:tc>
          <w:tcPr>
            <w:tcW w:w="1706" w:type="dxa"/>
            <w:vAlign w:val="center"/>
          </w:tcPr>
          <w:p>
            <w:pPr>
              <w:spacing w:line="320" w:lineRule="exact"/>
              <w:jc w:val="center"/>
              <w:rPr>
                <w:rFonts w:ascii="宋体" w:hAnsi="宋体"/>
                <w:b/>
                <w:sz w:val="24"/>
              </w:rPr>
            </w:pPr>
            <w:r>
              <w:rPr>
                <w:rFonts w:hint="eastAsia" w:ascii="宋体" w:hAnsi="宋体"/>
                <w:b/>
                <w:sz w:val="24"/>
              </w:rPr>
              <w:t>最高限价</w:t>
            </w:r>
          </w:p>
        </w:tc>
        <w:tc>
          <w:tcPr>
            <w:tcW w:w="1805" w:type="dxa"/>
            <w:vAlign w:val="center"/>
          </w:tcPr>
          <w:p>
            <w:pPr>
              <w:spacing w:line="320" w:lineRule="exact"/>
              <w:jc w:val="center"/>
              <w:rPr>
                <w:rFonts w:ascii="宋体" w:hAnsi="宋体"/>
                <w:b/>
                <w:sz w:val="24"/>
              </w:rPr>
            </w:pPr>
            <w:r>
              <w:rPr>
                <w:rFonts w:hint="eastAsia" w:ascii="宋体" w:hAnsi="宋体"/>
                <w:b/>
                <w:sz w:val="24"/>
              </w:rPr>
              <w:t>磋商保证金</w:t>
            </w:r>
          </w:p>
        </w:tc>
        <w:tc>
          <w:tcPr>
            <w:tcW w:w="2192" w:type="dxa"/>
            <w:vAlign w:val="center"/>
          </w:tcPr>
          <w:p>
            <w:pPr>
              <w:spacing w:line="320" w:lineRule="exact"/>
              <w:jc w:val="center"/>
              <w:rPr>
                <w:rFonts w:ascii="宋体" w:hAnsi="宋体"/>
                <w:b/>
                <w:sz w:val="24"/>
              </w:rPr>
            </w:pPr>
            <w:r>
              <w:rPr>
                <w:rFonts w:hint="eastAsia" w:ascii="宋体" w:hAnsi="宋体"/>
                <w:b/>
                <w:sz w:val="24"/>
              </w:rPr>
              <w:t>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37" w:type="dxa"/>
            <w:vAlign w:val="center"/>
          </w:tcPr>
          <w:p>
            <w:pPr>
              <w:jc w:val="center"/>
              <w:outlineLvl w:val="0"/>
              <w:rPr>
                <w:rFonts w:ascii="宋体" w:hAnsi="宋体"/>
                <w:sz w:val="24"/>
              </w:rPr>
            </w:pPr>
            <w:bookmarkStart w:id="1" w:name="_Toc28962"/>
            <w:r>
              <w:rPr>
                <w:rFonts w:hint="eastAsia" w:ascii="宋体" w:hAnsi="宋体"/>
                <w:sz w:val="24"/>
              </w:rPr>
              <w:t>1</w:t>
            </w:r>
            <w:bookmarkEnd w:id="1"/>
          </w:p>
        </w:tc>
        <w:tc>
          <w:tcPr>
            <w:tcW w:w="2379" w:type="dxa"/>
            <w:vAlign w:val="center"/>
          </w:tcPr>
          <w:p>
            <w:pPr>
              <w:jc w:val="center"/>
              <w:outlineLvl w:val="0"/>
              <w:rPr>
                <w:rFonts w:ascii="宋体" w:hAnsi="宋体"/>
                <w:sz w:val="24"/>
              </w:rPr>
            </w:pPr>
            <w:r>
              <w:rPr>
                <w:rFonts w:hint="eastAsia" w:ascii="宋体" w:hAnsi="宋体"/>
                <w:sz w:val="24"/>
              </w:rPr>
              <w:t>福州农商银行党性教育中心设计采购施工一体化服务项目</w:t>
            </w:r>
          </w:p>
        </w:tc>
        <w:tc>
          <w:tcPr>
            <w:tcW w:w="1706" w:type="dxa"/>
            <w:vAlign w:val="center"/>
          </w:tcPr>
          <w:p>
            <w:pPr>
              <w:spacing w:line="400" w:lineRule="exact"/>
              <w:jc w:val="center"/>
              <w:rPr>
                <w:rFonts w:ascii="宋体" w:hAnsi="宋体"/>
                <w:sz w:val="24"/>
              </w:rPr>
            </w:pPr>
            <w:r>
              <w:rPr>
                <w:rFonts w:hint="eastAsia" w:ascii="宋体" w:hAnsi="宋体"/>
                <w:sz w:val="24"/>
              </w:rPr>
              <w:t>78万元</w:t>
            </w:r>
          </w:p>
        </w:tc>
        <w:tc>
          <w:tcPr>
            <w:tcW w:w="1805" w:type="dxa"/>
            <w:vAlign w:val="center"/>
          </w:tcPr>
          <w:p>
            <w:pPr>
              <w:spacing w:line="480" w:lineRule="exact"/>
              <w:jc w:val="center"/>
              <w:rPr>
                <w:rFonts w:ascii="宋体" w:hAnsi="宋体"/>
                <w:sz w:val="24"/>
              </w:rPr>
            </w:pPr>
            <w:r>
              <w:rPr>
                <w:rFonts w:hint="eastAsia" w:ascii="宋体" w:hAnsi="宋体"/>
                <w:sz w:val="24"/>
              </w:rPr>
              <w:t>1.5万元</w:t>
            </w:r>
          </w:p>
        </w:tc>
        <w:tc>
          <w:tcPr>
            <w:tcW w:w="2192" w:type="dxa"/>
            <w:vAlign w:val="center"/>
          </w:tcPr>
          <w:p>
            <w:pPr>
              <w:spacing w:line="400" w:lineRule="exact"/>
              <w:jc w:val="center"/>
              <w:rPr>
                <w:rFonts w:ascii="宋体" w:hAnsi="宋体"/>
                <w:sz w:val="24"/>
              </w:rPr>
            </w:pPr>
            <w:r>
              <w:rPr>
                <w:rFonts w:hint="eastAsia" w:ascii="宋体" w:hAnsi="宋体"/>
                <w:sz w:val="24"/>
              </w:rPr>
              <w:t>详见磋商文件第三章采购内容及要求</w:t>
            </w:r>
          </w:p>
        </w:tc>
      </w:tr>
    </w:tbl>
    <w:p>
      <w:pPr>
        <w:tabs>
          <w:tab w:val="left" w:pos="6930"/>
        </w:tabs>
        <w:spacing w:line="500" w:lineRule="exact"/>
        <w:ind w:right="62"/>
        <w:rPr>
          <w:rFonts w:ascii="宋体" w:hAnsi="宋体"/>
          <w:sz w:val="24"/>
        </w:rPr>
      </w:pPr>
      <w:r>
        <w:rPr>
          <w:rFonts w:hint="eastAsia" w:ascii="宋体" w:hAnsi="宋体"/>
          <w:sz w:val="24"/>
        </w:rPr>
        <w:t>注：</w:t>
      </w:r>
    </w:p>
    <w:p>
      <w:pPr>
        <w:autoSpaceDE w:val="0"/>
        <w:autoSpaceDN w:val="0"/>
        <w:spacing w:line="400" w:lineRule="exact"/>
        <w:rPr>
          <w:rFonts w:ascii="宋体" w:hAnsi="宋体"/>
          <w:sz w:val="24"/>
        </w:rPr>
      </w:pPr>
      <w:r>
        <w:rPr>
          <w:rFonts w:hint="eastAsia" w:ascii="宋体" w:hAnsi="宋体"/>
          <w:sz w:val="24"/>
        </w:rPr>
        <w:t>1、供应商须按合同包投标，不得仅对一个合同包中的部分内容进行投标，否则其投标将被拒绝。评标与授标以合同包为单位。</w:t>
      </w:r>
    </w:p>
    <w:p>
      <w:pPr>
        <w:autoSpaceDE w:val="0"/>
        <w:autoSpaceDN w:val="0"/>
        <w:spacing w:line="400" w:lineRule="exact"/>
        <w:rPr>
          <w:rFonts w:ascii="宋体" w:hAnsi="宋体"/>
          <w:sz w:val="24"/>
        </w:rPr>
      </w:pPr>
      <w:r>
        <w:rPr>
          <w:rFonts w:hint="eastAsia" w:ascii="宋体" w:hAnsi="宋体"/>
          <w:sz w:val="24"/>
        </w:rPr>
        <w:t>2、供应商报价应包含项目送到采购人指定地点并终验合格所涉及的所有费用进行报价，若存在漏报、少报等的费用，均视为此项费用已隐含在响应报价中，成交后不得再向采购人收取任何费用。</w:t>
      </w:r>
    </w:p>
    <w:p>
      <w:pPr>
        <w:autoSpaceDE w:val="0"/>
        <w:autoSpaceDN w:val="0"/>
        <w:spacing w:line="400" w:lineRule="exact"/>
        <w:rPr>
          <w:rFonts w:ascii="宋体" w:hAnsi="宋体"/>
          <w:sz w:val="24"/>
        </w:rPr>
      </w:pPr>
      <w:r>
        <w:rPr>
          <w:rFonts w:hint="eastAsia" w:ascii="宋体" w:hAnsi="宋体"/>
          <w:sz w:val="24"/>
        </w:rPr>
        <w:t>3、成交供应商不得转包他人，若发现转包，采购人有权终止合同，</w:t>
      </w:r>
      <w:r>
        <w:rPr>
          <w:rFonts w:ascii="宋体" w:hAnsi="宋体"/>
          <w:sz w:val="24"/>
        </w:rPr>
        <w:t>否则采购人有权单方面终止合同，项目另行处理。</w:t>
      </w:r>
    </w:p>
    <w:p>
      <w:pPr>
        <w:autoSpaceDE w:val="0"/>
        <w:autoSpaceDN w:val="0"/>
        <w:spacing w:line="400" w:lineRule="exact"/>
        <w:rPr>
          <w:rFonts w:ascii="宋体" w:hAnsi="宋体"/>
          <w:sz w:val="24"/>
        </w:rPr>
      </w:pPr>
      <w:r>
        <w:rPr>
          <w:rFonts w:hint="eastAsia" w:ascii="宋体" w:hAnsi="宋体"/>
          <w:sz w:val="24"/>
        </w:rPr>
        <w:t>4、供应商必须由法定代表人或法定代表人正式授权的供应商代表参加磋商会，随时接受磋商小组询问，并予以解答。</w:t>
      </w:r>
    </w:p>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74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semiHidden/>
    <w:unhideWhenUsed/>
    <w:uiPriority w:val="99"/>
    <w:pPr>
      <w:ind w:firstLine="420" w:firstLineChars="100"/>
    </w:pPr>
  </w:style>
  <w:style w:type="paragraph" w:styleId="3">
    <w:name w:val="Body Text"/>
    <w:basedOn w:val="1"/>
    <w:semiHidden/>
    <w:unhideWhenUsed/>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2021-06-04T11:57:26Z</dcterms:created>
  <dc:creator>Admin</dc:creator>
  <cp:lastModifiedBy>二月初六</cp:lastModifiedBy>
  <dcterms:modified xsi:type="dcterms:W3CDTF">2021-06-04T11:57:30Z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EF4F225E08644156A30CC7076FEA5F67</vt:lpwstr>
  </property>
</Properties>
</file>